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4EA8C7C">
      <w:pPr>
        <w:shd w:val="clear"/>
        <w:spacing w:line="500" w:lineRule="exact"/>
        <w:rPr>
          <w:rFonts w:hAnsi="宋体" w:cs="宋体"/>
          <w:b/>
          <w:color w:val="auto"/>
          <w:sz w:val="30"/>
          <w:szCs w:val="30"/>
          <w:highlight w:val="none"/>
        </w:rPr>
      </w:pPr>
      <w:r>
        <w:rPr>
          <w:rFonts w:hint="eastAsia" w:hAnsi="宋体" w:cs="宋体"/>
          <w:color w:val="auto"/>
          <w:highlight w:val="none"/>
        </w:rPr>
        <w:drawing>
          <wp:anchor distT="0" distB="0" distL="114300" distR="114300" simplePos="0" relativeHeight="251671552" behindDoc="0" locked="0" layoutInCell="1" allowOverlap="1">
            <wp:simplePos x="0" y="0"/>
            <wp:positionH relativeFrom="column">
              <wp:posOffset>4561840</wp:posOffset>
            </wp:positionH>
            <wp:positionV relativeFrom="paragraph">
              <wp:posOffset>-97155</wp:posOffset>
            </wp:positionV>
            <wp:extent cx="1144905" cy="898525"/>
            <wp:effectExtent l="0" t="0" r="13335" b="635"/>
            <wp:wrapNone/>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19"/>
                    <a:stretch>
                      <a:fillRect/>
                    </a:stretch>
                  </pic:blipFill>
                  <pic:spPr>
                    <a:xfrm>
                      <a:off x="0" y="0"/>
                      <a:ext cx="1144905" cy="898525"/>
                    </a:xfrm>
                    <a:prstGeom prst="rect">
                      <a:avLst/>
                    </a:prstGeom>
                    <a:noFill/>
                    <a:ln w="9525">
                      <a:noFill/>
                    </a:ln>
                  </pic:spPr>
                </pic:pic>
              </a:graphicData>
            </a:graphic>
          </wp:anchor>
        </w:drawing>
      </w:r>
    </w:p>
    <w:p w14:paraId="6A4E3EE0">
      <w:pPr>
        <w:shd w:val="clear"/>
        <w:spacing w:line="500" w:lineRule="exact"/>
        <w:ind w:firstLine="1807" w:firstLineChars="600"/>
        <w:rPr>
          <w:rFonts w:hAnsi="宋体" w:cs="宋体"/>
          <w:b/>
          <w:color w:val="auto"/>
          <w:sz w:val="30"/>
          <w:szCs w:val="30"/>
          <w:highlight w:val="none"/>
        </w:rPr>
      </w:pPr>
    </w:p>
    <w:p w14:paraId="6BFF6A9E">
      <w:pPr>
        <w:pStyle w:val="2"/>
        <w:shd w:val="clear"/>
        <w:rPr>
          <w:rFonts w:hAnsi="宋体" w:cs="宋体"/>
          <w:b/>
          <w:color w:val="auto"/>
          <w:sz w:val="30"/>
          <w:szCs w:val="30"/>
          <w:highlight w:val="none"/>
        </w:rPr>
      </w:pPr>
      <w:r>
        <w:rPr>
          <w:rFonts w:hint="eastAsia" w:hAnsi="宋体" w:cs="宋体"/>
          <w:b/>
          <w:color w:val="auto"/>
          <w:sz w:val="30"/>
          <w:szCs w:val="30"/>
          <w:highlight w:val="none"/>
        </w:rPr>
        <w:t xml:space="preserve">                招标编号：N5100012024002299</w:t>
      </w:r>
    </w:p>
    <w:p w14:paraId="6DAD70CA">
      <w:pPr>
        <w:pStyle w:val="2"/>
        <w:shd w:val="clear"/>
        <w:rPr>
          <w:rFonts w:hAnsi="宋体" w:cs="宋体"/>
          <w:b/>
          <w:color w:val="auto"/>
          <w:sz w:val="36"/>
          <w:szCs w:val="36"/>
          <w:highlight w:val="none"/>
        </w:rPr>
      </w:pPr>
    </w:p>
    <w:p w14:paraId="725240F1">
      <w:pPr>
        <w:shd w:val="clear"/>
        <w:spacing w:line="500" w:lineRule="exact"/>
        <w:jc w:val="center"/>
        <w:rPr>
          <w:rFonts w:hAnsi="宋体" w:cs="宋体"/>
          <w:b/>
          <w:color w:val="auto"/>
          <w:sz w:val="48"/>
          <w:szCs w:val="48"/>
          <w:highlight w:val="none"/>
        </w:rPr>
      </w:pPr>
      <w:r>
        <w:rPr>
          <w:rFonts w:hint="eastAsia" w:hAnsi="宋体" w:cs="宋体"/>
          <w:b/>
          <w:color w:val="auto"/>
          <w:sz w:val="48"/>
          <w:szCs w:val="48"/>
          <w:highlight w:val="none"/>
        </w:rPr>
        <w:t>新闻演播室声光电系统集成仪器设备采购项目</w:t>
      </w:r>
    </w:p>
    <w:p w14:paraId="147EF888">
      <w:pPr>
        <w:pStyle w:val="2"/>
        <w:shd w:val="clear"/>
        <w:rPr>
          <w:rFonts w:hAnsi="宋体" w:cs="宋体"/>
          <w:color w:val="auto"/>
          <w:sz w:val="48"/>
          <w:szCs w:val="48"/>
          <w:highlight w:val="none"/>
        </w:rPr>
      </w:pPr>
    </w:p>
    <w:p w14:paraId="7855CE8D">
      <w:pPr>
        <w:shd w:val="clear"/>
        <w:tabs>
          <w:tab w:val="left" w:pos="2505"/>
          <w:tab w:val="center" w:pos="4204"/>
        </w:tabs>
        <w:spacing w:line="360" w:lineRule="auto"/>
        <w:jc w:val="center"/>
        <w:rPr>
          <w:rFonts w:hAnsi="宋体" w:cs="宋体"/>
          <w:b/>
          <w:color w:val="auto"/>
          <w:sz w:val="84"/>
          <w:szCs w:val="84"/>
          <w:highlight w:val="none"/>
        </w:rPr>
      </w:pPr>
      <w:r>
        <w:rPr>
          <w:rFonts w:hint="eastAsia" w:hAnsi="宋体" w:cs="宋体"/>
          <w:b/>
          <w:color w:val="auto"/>
          <w:sz w:val="84"/>
          <w:szCs w:val="84"/>
          <w:highlight w:val="none"/>
        </w:rPr>
        <w:t xml:space="preserve">招 </w:t>
      </w:r>
    </w:p>
    <w:p w14:paraId="3622C99D">
      <w:pPr>
        <w:shd w:val="clear"/>
        <w:spacing w:line="360" w:lineRule="auto"/>
        <w:jc w:val="center"/>
        <w:rPr>
          <w:rFonts w:hAnsi="宋体" w:cs="宋体"/>
          <w:color w:val="auto"/>
          <w:sz w:val="84"/>
          <w:szCs w:val="84"/>
          <w:highlight w:val="none"/>
        </w:rPr>
      </w:pPr>
      <w:r>
        <w:rPr>
          <w:rFonts w:hint="eastAsia" w:hAnsi="宋体" w:cs="宋体"/>
          <w:b/>
          <w:color w:val="auto"/>
          <w:sz w:val="84"/>
          <w:szCs w:val="84"/>
          <w:highlight w:val="none"/>
        </w:rPr>
        <w:t>标</w:t>
      </w:r>
    </w:p>
    <w:p w14:paraId="4B5C3541">
      <w:pPr>
        <w:shd w:val="clear"/>
        <w:spacing w:line="360" w:lineRule="auto"/>
        <w:jc w:val="center"/>
        <w:rPr>
          <w:rFonts w:hAnsi="宋体" w:cs="宋体"/>
          <w:color w:val="auto"/>
          <w:sz w:val="84"/>
          <w:szCs w:val="84"/>
          <w:highlight w:val="none"/>
        </w:rPr>
      </w:pPr>
      <w:r>
        <w:rPr>
          <w:rFonts w:hint="eastAsia" w:hAnsi="宋体" w:cs="宋体"/>
          <w:b/>
          <w:color w:val="auto"/>
          <w:sz w:val="84"/>
          <w:szCs w:val="84"/>
          <w:highlight w:val="none"/>
        </w:rPr>
        <w:t>文</w:t>
      </w:r>
    </w:p>
    <w:p w14:paraId="0AC000FE">
      <w:pPr>
        <w:shd w:val="clear"/>
        <w:spacing w:line="360" w:lineRule="auto"/>
        <w:jc w:val="center"/>
        <w:rPr>
          <w:rFonts w:hAnsi="宋体" w:cs="宋体"/>
          <w:b/>
          <w:color w:val="auto"/>
          <w:sz w:val="84"/>
          <w:szCs w:val="84"/>
          <w:highlight w:val="none"/>
        </w:rPr>
      </w:pPr>
      <w:r>
        <w:rPr>
          <w:rFonts w:hint="eastAsia" w:hAnsi="宋体" w:cs="宋体"/>
          <w:b/>
          <w:color w:val="auto"/>
          <w:sz w:val="84"/>
          <w:szCs w:val="84"/>
          <w:highlight w:val="none"/>
        </w:rPr>
        <w:t>件</w:t>
      </w:r>
    </w:p>
    <w:p w14:paraId="1754D07C">
      <w:pPr>
        <w:shd w:val="clear"/>
        <w:spacing w:line="500" w:lineRule="exact"/>
        <w:jc w:val="center"/>
        <w:rPr>
          <w:rFonts w:hAnsi="宋体" w:cs="宋体"/>
          <w:b/>
          <w:color w:val="auto"/>
          <w:sz w:val="32"/>
          <w:szCs w:val="32"/>
          <w:highlight w:val="none"/>
        </w:rPr>
      </w:pPr>
      <w:r>
        <w:rPr>
          <w:rFonts w:hint="eastAsia" w:hAnsi="宋体" w:cs="宋体"/>
          <w:b/>
          <w:color w:val="auto"/>
          <w:sz w:val="32"/>
          <w:szCs w:val="32"/>
          <w:highlight w:val="none"/>
        </w:rPr>
        <w:t>西南科技大学</w:t>
      </w:r>
    </w:p>
    <w:p w14:paraId="65F5F60C">
      <w:pPr>
        <w:shd w:val="clear"/>
        <w:spacing w:line="500" w:lineRule="exact"/>
        <w:jc w:val="center"/>
        <w:rPr>
          <w:rFonts w:hAnsi="宋体" w:cs="宋体"/>
          <w:b/>
          <w:color w:val="auto"/>
          <w:sz w:val="32"/>
          <w:szCs w:val="32"/>
          <w:highlight w:val="none"/>
        </w:rPr>
      </w:pPr>
      <w:r>
        <w:rPr>
          <w:rFonts w:hint="eastAsia" w:hAnsi="宋体" w:cs="宋体"/>
          <w:b/>
          <w:color w:val="auto"/>
          <w:sz w:val="32"/>
          <w:szCs w:val="32"/>
          <w:highlight w:val="none"/>
        </w:rPr>
        <w:t>四川标源招标代理有限公司</w:t>
      </w:r>
    </w:p>
    <w:p w14:paraId="43A7157C">
      <w:pPr>
        <w:shd w:val="clear"/>
        <w:spacing w:line="500" w:lineRule="exact"/>
        <w:jc w:val="center"/>
        <w:rPr>
          <w:rFonts w:hAnsi="宋体" w:cs="宋体"/>
          <w:b/>
          <w:color w:val="auto"/>
          <w:sz w:val="32"/>
          <w:szCs w:val="32"/>
          <w:highlight w:val="none"/>
        </w:rPr>
      </w:pPr>
      <w:r>
        <w:rPr>
          <w:rFonts w:hint="eastAsia" w:hAnsi="宋体" w:cs="宋体"/>
          <w:b/>
          <w:color w:val="auto"/>
          <w:sz w:val="32"/>
          <w:szCs w:val="32"/>
          <w:highlight w:val="none"/>
        </w:rPr>
        <w:t>共同编制</w:t>
      </w:r>
    </w:p>
    <w:p w14:paraId="4D1FCC2D">
      <w:pPr>
        <w:pStyle w:val="2"/>
        <w:shd w:val="clear"/>
        <w:jc w:val="center"/>
        <w:rPr>
          <w:rFonts w:hAnsi="宋体" w:cs="宋体"/>
          <w:color w:val="auto"/>
          <w:highlight w:val="none"/>
        </w:rPr>
      </w:pPr>
      <w:r>
        <w:rPr>
          <w:rFonts w:hint="eastAsia" w:hAnsi="宋体" w:cs="宋体"/>
          <w:b/>
          <w:color w:val="auto"/>
          <w:sz w:val="32"/>
          <w:szCs w:val="32"/>
          <w:highlight w:val="none"/>
        </w:rPr>
        <w:t>中国·四川·绵阳</w:t>
      </w:r>
    </w:p>
    <w:p w14:paraId="06F767BD">
      <w:pPr>
        <w:shd w:val="clear"/>
        <w:spacing w:line="500" w:lineRule="exact"/>
        <w:jc w:val="center"/>
        <w:rPr>
          <w:rFonts w:hAnsi="宋体" w:cs="宋体"/>
          <w:b/>
          <w:bCs/>
          <w:color w:val="auto"/>
          <w:sz w:val="32"/>
          <w:szCs w:val="32"/>
          <w:highlight w:val="none"/>
          <w:lang w:val="zh-CN"/>
        </w:rPr>
      </w:pPr>
      <w:r>
        <w:rPr>
          <w:rFonts w:hint="eastAsia" w:hAnsi="宋体" w:cs="宋体"/>
          <w:b/>
          <w:color w:val="auto"/>
          <w:sz w:val="30"/>
          <w:szCs w:val="30"/>
          <w:highlight w:val="none"/>
        </w:rPr>
        <w:t>2024</w:t>
      </w:r>
      <w:r>
        <w:rPr>
          <w:rFonts w:hint="eastAsia" w:hAnsi="宋体" w:cs="宋体"/>
          <w:b/>
          <w:bCs/>
          <w:color w:val="auto"/>
          <w:sz w:val="32"/>
          <w:szCs w:val="32"/>
          <w:highlight w:val="none"/>
          <w:lang w:val="zh-CN"/>
        </w:rPr>
        <w:t>年</w:t>
      </w:r>
      <w:r>
        <w:rPr>
          <w:rFonts w:hint="eastAsia" w:hAnsi="宋体" w:cs="宋体"/>
          <w:b/>
          <w:bCs/>
          <w:color w:val="auto"/>
          <w:sz w:val="32"/>
          <w:szCs w:val="32"/>
          <w:highlight w:val="none"/>
          <w:lang w:val="en-US" w:eastAsia="zh-CN"/>
        </w:rPr>
        <w:t>10</w:t>
      </w:r>
      <w:r>
        <w:rPr>
          <w:rFonts w:hint="eastAsia" w:hAnsi="宋体" w:cs="宋体"/>
          <w:b/>
          <w:bCs/>
          <w:color w:val="auto"/>
          <w:sz w:val="32"/>
          <w:szCs w:val="32"/>
          <w:highlight w:val="none"/>
          <w:lang w:val="zh-CN"/>
        </w:rPr>
        <w:t>月</w:t>
      </w:r>
    </w:p>
    <w:p w14:paraId="099E19EA">
      <w:pPr>
        <w:shd w:val="clear"/>
        <w:spacing w:line="500" w:lineRule="exact"/>
        <w:rPr>
          <w:rFonts w:hAnsi="宋体" w:cs="宋体"/>
          <w:color w:val="auto"/>
          <w:sz w:val="32"/>
          <w:highlight w:val="none"/>
        </w:rPr>
      </w:pPr>
    </w:p>
    <w:p w14:paraId="5A645EDE">
      <w:pPr>
        <w:pStyle w:val="20"/>
        <w:shd w:val="clear"/>
        <w:spacing w:before="480" w:after="480"/>
        <w:rPr>
          <w:rFonts w:ascii="宋体" w:hAnsi="宋体" w:cs="宋体"/>
          <w:color w:val="auto"/>
          <w:highlight w:val="none"/>
        </w:rPr>
        <w:sectPr>
          <w:headerReference r:id="rId5" w:type="first"/>
          <w:footerReference r:id="rId8" w:type="first"/>
          <w:headerReference r:id="rId3" w:type="default"/>
          <w:footerReference r:id="rId6" w:type="default"/>
          <w:headerReference r:id="rId4" w:type="even"/>
          <w:footerReference r:id="rId7" w:type="even"/>
          <w:type w:val="nextColumn"/>
          <w:pgSz w:w="11907" w:h="16840"/>
          <w:pgMar w:top="1361" w:right="1361" w:bottom="1418" w:left="1474" w:header="851" w:footer="992" w:gutter="0"/>
          <w:pgNumType w:start="1"/>
          <w:cols w:space="720" w:num="1"/>
          <w:titlePg/>
          <w:docGrid w:linePitch="312" w:charSpace="0"/>
        </w:sectPr>
      </w:pPr>
    </w:p>
    <w:p w14:paraId="4125BD9A">
      <w:pPr>
        <w:pStyle w:val="4"/>
        <w:shd w:val="clear"/>
        <w:tabs>
          <w:tab w:val="left" w:pos="680"/>
        </w:tabs>
        <w:spacing w:line="500" w:lineRule="exact"/>
        <w:jc w:val="center"/>
        <w:rPr>
          <w:rFonts w:ascii="宋体" w:hAnsi="宋体" w:eastAsia="宋体" w:cs="宋体"/>
          <w:bCs w:val="0"/>
          <w:color w:val="auto"/>
          <w:sz w:val="36"/>
          <w:highlight w:val="none"/>
        </w:rPr>
      </w:pPr>
      <w:r>
        <w:rPr>
          <w:rFonts w:hint="eastAsia" w:ascii="宋体" w:hAnsi="宋体" w:eastAsia="宋体" w:cs="宋体"/>
          <w:bCs w:val="0"/>
          <w:color w:val="auto"/>
          <w:sz w:val="36"/>
          <w:highlight w:val="none"/>
        </w:rPr>
        <w:t>目    录</w:t>
      </w:r>
    </w:p>
    <w:p w14:paraId="675C4377">
      <w:pPr>
        <w:pStyle w:val="20"/>
        <w:shd w:val="clear"/>
        <w:tabs>
          <w:tab w:val="right" w:leader="dot" w:pos="9072"/>
        </w:tabs>
        <w:rPr>
          <w:color w:val="auto"/>
          <w:sz w:val="21"/>
          <w:szCs w:val="21"/>
          <w:highlight w:val="none"/>
        </w:rPr>
      </w:pPr>
      <w:r>
        <w:rPr>
          <w:rFonts w:hint="eastAsia" w:ascii="宋体" w:hAnsi="宋体" w:cs="宋体"/>
          <w:b w:val="0"/>
          <w:bCs w:val="0"/>
          <w:caps w:val="0"/>
          <w:color w:val="auto"/>
          <w:sz w:val="24"/>
          <w:szCs w:val="24"/>
          <w:highlight w:val="none"/>
        </w:rPr>
        <w:fldChar w:fldCharType="begin"/>
      </w:r>
      <w:r>
        <w:rPr>
          <w:rFonts w:hint="eastAsia" w:ascii="宋体" w:hAnsi="宋体" w:cs="宋体"/>
          <w:b w:val="0"/>
          <w:bCs w:val="0"/>
          <w:caps w:val="0"/>
          <w:color w:val="auto"/>
          <w:sz w:val="24"/>
          <w:szCs w:val="24"/>
          <w:highlight w:val="none"/>
        </w:rPr>
        <w:instrText xml:space="preserve">TOC \o "1-1" \h \z \u</w:instrText>
      </w:r>
      <w:r>
        <w:rPr>
          <w:rFonts w:hint="eastAsia" w:ascii="宋体" w:hAnsi="宋体" w:cs="宋体"/>
          <w:b w:val="0"/>
          <w:bCs w:val="0"/>
          <w:caps w:val="0"/>
          <w:color w:val="auto"/>
          <w:sz w:val="24"/>
          <w:szCs w:val="24"/>
          <w:highlight w:val="none"/>
        </w:rPr>
        <w:fldChar w:fldCharType="separate"/>
      </w:r>
      <w:r>
        <w:rPr>
          <w:color w:val="auto"/>
          <w:highlight w:val="none"/>
        </w:rPr>
        <w:fldChar w:fldCharType="begin"/>
      </w:r>
      <w:r>
        <w:rPr>
          <w:color w:val="auto"/>
          <w:highlight w:val="none"/>
        </w:rPr>
        <w:instrText xml:space="preserve"> HYPERLINK \l "_Toc11368" </w:instrText>
      </w:r>
      <w:r>
        <w:rPr>
          <w:color w:val="auto"/>
          <w:highlight w:val="none"/>
        </w:rPr>
        <w:fldChar w:fldCharType="separate"/>
      </w:r>
      <w:r>
        <w:rPr>
          <w:rFonts w:hint="eastAsia" w:ascii="宋体" w:hAnsi="宋体" w:cs="宋体"/>
          <w:bCs w:val="0"/>
          <w:color w:val="auto"/>
          <w:sz w:val="21"/>
          <w:szCs w:val="36"/>
          <w:highlight w:val="none"/>
        </w:rPr>
        <w:t>第一章  投标邀请</w:t>
      </w:r>
      <w:r>
        <w:rPr>
          <w:color w:val="auto"/>
          <w:sz w:val="21"/>
          <w:szCs w:val="21"/>
          <w:highlight w:val="none"/>
        </w:rPr>
        <w:tab/>
      </w:r>
      <w:r>
        <w:rPr>
          <w:color w:val="auto"/>
          <w:sz w:val="21"/>
          <w:szCs w:val="21"/>
          <w:highlight w:val="none"/>
        </w:rPr>
        <w:fldChar w:fldCharType="begin"/>
      </w:r>
      <w:r>
        <w:rPr>
          <w:color w:val="auto"/>
          <w:sz w:val="21"/>
          <w:szCs w:val="21"/>
          <w:highlight w:val="none"/>
        </w:rPr>
        <w:instrText xml:space="preserve"> PAGEREF _Toc11368 \h </w:instrText>
      </w:r>
      <w:r>
        <w:rPr>
          <w:color w:val="auto"/>
          <w:sz w:val="21"/>
          <w:szCs w:val="21"/>
          <w:highlight w:val="none"/>
        </w:rPr>
        <w:fldChar w:fldCharType="separate"/>
      </w:r>
      <w:r>
        <w:rPr>
          <w:color w:val="auto"/>
          <w:sz w:val="21"/>
          <w:szCs w:val="21"/>
          <w:highlight w:val="none"/>
        </w:rPr>
        <w:t>1</w:t>
      </w:r>
      <w:r>
        <w:rPr>
          <w:color w:val="auto"/>
          <w:sz w:val="21"/>
          <w:szCs w:val="21"/>
          <w:highlight w:val="none"/>
        </w:rPr>
        <w:fldChar w:fldCharType="end"/>
      </w:r>
      <w:r>
        <w:rPr>
          <w:color w:val="auto"/>
          <w:sz w:val="21"/>
          <w:szCs w:val="21"/>
          <w:highlight w:val="none"/>
        </w:rPr>
        <w:fldChar w:fldCharType="end"/>
      </w:r>
    </w:p>
    <w:p w14:paraId="5A3CB092">
      <w:pPr>
        <w:pStyle w:val="20"/>
        <w:shd w:val="clear"/>
        <w:tabs>
          <w:tab w:val="right" w:leader="dot" w:pos="9072"/>
        </w:tabs>
        <w:rPr>
          <w:color w:val="auto"/>
          <w:sz w:val="21"/>
          <w:szCs w:val="21"/>
          <w:highlight w:val="none"/>
        </w:rPr>
      </w:pPr>
      <w:r>
        <w:rPr>
          <w:color w:val="auto"/>
          <w:highlight w:val="none"/>
        </w:rPr>
        <w:fldChar w:fldCharType="begin"/>
      </w:r>
      <w:r>
        <w:rPr>
          <w:color w:val="auto"/>
          <w:highlight w:val="none"/>
        </w:rPr>
        <w:instrText xml:space="preserve"> HYPERLINK \l "_Toc13318" </w:instrText>
      </w:r>
      <w:r>
        <w:rPr>
          <w:color w:val="auto"/>
          <w:highlight w:val="none"/>
        </w:rPr>
        <w:fldChar w:fldCharType="separate"/>
      </w:r>
      <w:r>
        <w:rPr>
          <w:rFonts w:hint="eastAsia" w:ascii="宋体" w:hAnsi="宋体" w:cs="宋体"/>
          <w:color w:val="auto"/>
          <w:sz w:val="21"/>
          <w:szCs w:val="40"/>
          <w:highlight w:val="none"/>
        </w:rPr>
        <w:t>第二章  投标人须知</w:t>
      </w:r>
      <w:r>
        <w:rPr>
          <w:color w:val="auto"/>
          <w:sz w:val="21"/>
          <w:szCs w:val="21"/>
          <w:highlight w:val="none"/>
        </w:rPr>
        <w:tab/>
      </w:r>
      <w:r>
        <w:rPr>
          <w:color w:val="auto"/>
          <w:sz w:val="21"/>
          <w:szCs w:val="21"/>
          <w:highlight w:val="none"/>
        </w:rPr>
        <w:fldChar w:fldCharType="begin"/>
      </w:r>
      <w:r>
        <w:rPr>
          <w:color w:val="auto"/>
          <w:sz w:val="21"/>
          <w:szCs w:val="21"/>
          <w:highlight w:val="none"/>
        </w:rPr>
        <w:instrText xml:space="preserve"> PAGEREF _Toc13318 \h </w:instrText>
      </w:r>
      <w:r>
        <w:rPr>
          <w:color w:val="auto"/>
          <w:sz w:val="21"/>
          <w:szCs w:val="21"/>
          <w:highlight w:val="none"/>
        </w:rPr>
        <w:fldChar w:fldCharType="separate"/>
      </w:r>
      <w:r>
        <w:rPr>
          <w:color w:val="auto"/>
          <w:sz w:val="21"/>
          <w:szCs w:val="21"/>
          <w:highlight w:val="none"/>
        </w:rPr>
        <w:t>5</w:t>
      </w:r>
      <w:r>
        <w:rPr>
          <w:color w:val="auto"/>
          <w:sz w:val="21"/>
          <w:szCs w:val="21"/>
          <w:highlight w:val="none"/>
        </w:rPr>
        <w:fldChar w:fldCharType="end"/>
      </w:r>
      <w:r>
        <w:rPr>
          <w:color w:val="auto"/>
          <w:sz w:val="21"/>
          <w:szCs w:val="21"/>
          <w:highlight w:val="none"/>
        </w:rPr>
        <w:fldChar w:fldCharType="end"/>
      </w:r>
    </w:p>
    <w:p w14:paraId="288A26AF">
      <w:pPr>
        <w:pStyle w:val="20"/>
        <w:shd w:val="clear"/>
        <w:tabs>
          <w:tab w:val="right" w:leader="dot" w:pos="9072"/>
        </w:tabs>
        <w:rPr>
          <w:color w:val="auto"/>
          <w:sz w:val="21"/>
          <w:szCs w:val="21"/>
          <w:highlight w:val="none"/>
        </w:rPr>
      </w:pPr>
      <w:r>
        <w:rPr>
          <w:color w:val="auto"/>
          <w:highlight w:val="none"/>
        </w:rPr>
        <w:fldChar w:fldCharType="begin"/>
      </w:r>
      <w:r>
        <w:rPr>
          <w:color w:val="auto"/>
          <w:highlight w:val="none"/>
        </w:rPr>
        <w:instrText xml:space="preserve"> HYPERLINK \l "_Toc122" </w:instrText>
      </w:r>
      <w:r>
        <w:rPr>
          <w:color w:val="auto"/>
          <w:highlight w:val="none"/>
        </w:rPr>
        <w:fldChar w:fldCharType="separate"/>
      </w:r>
      <w:r>
        <w:rPr>
          <w:rFonts w:hint="eastAsia" w:ascii="宋体" w:hAnsi="宋体" w:cs="宋体"/>
          <w:color w:val="auto"/>
          <w:sz w:val="21"/>
          <w:szCs w:val="40"/>
          <w:highlight w:val="none"/>
        </w:rPr>
        <w:t>第三章 投标文件格式</w:t>
      </w:r>
      <w:r>
        <w:rPr>
          <w:color w:val="auto"/>
          <w:sz w:val="21"/>
          <w:szCs w:val="21"/>
          <w:highlight w:val="none"/>
        </w:rPr>
        <w:tab/>
      </w:r>
      <w:r>
        <w:rPr>
          <w:color w:val="auto"/>
          <w:sz w:val="21"/>
          <w:szCs w:val="21"/>
          <w:highlight w:val="none"/>
        </w:rPr>
        <w:fldChar w:fldCharType="begin"/>
      </w:r>
      <w:r>
        <w:rPr>
          <w:color w:val="auto"/>
          <w:sz w:val="21"/>
          <w:szCs w:val="21"/>
          <w:highlight w:val="none"/>
        </w:rPr>
        <w:instrText xml:space="preserve"> PAGEREF _Toc122 \h </w:instrText>
      </w:r>
      <w:r>
        <w:rPr>
          <w:color w:val="auto"/>
          <w:sz w:val="21"/>
          <w:szCs w:val="21"/>
          <w:highlight w:val="none"/>
        </w:rPr>
        <w:fldChar w:fldCharType="separate"/>
      </w:r>
      <w:r>
        <w:rPr>
          <w:color w:val="auto"/>
          <w:sz w:val="21"/>
          <w:szCs w:val="21"/>
          <w:highlight w:val="none"/>
        </w:rPr>
        <w:t>28</w:t>
      </w:r>
      <w:r>
        <w:rPr>
          <w:color w:val="auto"/>
          <w:sz w:val="21"/>
          <w:szCs w:val="21"/>
          <w:highlight w:val="none"/>
        </w:rPr>
        <w:fldChar w:fldCharType="end"/>
      </w:r>
      <w:r>
        <w:rPr>
          <w:color w:val="auto"/>
          <w:sz w:val="21"/>
          <w:szCs w:val="21"/>
          <w:highlight w:val="none"/>
        </w:rPr>
        <w:fldChar w:fldCharType="end"/>
      </w:r>
    </w:p>
    <w:p w14:paraId="523B29D6">
      <w:pPr>
        <w:pStyle w:val="20"/>
        <w:shd w:val="clear"/>
        <w:tabs>
          <w:tab w:val="right" w:leader="dot" w:pos="9072"/>
        </w:tabs>
        <w:rPr>
          <w:color w:val="auto"/>
          <w:sz w:val="21"/>
          <w:szCs w:val="21"/>
          <w:highlight w:val="none"/>
        </w:rPr>
      </w:pPr>
      <w:r>
        <w:rPr>
          <w:color w:val="auto"/>
          <w:highlight w:val="none"/>
        </w:rPr>
        <w:fldChar w:fldCharType="begin"/>
      </w:r>
      <w:r>
        <w:rPr>
          <w:color w:val="auto"/>
          <w:highlight w:val="none"/>
        </w:rPr>
        <w:instrText xml:space="preserve"> HYPERLINK \l "_Toc13920" </w:instrText>
      </w:r>
      <w:r>
        <w:rPr>
          <w:color w:val="auto"/>
          <w:highlight w:val="none"/>
        </w:rPr>
        <w:fldChar w:fldCharType="separate"/>
      </w:r>
      <w:r>
        <w:rPr>
          <w:rFonts w:hint="eastAsia" w:ascii="宋体" w:hAnsi="宋体" w:cs="宋体"/>
          <w:color w:val="auto"/>
          <w:sz w:val="21"/>
          <w:szCs w:val="40"/>
          <w:highlight w:val="none"/>
        </w:rPr>
        <w:t>第四章 投标人和投标产品的资格、资质性及其他类似效力要求</w:t>
      </w:r>
      <w:r>
        <w:rPr>
          <w:color w:val="auto"/>
          <w:sz w:val="21"/>
          <w:szCs w:val="21"/>
          <w:highlight w:val="none"/>
        </w:rPr>
        <w:tab/>
      </w:r>
      <w:r>
        <w:rPr>
          <w:color w:val="auto"/>
          <w:sz w:val="21"/>
          <w:szCs w:val="21"/>
          <w:highlight w:val="none"/>
        </w:rPr>
        <w:fldChar w:fldCharType="begin"/>
      </w:r>
      <w:r>
        <w:rPr>
          <w:color w:val="auto"/>
          <w:sz w:val="21"/>
          <w:szCs w:val="21"/>
          <w:highlight w:val="none"/>
        </w:rPr>
        <w:instrText xml:space="preserve"> PAGEREF _Toc13920 \h </w:instrText>
      </w:r>
      <w:r>
        <w:rPr>
          <w:color w:val="auto"/>
          <w:sz w:val="21"/>
          <w:szCs w:val="21"/>
          <w:highlight w:val="none"/>
        </w:rPr>
        <w:fldChar w:fldCharType="separate"/>
      </w:r>
      <w:r>
        <w:rPr>
          <w:color w:val="auto"/>
          <w:sz w:val="21"/>
          <w:szCs w:val="21"/>
          <w:highlight w:val="none"/>
        </w:rPr>
        <w:t>45</w:t>
      </w:r>
      <w:r>
        <w:rPr>
          <w:color w:val="auto"/>
          <w:sz w:val="21"/>
          <w:szCs w:val="21"/>
          <w:highlight w:val="none"/>
        </w:rPr>
        <w:fldChar w:fldCharType="end"/>
      </w:r>
      <w:r>
        <w:rPr>
          <w:color w:val="auto"/>
          <w:sz w:val="21"/>
          <w:szCs w:val="21"/>
          <w:highlight w:val="none"/>
        </w:rPr>
        <w:fldChar w:fldCharType="end"/>
      </w:r>
    </w:p>
    <w:p w14:paraId="7C89D4AC">
      <w:pPr>
        <w:pStyle w:val="20"/>
        <w:shd w:val="clear"/>
        <w:tabs>
          <w:tab w:val="right" w:leader="dot" w:pos="9072"/>
        </w:tabs>
        <w:rPr>
          <w:color w:val="auto"/>
          <w:sz w:val="21"/>
          <w:szCs w:val="21"/>
          <w:highlight w:val="none"/>
        </w:rPr>
      </w:pPr>
      <w:r>
        <w:rPr>
          <w:color w:val="auto"/>
          <w:highlight w:val="none"/>
        </w:rPr>
        <w:fldChar w:fldCharType="begin"/>
      </w:r>
      <w:r>
        <w:rPr>
          <w:color w:val="auto"/>
          <w:highlight w:val="none"/>
        </w:rPr>
        <w:instrText xml:space="preserve"> HYPERLINK \l "_Toc13146" </w:instrText>
      </w:r>
      <w:r>
        <w:rPr>
          <w:color w:val="auto"/>
          <w:highlight w:val="none"/>
        </w:rPr>
        <w:fldChar w:fldCharType="separate"/>
      </w:r>
      <w:r>
        <w:rPr>
          <w:rFonts w:hint="eastAsia" w:ascii="宋体" w:hAnsi="宋体" w:cs="宋体"/>
          <w:color w:val="auto"/>
          <w:sz w:val="21"/>
          <w:szCs w:val="40"/>
          <w:highlight w:val="none"/>
        </w:rPr>
        <w:t>第五章  投标人应当提供的资格、资质性及其他类似效力要求的相关证明材料</w:t>
      </w:r>
      <w:r>
        <w:rPr>
          <w:color w:val="auto"/>
          <w:sz w:val="21"/>
          <w:szCs w:val="21"/>
          <w:highlight w:val="none"/>
        </w:rPr>
        <w:tab/>
      </w:r>
      <w:r>
        <w:rPr>
          <w:color w:val="auto"/>
          <w:sz w:val="21"/>
          <w:szCs w:val="21"/>
          <w:highlight w:val="none"/>
        </w:rPr>
        <w:fldChar w:fldCharType="begin"/>
      </w:r>
      <w:r>
        <w:rPr>
          <w:color w:val="auto"/>
          <w:sz w:val="21"/>
          <w:szCs w:val="21"/>
          <w:highlight w:val="none"/>
        </w:rPr>
        <w:instrText xml:space="preserve"> PAGEREF _Toc13146 \h </w:instrText>
      </w:r>
      <w:r>
        <w:rPr>
          <w:color w:val="auto"/>
          <w:sz w:val="21"/>
          <w:szCs w:val="21"/>
          <w:highlight w:val="none"/>
        </w:rPr>
        <w:fldChar w:fldCharType="separate"/>
      </w:r>
      <w:r>
        <w:rPr>
          <w:color w:val="auto"/>
          <w:sz w:val="21"/>
          <w:szCs w:val="21"/>
          <w:highlight w:val="none"/>
        </w:rPr>
        <w:t>47</w:t>
      </w:r>
      <w:r>
        <w:rPr>
          <w:color w:val="auto"/>
          <w:sz w:val="21"/>
          <w:szCs w:val="21"/>
          <w:highlight w:val="none"/>
        </w:rPr>
        <w:fldChar w:fldCharType="end"/>
      </w:r>
      <w:r>
        <w:rPr>
          <w:color w:val="auto"/>
          <w:sz w:val="21"/>
          <w:szCs w:val="21"/>
          <w:highlight w:val="none"/>
        </w:rPr>
        <w:fldChar w:fldCharType="end"/>
      </w:r>
    </w:p>
    <w:p w14:paraId="2950740E">
      <w:pPr>
        <w:pStyle w:val="20"/>
        <w:shd w:val="clear"/>
        <w:tabs>
          <w:tab w:val="right" w:leader="dot" w:pos="9072"/>
        </w:tabs>
        <w:rPr>
          <w:color w:val="auto"/>
          <w:sz w:val="21"/>
          <w:szCs w:val="21"/>
          <w:highlight w:val="none"/>
        </w:rPr>
      </w:pPr>
      <w:r>
        <w:rPr>
          <w:color w:val="auto"/>
          <w:highlight w:val="none"/>
        </w:rPr>
        <w:fldChar w:fldCharType="begin"/>
      </w:r>
      <w:r>
        <w:rPr>
          <w:color w:val="auto"/>
          <w:highlight w:val="none"/>
        </w:rPr>
        <w:instrText xml:space="preserve"> HYPERLINK \l "_Toc20249" </w:instrText>
      </w:r>
      <w:r>
        <w:rPr>
          <w:color w:val="auto"/>
          <w:highlight w:val="none"/>
        </w:rPr>
        <w:fldChar w:fldCharType="separate"/>
      </w:r>
      <w:r>
        <w:rPr>
          <w:rFonts w:hint="eastAsia" w:ascii="宋体" w:hAnsi="宋体" w:cs="宋体"/>
          <w:color w:val="auto"/>
          <w:sz w:val="21"/>
          <w:szCs w:val="40"/>
          <w:highlight w:val="none"/>
        </w:rPr>
        <w:t>第六章 招标项目技术、服务及其他商务要求</w:t>
      </w:r>
      <w:r>
        <w:rPr>
          <w:color w:val="auto"/>
          <w:sz w:val="21"/>
          <w:szCs w:val="21"/>
          <w:highlight w:val="none"/>
        </w:rPr>
        <w:tab/>
      </w:r>
      <w:r>
        <w:rPr>
          <w:color w:val="auto"/>
          <w:sz w:val="21"/>
          <w:szCs w:val="21"/>
          <w:highlight w:val="none"/>
        </w:rPr>
        <w:fldChar w:fldCharType="begin"/>
      </w:r>
      <w:r>
        <w:rPr>
          <w:color w:val="auto"/>
          <w:sz w:val="21"/>
          <w:szCs w:val="21"/>
          <w:highlight w:val="none"/>
        </w:rPr>
        <w:instrText xml:space="preserve"> PAGEREF _Toc20249 \h </w:instrText>
      </w:r>
      <w:r>
        <w:rPr>
          <w:color w:val="auto"/>
          <w:sz w:val="21"/>
          <w:szCs w:val="21"/>
          <w:highlight w:val="none"/>
        </w:rPr>
        <w:fldChar w:fldCharType="separate"/>
      </w:r>
      <w:r>
        <w:rPr>
          <w:color w:val="auto"/>
          <w:sz w:val="21"/>
          <w:szCs w:val="21"/>
          <w:highlight w:val="none"/>
        </w:rPr>
        <w:t>50</w:t>
      </w:r>
      <w:r>
        <w:rPr>
          <w:color w:val="auto"/>
          <w:sz w:val="21"/>
          <w:szCs w:val="21"/>
          <w:highlight w:val="none"/>
        </w:rPr>
        <w:fldChar w:fldCharType="end"/>
      </w:r>
      <w:r>
        <w:rPr>
          <w:color w:val="auto"/>
          <w:sz w:val="21"/>
          <w:szCs w:val="21"/>
          <w:highlight w:val="none"/>
        </w:rPr>
        <w:fldChar w:fldCharType="end"/>
      </w:r>
    </w:p>
    <w:p w14:paraId="07AE5AFD">
      <w:pPr>
        <w:pStyle w:val="20"/>
        <w:shd w:val="clear"/>
        <w:tabs>
          <w:tab w:val="right" w:leader="dot" w:pos="9072"/>
        </w:tabs>
        <w:rPr>
          <w:color w:val="auto"/>
          <w:sz w:val="21"/>
          <w:szCs w:val="21"/>
          <w:highlight w:val="none"/>
        </w:rPr>
      </w:pPr>
      <w:r>
        <w:rPr>
          <w:color w:val="auto"/>
          <w:highlight w:val="none"/>
        </w:rPr>
        <w:fldChar w:fldCharType="begin"/>
      </w:r>
      <w:r>
        <w:rPr>
          <w:color w:val="auto"/>
          <w:highlight w:val="none"/>
        </w:rPr>
        <w:instrText xml:space="preserve"> HYPERLINK \l "_Toc14280" </w:instrText>
      </w:r>
      <w:r>
        <w:rPr>
          <w:color w:val="auto"/>
          <w:highlight w:val="none"/>
        </w:rPr>
        <w:fldChar w:fldCharType="separate"/>
      </w:r>
      <w:r>
        <w:rPr>
          <w:rFonts w:hint="eastAsia" w:ascii="宋体" w:hAnsi="宋体" w:cs="宋体"/>
          <w:color w:val="auto"/>
          <w:sz w:val="21"/>
          <w:szCs w:val="40"/>
          <w:highlight w:val="none"/>
        </w:rPr>
        <w:t>第七章  评标办法</w:t>
      </w:r>
      <w:r>
        <w:rPr>
          <w:color w:val="auto"/>
          <w:sz w:val="21"/>
          <w:szCs w:val="21"/>
          <w:highlight w:val="none"/>
        </w:rPr>
        <w:tab/>
      </w:r>
      <w:r>
        <w:rPr>
          <w:color w:val="auto"/>
          <w:sz w:val="21"/>
          <w:szCs w:val="21"/>
          <w:highlight w:val="none"/>
        </w:rPr>
        <w:fldChar w:fldCharType="begin"/>
      </w:r>
      <w:r>
        <w:rPr>
          <w:color w:val="auto"/>
          <w:sz w:val="21"/>
          <w:szCs w:val="21"/>
          <w:highlight w:val="none"/>
        </w:rPr>
        <w:instrText xml:space="preserve"> PAGEREF _Toc14280 \h </w:instrText>
      </w:r>
      <w:r>
        <w:rPr>
          <w:color w:val="auto"/>
          <w:sz w:val="21"/>
          <w:szCs w:val="21"/>
          <w:highlight w:val="none"/>
        </w:rPr>
        <w:fldChar w:fldCharType="separate"/>
      </w:r>
      <w:r>
        <w:rPr>
          <w:color w:val="auto"/>
          <w:sz w:val="21"/>
          <w:szCs w:val="21"/>
          <w:highlight w:val="none"/>
        </w:rPr>
        <w:t>62</w:t>
      </w:r>
      <w:r>
        <w:rPr>
          <w:color w:val="auto"/>
          <w:sz w:val="21"/>
          <w:szCs w:val="21"/>
          <w:highlight w:val="none"/>
        </w:rPr>
        <w:fldChar w:fldCharType="end"/>
      </w:r>
      <w:r>
        <w:rPr>
          <w:color w:val="auto"/>
          <w:sz w:val="21"/>
          <w:szCs w:val="21"/>
          <w:highlight w:val="none"/>
        </w:rPr>
        <w:fldChar w:fldCharType="end"/>
      </w:r>
    </w:p>
    <w:p w14:paraId="76267233">
      <w:pPr>
        <w:pStyle w:val="20"/>
        <w:shd w:val="clear"/>
        <w:tabs>
          <w:tab w:val="right" w:leader="dot" w:pos="9072"/>
        </w:tabs>
        <w:rPr>
          <w:color w:val="auto"/>
          <w:sz w:val="21"/>
          <w:szCs w:val="21"/>
          <w:highlight w:val="none"/>
        </w:rPr>
      </w:pPr>
      <w:r>
        <w:rPr>
          <w:color w:val="auto"/>
          <w:highlight w:val="none"/>
        </w:rPr>
        <w:fldChar w:fldCharType="begin"/>
      </w:r>
      <w:r>
        <w:rPr>
          <w:color w:val="auto"/>
          <w:highlight w:val="none"/>
        </w:rPr>
        <w:instrText xml:space="preserve"> HYPERLINK \l "_Toc11815" </w:instrText>
      </w:r>
      <w:r>
        <w:rPr>
          <w:color w:val="auto"/>
          <w:highlight w:val="none"/>
        </w:rPr>
        <w:fldChar w:fldCharType="separate"/>
      </w:r>
      <w:r>
        <w:rPr>
          <w:rFonts w:hint="eastAsia" w:ascii="宋体" w:hAnsi="宋体" w:cs="宋体"/>
          <w:color w:val="auto"/>
          <w:sz w:val="21"/>
          <w:szCs w:val="40"/>
          <w:highlight w:val="none"/>
        </w:rPr>
        <w:t>第八章  政府采购合同（样例）</w:t>
      </w:r>
      <w:r>
        <w:rPr>
          <w:color w:val="auto"/>
          <w:sz w:val="21"/>
          <w:szCs w:val="21"/>
          <w:highlight w:val="none"/>
        </w:rPr>
        <w:tab/>
      </w:r>
      <w:r>
        <w:rPr>
          <w:color w:val="auto"/>
          <w:sz w:val="21"/>
          <w:szCs w:val="21"/>
          <w:highlight w:val="none"/>
        </w:rPr>
        <w:fldChar w:fldCharType="begin"/>
      </w:r>
      <w:r>
        <w:rPr>
          <w:color w:val="auto"/>
          <w:sz w:val="21"/>
          <w:szCs w:val="21"/>
          <w:highlight w:val="none"/>
        </w:rPr>
        <w:instrText xml:space="preserve"> PAGEREF _Toc11815 \h </w:instrText>
      </w:r>
      <w:r>
        <w:rPr>
          <w:color w:val="auto"/>
          <w:sz w:val="21"/>
          <w:szCs w:val="21"/>
          <w:highlight w:val="none"/>
        </w:rPr>
        <w:fldChar w:fldCharType="separate"/>
      </w:r>
      <w:r>
        <w:rPr>
          <w:color w:val="auto"/>
          <w:sz w:val="21"/>
          <w:szCs w:val="21"/>
          <w:highlight w:val="none"/>
        </w:rPr>
        <w:t>83</w:t>
      </w:r>
      <w:r>
        <w:rPr>
          <w:color w:val="auto"/>
          <w:sz w:val="21"/>
          <w:szCs w:val="21"/>
          <w:highlight w:val="none"/>
        </w:rPr>
        <w:fldChar w:fldCharType="end"/>
      </w:r>
      <w:r>
        <w:rPr>
          <w:color w:val="auto"/>
          <w:sz w:val="21"/>
          <w:szCs w:val="21"/>
          <w:highlight w:val="none"/>
        </w:rPr>
        <w:fldChar w:fldCharType="end"/>
      </w:r>
    </w:p>
    <w:p w14:paraId="4C2FAC08">
      <w:pPr>
        <w:pStyle w:val="20"/>
        <w:shd w:val="clear"/>
        <w:tabs>
          <w:tab w:val="right" w:leader="dot" w:pos="9072"/>
        </w:tabs>
        <w:rPr>
          <w:color w:val="auto"/>
          <w:sz w:val="21"/>
          <w:szCs w:val="21"/>
          <w:highlight w:val="none"/>
        </w:rPr>
      </w:pPr>
      <w:r>
        <w:rPr>
          <w:color w:val="auto"/>
          <w:highlight w:val="none"/>
        </w:rPr>
        <w:fldChar w:fldCharType="begin"/>
      </w:r>
      <w:r>
        <w:rPr>
          <w:color w:val="auto"/>
          <w:highlight w:val="none"/>
        </w:rPr>
        <w:instrText xml:space="preserve"> HYPERLINK \l "_Toc19760" </w:instrText>
      </w:r>
      <w:r>
        <w:rPr>
          <w:color w:val="auto"/>
          <w:highlight w:val="none"/>
        </w:rPr>
        <w:fldChar w:fldCharType="separate"/>
      </w:r>
      <w:r>
        <w:rPr>
          <w:rFonts w:hint="eastAsia" w:hAnsi="宋体" w:cs="宋体"/>
          <w:color w:val="auto"/>
          <w:sz w:val="21"/>
          <w:szCs w:val="44"/>
          <w:highlight w:val="none"/>
        </w:rPr>
        <w:t>附件一 质疑函范本</w:t>
      </w:r>
      <w:r>
        <w:rPr>
          <w:color w:val="auto"/>
          <w:sz w:val="21"/>
          <w:szCs w:val="21"/>
          <w:highlight w:val="none"/>
        </w:rPr>
        <w:tab/>
      </w:r>
      <w:r>
        <w:rPr>
          <w:color w:val="auto"/>
          <w:sz w:val="21"/>
          <w:szCs w:val="21"/>
          <w:highlight w:val="none"/>
        </w:rPr>
        <w:fldChar w:fldCharType="begin"/>
      </w:r>
      <w:r>
        <w:rPr>
          <w:color w:val="auto"/>
          <w:sz w:val="21"/>
          <w:szCs w:val="21"/>
          <w:highlight w:val="none"/>
        </w:rPr>
        <w:instrText xml:space="preserve"> PAGEREF _Toc19760 \h </w:instrText>
      </w:r>
      <w:r>
        <w:rPr>
          <w:color w:val="auto"/>
          <w:sz w:val="21"/>
          <w:szCs w:val="21"/>
          <w:highlight w:val="none"/>
        </w:rPr>
        <w:fldChar w:fldCharType="separate"/>
      </w:r>
      <w:r>
        <w:rPr>
          <w:color w:val="auto"/>
          <w:sz w:val="21"/>
          <w:szCs w:val="21"/>
          <w:highlight w:val="none"/>
        </w:rPr>
        <w:t>87</w:t>
      </w:r>
      <w:r>
        <w:rPr>
          <w:color w:val="auto"/>
          <w:sz w:val="21"/>
          <w:szCs w:val="21"/>
          <w:highlight w:val="none"/>
        </w:rPr>
        <w:fldChar w:fldCharType="end"/>
      </w:r>
      <w:r>
        <w:rPr>
          <w:color w:val="auto"/>
          <w:sz w:val="21"/>
          <w:szCs w:val="21"/>
          <w:highlight w:val="none"/>
        </w:rPr>
        <w:fldChar w:fldCharType="end"/>
      </w:r>
    </w:p>
    <w:p w14:paraId="49BF1276">
      <w:pPr>
        <w:pStyle w:val="20"/>
        <w:shd w:val="clear"/>
        <w:tabs>
          <w:tab w:val="right" w:leader="dot" w:pos="9072"/>
        </w:tabs>
        <w:rPr>
          <w:color w:val="auto"/>
          <w:highlight w:val="none"/>
        </w:rPr>
      </w:pPr>
      <w:r>
        <w:rPr>
          <w:color w:val="auto"/>
          <w:highlight w:val="none"/>
        </w:rPr>
        <w:fldChar w:fldCharType="begin"/>
      </w:r>
      <w:r>
        <w:rPr>
          <w:color w:val="auto"/>
          <w:highlight w:val="none"/>
        </w:rPr>
        <w:instrText xml:space="preserve"> HYPERLINK \l "_Toc28502" </w:instrText>
      </w:r>
      <w:r>
        <w:rPr>
          <w:color w:val="auto"/>
          <w:highlight w:val="none"/>
        </w:rPr>
        <w:fldChar w:fldCharType="separate"/>
      </w:r>
      <w:r>
        <w:rPr>
          <w:rFonts w:hint="eastAsia" w:hAnsi="宋体" w:cs="宋体"/>
          <w:color w:val="auto"/>
          <w:sz w:val="21"/>
          <w:szCs w:val="44"/>
          <w:highlight w:val="none"/>
        </w:rPr>
        <w:t>附件二 投诉书范本</w:t>
      </w:r>
      <w:r>
        <w:rPr>
          <w:color w:val="auto"/>
          <w:sz w:val="21"/>
          <w:szCs w:val="21"/>
          <w:highlight w:val="none"/>
        </w:rPr>
        <w:tab/>
      </w:r>
      <w:r>
        <w:rPr>
          <w:color w:val="auto"/>
          <w:sz w:val="21"/>
          <w:szCs w:val="21"/>
          <w:highlight w:val="none"/>
        </w:rPr>
        <w:fldChar w:fldCharType="begin"/>
      </w:r>
      <w:r>
        <w:rPr>
          <w:color w:val="auto"/>
          <w:sz w:val="21"/>
          <w:szCs w:val="21"/>
          <w:highlight w:val="none"/>
        </w:rPr>
        <w:instrText xml:space="preserve"> PAGEREF _Toc28502 \h </w:instrText>
      </w:r>
      <w:r>
        <w:rPr>
          <w:color w:val="auto"/>
          <w:sz w:val="21"/>
          <w:szCs w:val="21"/>
          <w:highlight w:val="none"/>
        </w:rPr>
        <w:fldChar w:fldCharType="separate"/>
      </w:r>
      <w:r>
        <w:rPr>
          <w:color w:val="auto"/>
          <w:sz w:val="21"/>
          <w:szCs w:val="21"/>
          <w:highlight w:val="none"/>
        </w:rPr>
        <w:t>89</w:t>
      </w:r>
      <w:r>
        <w:rPr>
          <w:color w:val="auto"/>
          <w:sz w:val="21"/>
          <w:szCs w:val="21"/>
          <w:highlight w:val="none"/>
        </w:rPr>
        <w:fldChar w:fldCharType="end"/>
      </w:r>
      <w:r>
        <w:rPr>
          <w:color w:val="auto"/>
          <w:sz w:val="21"/>
          <w:szCs w:val="21"/>
          <w:highlight w:val="none"/>
        </w:rPr>
        <w:fldChar w:fldCharType="end"/>
      </w:r>
    </w:p>
    <w:p w14:paraId="2B1B2531">
      <w:pPr>
        <w:shd w:val="clear"/>
        <w:spacing w:line="400" w:lineRule="exact"/>
        <w:rPr>
          <w:rFonts w:hAnsi="宋体" w:cs="宋体"/>
          <w:color w:val="auto"/>
          <w:sz w:val="28"/>
          <w:szCs w:val="28"/>
          <w:highlight w:val="none"/>
        </w:rPr>
      </w:pPr>
      <w:r>
        <w:rPr>
          <w:rFonts w:hint="eastAsia" w:hAnsi="宋体" w:cs="宋体"/>
          <w:bCs/>
          <w:caps/>
          <w:color w:val="auto"/>
          <w:szCs w:val="24"/>
          <w:highlight w:val="none"/>
        </w:rPr>
        <w:fldChar w:fldCharType="end"/>
      </w:r>
    </w:p>
    <w:p w14:paraId="2E2581E5">
      <w:pPr>
        <w:shd w:val="clear"/>
        <w:spacing w:line="500" w:lineRule="exact"/>
        <w:rPr>
          <w:rFonts w:hAnsi="宋体" w:cs="宋体"/>
          <w:color w:val="auto"/>
          <w:highlight w:val="none"/>
        </w:rPr>
      </w:pPr>
    </w:p>
    <w:p w14:paraId="1D524E19">
      <w:pPr>
        <w:pStyle w:val="2"/>
        <w:shd w:val="clear"/>
        <w:spacing w:line="500" w:lineRule="exact"/>
        <w:rPr>
          <w:rFonts w:hAnsi="宋体" w:cs="宋体"/>
          <w:color w:val="auto"/>
          <w:highlight w:val="none"/>
        </w:rPr>
      </w:pPr>
    </w:p>
    <w:p w14:paraId="2579D445">
      <w:pPr>
        <w:pStyle w:val="2"/>
        <w:shd w:val="clear"/>
        <w:spacing w:line="500" w:lineRule="exact"/>
        <w:rPr>
          <w:rFonts w:hAnsi="宋体" w:cs="宋体"/>
          <w:color w:val="auto"/>
          <w:highlight w:val="none"/>
        </w:rPr>
      </w:pPr>
    </w:p>
    <w:p w14:paraId="1C3AE8A9">
      <w:pPr>
        <w:pStyle w:val="2"/>
        <w:shd w:val="clear"/>
        <w:spacing w:line="500" w:lineRule="exact"/>
        <w:rPr>
          <w:rFonts w:hAnsi="宋体" w:cs="宋体"/>
          <w:color w:val="auto"/>
          <w:highlight w:val="none"/>
        </w:rPr>
      </w:pPr>
    </w:p>
    <w:p w14:paraId="116755DD">
      <w:pPr>
        <w:pStyle w:val="2"/>
        <w:shd w:val="clear"/>
        <w:spacing w:line="500" w:lineRule="exact"/>
        <w:rPr>
          <w:rFonts w:hAnsi="宋体" w:cs="宋体"/>
          <w:color w:val="auto"/>
          <w:highlight w:val="none"/>
        </w:rPr>
      </w:pPr>
    </w:p>
    <w:p w14:paraId="672FB71C">
      <w:pPr>
        <w:pStyle w:val="3"/>
        <w:shd w:val="clear"/>
        <w:spacing w:before="260" w:after="260" w:line="500" w:lineRule="exact"/>
        <w:rPr>
          <w:rFonts w:hAnsi="宋体" w:cs="宋体"/>
          <w:bCs w:val="0"/>
          <w:color w:val="auto"/>
          <w:sz w:val="32"/>
          <w:szCs w:val="32"/>
          <w:highlight w:val="none"/>
        </w:rPr>
        <w:sectPr>
          <w:headerReference r:id="rId10" w:type="first"/>
          <w:footerReference r:id="rId12" w:type="first"/>
          <w:headerReference r:id="rId9" w:type="default"/>
          <w:footerReference r:id="rId11" w:type="default"/>
          <w:type w:val="nextColumn"/>
          <w:pgSz w:w="11907" w:h="16840"/>
          <w:pgMar w:top="1361" w:right="1361" w:bottom="1418" w:left="1474" w:header="851" w:footer="992" w:gutter="0"/>
          <w:pgNumType w:start="0"/>
          <w:cols w:space="720" w:num="1"/>
          <w:titlePg/>
          <w:docGrid w:linePitch="312" w:charSpace="0"/>
        </w:sectPr>
      </w:pPr>
    </w:p>
    <w:p w14:paraId="5A318721">
      <w:pPr>
        <w:pStyle w:val="3"/>
        <w:shd w:val="clear"/>
        <w:spacing w:before="260" w:after="260" w:line="500" w:lineRule="exact"/>
        <w:rPr>
          <w:rFonts w:hAnsi="宋体" w:cs="宋体"/>
          <w:bCs w:val="0"/>
          <w:color w:val="auto"/>
          <w:sz w:val="32"/>
          <w:szCs w:val="32"/>
          <w:highlight w:val="none"/>
        </w:rPr>
      </w:pPr>
      <w:bookmarkStart w:id="0" w:name="_Toc11368"/>
      <w:r>
        <w:rPr>
          <w:rFonts w:hint="eastAsia" w:hAnsi="宋体" w:cs="宋体"/>
          <w:bCs w:val="0"/>
          <w:color w:val="auto"/>
          <w:sz w:val="32"/>
          <w:szCs w:val="32"/>
          <w:highlight w:val="none"/>
        </w:rPr>
        <w:t>第一章  投标邀请</w:t>
      </w:r>
      <w:bookmarkEnd w:id="0"/>
    </w:p>
    <w:p w14:paraId="714AD407">
      <w:pPr>
        <w:shd w:val="clear"/>
        <w:spacing w:line="500" w:lineRule="exact"/>
        <w:ind w:firstLine="480" w:firstLineChars="200"/>
        <w:jc w:val="left"/>
        <w:rPr>
          <w:rFonts w:hAnsi="宋体" w:cs="宋体"/>
          <w:color w:val="auto"/>
          <w:sz w:val="24"/>
          <w:szCs w:val="28"/>
          <w:highlight w:val="none"/>
        </w:rPr>
      </w:pPr>
      <w:r>
        <w:rPr>
          <w:rFonts w:hint="eastAsia" w:hAnsi="宋体" w:cs="宋体"/>
          <w:color w:val="auto"/>
          <w:sz w:val="24"/>
          <w:highlight w:val="none"/>
          <w:u w:val="single"/>
        </w:rPr>
        <w:t xml:space="preserve">四川标源招标代理有限公司 </w:t>
      </w:r>
      <w:r>
        <w:rPr>
          <w:rFonts w:hint="eastAsia" w:hAnsi="宋体" w:cs="宋体"/>
          <w:color w:val="auto"/>
          <w:sz w:val="24"/>
          <w:highlight w:val="none"/>
        </w:rPr>
        <w:t>（采购代理机构）受</w:t>
      </w:r>
      <w:r>
        <w:rPr>
          <w:rFonts w:hint="eastAsia" w:hAnsi="宋体" w:cs="宋体"/>
          <w:bCs/>
          <w:color w:val="auto"/>
          <w:sz w:val="24"/>
          <w:szCs w:val="24"/>
          <w:highlight w:val="none"/>
          <w:u w:val="single"/>
        </w:rPr>
        <w:t>西南科技大学</w:t>
      </w:r>
      <w:r>
        <w:rPr>
          <w:rFonts w:hint="eastAsia" w:hAnsi="宋体" w:cs="宋体"/>
          <w:bCs/>
          <w:color w:val="auto"/>
          <w:sz w:val="24"/>
          <w:highlight w:val="none"/>
        </w:rPr>
        <w:t>（采购人）</w:t>
      </w:r>
      <w:r>
        <w:rPr>
          <w:rFonts w:hint="eastAsia" w:hAnsi="宋体" w:cs="宋体"/>
          <w:color w:val="auto"/>
          <w:sz w:val="24"/>
          <w:highlight w:val="none"/>
        </w:rPr>
        <w:t>委托，拟对</w:t>
      </w:r>
      <w:r>
        <w:rPr>
          <w:rFonts w:hint="eastAsia" w:hAnsi="宋体" w:cs="宋体"/>
          <w:bCs/>
          <w:color w:val="auto"/>
          <w:sz w:val="24"/>
          <w:szCs w:val="24"/>
          <w:highlight w:val="none"/>
          <w:u w:val="single"/>
        </w:rPr>
        <w:t>新闻演播室声光电系统集成仪器设备采购项目</w:t>
      </w:r>
      <w:r>
        <w:rPr>
          <w:rFonts w:hint="eastAsia" w:hAnsi="宋体" w:cs="宋体"/>
          <w:color w:val="auto"/>
          <w:sz w:val="24"/>
          <w:highlight w:val="none"/>
        </w:rPr>
        <w:t>进行国内</w:t>
      </w:r>
      <w:r>
        <w:rPr>
          <w:rFonts w:hint="eastAsia" w:hAnsi="宋体" w:cs="宋体"/>
          <w:bCs/>
          <w:color w:val="auto"/>
          <w:sz w:val="24"/>
          <w:highlight w:val="none"/>
        </w:rPr>
        <w:t>公开</w:t>
      </w:r>
      <w:r>
        <w:rPr>
          <w:rFonts w:hint="eastAsia" w:hAnsi="宋体" w:cs="宋体"/>
          <w:color w:val="auto"/>
          <w:sz w:val="24"/>
          <w:highlight w:val="none"/>
        </w:rPr>
        <w:t>招标，</w:t>
      </w:r>
      <w:r>
        <w:rPr>
          <w:rFonts w:hint="eastAsia" w:hAnsi="宋体" w:cs="宋体"/>
          <w:color w:val="auto"/>
          <w:sz w:val="24"/>
          <w:szCs w:val="28"/>
          <w:highlight w:val="none"/>
        </w:rPr>
        <w:t>兹邀请符合本次招标要求的投标人参加</w:t>
      </w:r>
      <w:r>
        <w:rPr>
          <w:rFonts w:hint="eastAsia" w:hAnsi="宋体" w:cs="宋体"/>
          <w:color w:val="auto"/>
          <w:sz w:val="24"/>
          <w:highlight w:val="none"/>
        </w:rPr>
        <w:t>投标</w:t>
      </w:r>
      <w:r>
        <w:rPr>
          <w:rFonts w:hint="eastAsia" w:hAnsi="宋体" w:cs="宋体"/>
          <w:color w:val="auto"/>
          <w:sz w:val="24"/>
          <w:szCs w:val="28"/>
          <w:highlight w:val="none"/>
        </w:rPr>
        <w:t>。</w:t>
      </w:r>
    </w:p>
    <w:p w14:paraId="6582906F">
      <w:pPr>
        <w:shd w:val="clear"/>
        <w:spacing w:line="500" w:lineRule="exact"/>
        <w:ind w:firstLine="482" w:firstLineChars="200"/>
        <w:rPr>
          <w:rFonts w:hAnsi="宋体" w:cs="宋体"/>
          <w:b/>
          <w:color w:val="auto"/>
          <w:sz w:val="24"/>
          <w:highlight w:val="none"/>
        </w:rPr>
      </w:pPr>
      <w:r>
        <w:rPr>
          <w:rFonts w:hint="eastAsia" w:hAnsi="宋体" w:cs="宋体"/>
          <w:b/>
          <w:color w:val="auto"/>
          <w:sz w:val="24"/>
          <w:highlight w:val="none"/>
        </w:rPr>
        <w:t>一、招标编号：N5100012024002299</w:t>
      </w:r>
    </w:p>
    <w:p w14:paraId="236319F7">
      <w:pPr>
        <w:shd w:val="clear"/>
        <w:spacing w:line="500" w:lineRule="exact"/>
        <w:ind w:right="51" w:rightChars="15" w:firstLine="482" w:firstLineChars="200"/>
        <w:rPr>
          <w:rFonts w:hAnsi="宋体" w:cs="宋体"/>
          <w:b/>
          <w:color w:val="auto"/>
          <w:sz w:val="24"/>
          <w:szCs w:val="32"/>
          <w:highlight w:val="none"/>
        </w:rPr>
      </w:pPr>
      <w:r>
        <w:rPr>
          <w:rFonts w:hint="eastAsia" w:hAnsi="宋体" w:cs="宋体"/>
          <w:b/>
          <w:bCs/>
          <w:color w:val="auto"/>
          <w:sz w:val="24"/>
          <w:highlight w:val="none"/>
        </w:rPr>
        <w:t>二、</w:t>
      </w:r>
      <w:r>
        <w:rPr>
          <w:rFonts w:hint="eastAsia" w:hAnsi="宋体" w:cs="宋体"/>
          <w:b/>
          <w:color w:val="auto"/>
          <w:sz w:val="24"/>
          <w:highlight w:val="none"/>
        </w:rPr>
        <w:t>招标项目：新闻演播室声光电系统集成仪器设备采购项目</w:t>
      </w:r>
      <w:r>
        <w:rPr>
          <w:rFonts w:hint="eastAsia" w:hAnsi="宋体" w:cs="宋体"/>
          <w:b/>
          <w:color w:val="auto"/>
          <w:sz w:val="24"/>
          <w:szCs w:val="32"/>
          <w:highlight w:val="none"/>
        </w:rPr>
        <w:t>。</w:t>
      </w:r>
    </w:p>
    <w:p w14:paraId="31EAC38D">
      <w:pPr>
        <w:shd w:val="clear"/>
        <w:spacing w:line="500" w:lineRule="exact"/>
        <w:ind w:right="51" w:rightChars="15" w:firstLine="482" w:firstLineChars="200"/>
        <w:rPr>
          <w:rFonts w:hAnsi="宋体" w:cs="宋体"/>
          <w:b/>
          <w:bCs/>
          <w:color w:val="auto"/>
          <w:sz w:val="24"/>
          <w:highlight w:val="none"/>
        </w:rPr>
      </w:pPr>
      <w:r>
        <w:rPr>
          <w:rFonts w:hint="eastAsia" w:hAnsi="宋体" w:cs="宋体"/>
          <w:b/>
          <w:color w:val="auto"/>
          <w:sz w:val="24"/>
          <w:szCs w:val="28"/>
          <w:highlight w:val="none"/>
        </w:rPr>
        <w:t>三、资金来源：财政资金，</w:t>
      </w:r>
      <w:r>
        <w:rPr>
          <w:rFonts w:hint="eastAsia" w:hAnsi="宋体" w:cs="宋体"/>
          <w:b/>
          <w:bCs/>
          <w:color w:val="auto"/>
          <w:sz w:val="24"/>
          <w:highlight w:val="none"/>
        </w:rPr>
        <w:t>资金已落实。</w:t>
      </w:r>
    </w:p>
    <w:p w14:paraId="1AEA2773">
      <w:pPr>
        <w:shd w:val="clear"/>
        <w:spacing w:line="500" w:lineRule="exact"/>
        <w:ind w:firstLine="482" w:firstLineChars="200"/>
        <w:rPr>
          <w:color w:val="auto"/>
          <w:highlight w:val="none"/>
        </w:rPr>
      </w:pPr>
      <w:r>
        <w:rPr>
          <w:rFonts w:hint="eastAsia" w:hAnsi="宋体" w:cs="宋体"/>
          <w:b/>
          <w:color w:val="auto"/>
          <w:sz w:val="24"/>
          <w:highlight w:val="none"/>
        </w:rPr>
        <w:t>四、招标项目简介：</w:t>
      </w:r>
      <w:r>
        <w:rPr>
          <w:rFonts w:hint="eastAsia"/>
          <w:b/>
          <w:color w:val="auto"/>
          <w:sz w:val="24"/>
          <w:highlight w:val="none"/>
        </w:rPr>
        <w:t>本项目共1个包，采购</w:t>
      </w:r>
      <w:r>
        <w:rPr>
          <w:rFonts w:hint="eastAsia" w:hAnsi="宋体" w:cs="宋体"/>
          <w:b/>
          <w:color w:val="auto"/>
          <w:sz w:val="24"/>
          <w:highlight w:val="none"/>
        </w:rPr>
        <w:t>新闻演播室声光电系统集成仪器设备</w:t>
      </w:r>
      <w:r>
        <w:rPr>
          <w:rFonts w:hint="eastAsia"/>
          <w:b/>
          <w:color w:val="auto"/>
          <w:sz w:val="24"/>
          <w:highlight w:val="none"/>
        </w:rPr>
        <w:t>。</w:t>
      </w:r>
    </w:p>
    <w:p w14:paraId="2FD31A62">
      <w:pPr>
        <w:shd w:val="clear"/>
        <w:spacing w:afterLines="50" w:line="500" w:lineRule="exact"/>
        <w:ind w:firstLine="482" w:firstLineChars="200"/>
        <w:rPr>
          <w:rFonts w:hAnsi="宋体" w:cs="宋体"/>
          <w:b/>
          <w:bCs/>
          <w:color w:val="auto"/>
          <w:sz w:val="24"/>
          <w:highlight w:val="none"/>
        </w:rPr>
      </w:pPr>
      <w:r>
        <w:rPr>
          <w:rFonts w:hint="eastAsia" w:hAnsi="宋体" w:cs="宋体"/>
          <w:b/>
          <w:bCs/>
          <w:color w:val="auto"/>
          <w:sz w:val="24"/>
          <w:highlight w:val="none"/>
        </w:rPr>
        <w:t>五、投标人参加本次政府采购活动，应当在提交投标文件前具备下列条件：</w:t>
      </w:r>
    </w:p>
    <w:p w14:paraId="3B00E19B">
      <w:pPr>
        <w:shd w:val="clear"/>
        <w:autoSpaceDE w:val="0"/>
        <w:spacing w:line="5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1、具备《中华人民共和国政府采购法》第二十二条规定的条件</w:t>
      </w:r>
    </w:p>
    <w:p w14:paraId="12AB90E8">
      <w:pPr>
        <w:shd w:val="clear"/>
        <w:autoSpaceDE w:val="0"/>
        <w:spacing w:line="500" w:lineRule="exact"/>
        <w:ind w:firstLine="720" w:firstLineChars="300"/>
        <w:rPr>
          <w:rFonts w:hAnsi="宋体" w:cs="宋体"/>
          <w:color w:val="auto"/>
          <w:sz w:val="24"/>
          <w:szCs w:val="24"/>
          <w:highlight w:val="none"/>
        </w:rPr>
      </w:pPr>
      <w:r>
        <w:rPr>
          <w:rFonts w:hint="eastAsia" w:hAnsi="宋体" w:cs="宋体"/>
          <w:color w:val="auto"/>
          <w:sz w:val="24"/>
          <w:szCs w:val="24"/>
          <w:highlight w:val="none"/>
        </w:rPr>
        <w:t>1.1具备独立的承担民事责任能力；</w:t>
      </w:r>
    </w:p>
    <w:p w14:paraId="0860B84A">
      <w:pPr>
        <w:shd w:val="clear"/>
        <w:autoSpaceDE w:val="0"/>
        <w:spacing w:line="500" w:lineRule="exact"/>
        <w:ind w:firstLine="720" w:firstLineChars="300"/>
        <w:rPr>
          <w:rFonts w:hAnsi="宋体" w:cs="宋体"/>
          <w:color w:val="auto"/>
          <w:sz w:val="24"/>
          <w:szCs w:val="24"/>
          <w:highlight w:val="none"/>
        </w:rPr>
      </w:pPr>
      <w:r>
        <w:rPr>
          <w:rFonts w:hint="eastAsia" w:hAnsi="宋体" w:cs="宋体"/>
          <w:color w:val="auto"/>
          <w:sz w:val="24"/>
          <w:szCs w:val="24"/>
          <w:highlight w:val="none"/>
        </w:rPr>
        <w:t>1.2具有良好的商业信誉和健全的财务会计制度；</w:t>
      </w:r>
    </w:p>
    <w:p w14:paraId="08523BC9">
      <w:pPr>
        <w:shd w:val="clear"/>
        <w:autoSpaceDE w:val="0"/>
        <w:spacing w:line="500" w:lineRule="exact"/>
        <w:ind w:firstLine="720" w:firstLineChars="300"/>
        <w:rPr>
          <w:rFonts w:hAnsi="宋体" w:cs="宋体"/>
          <w:color w:val="auto"/>
          <w:sz w:val="24"/>
          <w:szCs w:val="24"/>
          <w:highlight w:val="none"/>
        </w:rPr>
      </w:pPr>
      <w:r>
        <w:rPr>
          <w:rFonts w:hint="eastAsia" w:hAnsi="宋体" w:cs="宋体"/>
          <w:color w:val="auto"/>
          <w:sz w:val="24"/>
          <w:szCs w:val="24"/>
          <w:highlight w:val="none"/>
        </w:rPr>
        <w:t>1.3有依法缴纳税收和社会保障资金的良好记录：</w:t>
      </w:r>
      <w:bookmarkStart w:id="177" w:name="_GoBack"/>
      <w:bookmarkEnd w:id="177"/>
    </w:p>
    <w:p w14:paraId="4628164F">
      <w:pPr>
        <w:shd w:val="clear"/>
        <w:autoSpaceDE w:val="0"/>
        <w:spacing w:line="500" w:lineRule="exact"/>
        <w:ind w:firstLine="720" w:firstLineChars="300"/>
        <w:rPr>
          <w:rFonts w:hAnsi="宋体" w:cs="宋体"/>
          <w:color w:val="auto"/>
          <w:sz w:val="24"/>
          <w:szCs w:val="24"/>
          <w:highlight w:val="none"/>
        </w:rPr>
      </w:pPr>
      <w:r>
        <w:rPr>
          <w:rFonts w:hint="eastAsia" w:hAnsi="宋体" w:cs="宋体"/>
          <w:color w:val="auto"/>
          <w:sz w:val="24"/>
          <w:szCs w:val="24"/>
          <w:highlight w:val="none"/>
        </w:rPr>
        <w:t>1.4具有履行合同所必需的设备和专业技术能力；</w:t>
      </w:r>
    </w:p>
    <w:p w14:paraId="0AF20A5A">
      <w:pPr>
        <w:shd w:val="clear"/>
        <w:autoSpaceDE w:val="0"/>
        <w:spacing w:line="500" w:lineRule="exact"/>
        <w:ind w:firstLine="720" w:firstLineChars="300"/>
        <w:rPr>
          <w:rFonts w:hAnsi="宋体" w:cs="宋体"/>
          <w:color w:val="auto"/>
          <w:sz w:val="24"/>
          <w:szCs w:val="24"/>
          <w:highlight w:val="none"/>
        </w:rPr>
      </w:pPr>
      <w:r>
        <w:rPr>
          <w:rFonts w:hint="eastAsia" w:hAnsi="宋体" w:cs="宋体"/>
          <w:color w:val="auto"/>
          <w:sz w:val="24"/>
          <w:szCs w:val="24"/>
          <w:highlight w:val="none"/>
        </w:rPr>
        <w:t>1.5参加政府采购活动前三年内，在经营活动中没有重大违法记录；</w:t>
      </w:r>
    </w:p>
    <w:p w14:paraId="277707C5">
      <w:pPr>
        <w:shd w:val="clear"/>
        <w:autoSpaceDE w:val="0"/>
        <w:spacing w:line="500" w:lineRule="exact"/>
        <w:ind w:firstLine="720" w:firstLineChars="300"/>
        <w:rPr>
          <w:rFonts w:hAnsi="宋体" w:cs="宋体"/>
          <w:color w:val="auto"/>
          <w:sz w:val="24"/>
          <w:szCs w:val="24"/>
          <w:highlight w:val="none"/>
        </w:rPr>
      </w:pPr>
      <w:r>
        <w:rPr>
          <w:rFonts w:hint="eastAsia" w:hAnsi="宋体" w:cs="宋体"/>
          <w:color w:val="auto"/>
          <w:sz w:val="24"/>
          <w:szCs w:val="24"/>
          <w:highlight w:val="none"/>
        </w:rPr>
        <w:t>1.6法律、行政法规规定的其他条件。</w:t>
      </w:r>
    </w:p>
    <w:p w14:paraId="0487BCD3">
      <w:pPr>
        <w:shd w:val="clear"/>
        <w:autoSpaceDE w:val="0"/>
        <w:spacing w:line="5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2、</w:t>
      </w:r>
      <w:r>
        <w:rPr>
          <w:rFonts w:hint="eastAsia" w:hAnsi="宋体" w:cs="宋体"/>
          <w:color w:val="auto"/>
          <w:sz w:val="24"/>
          <w:highlight w:val="none"/>
        </w:rPr>
        <w:t>参加本次招标采购活动，不存在与单位负责人为同一人或者存在直接控股、管理关系的其他投标人参与同一合同项下的政府采购活动的行为。</w:t>
      </w:r>
    </w:p>
    <w:p w14:paraId="14F0C4CB">
      <w:pPr>
        <w:shd w:val="clear"/>
        <w:autoSpaceDE w:val="0"/>
        <w:spacing w:line="5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3、投标人未对本次采购项目提供过整体设计、规范编制或者项目管理、监理、检测等服务。</w:t>
      </w:r>
    </w:p>
    <w:p w14:paraId="418DD4CE">
      <w:pPr>
        <w:shd w:val="clear"/>
        <w:autoSpaceDE w:val="0"/>
        <w:spacing w:line="5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4、投标人单位及其现任法定代表人不得具有行贿犯罪记录。</w:t>
      </w:r>
    </w:p>
    <w:p w14:paraId="5BAC2679">
      <w:pPr>
        <w:shd w:val="clear"/>
        <w:autoSpaceDE w:val="0"/>
        <w:spacing w:line="5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5、投标人“截至投标截止日未被列入失信被执行人、重大税收违法案件当事人、政府采购严重违法失信行为记录名单”。</w:t>
      </w:r>
    </w:p>
    <w:p w14:paraId="415C063A">
      <w:pPr>
        <w:shd w:val="clear"/>
        <w:spacing w:line="48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6、本项目不接受联合体投标。</w:t>
      </w:r>
    </w:p>
    <w:p w14:paraId="3A4F761E">
      <w:pPr>
        <w:shd w:val="clear"/>
        <w:spacing w:after="50" w:line="500" w:lineRule="exact"/>
        <w:ind w:firstLine="482" w:firstLineChars="200"/>
        <w:rPr>
          <w:rFonts w:hAnsi="宋体" w:cs="宋体"/>
          <w:b/>
          <w:color w:val="auto"/>
          <w:sz w:val="24"/>
          <w:highlight w:val="none"/>
        </w:rPr>
      </w:pPr>
      <w:r>
        <w:rPr>
          <w:rFonts w:hint="eastAsia" w:hAnsi="宋体" w:cs="宋体"/>
          <w:b/>
          <w:color w:val="auto"/>
          <w:sz w:val="24"/>
          <w:highlight w:val="none"/>
        </w:rPr>
        <w:t>六、禁止参加本次采购活动的投标人</w:t>
      </w:r>
    </w:p>
    <w:p w14:paraId="3B049614">
      <w:pPr>
        <w:shd w:val="clear"/>
        <w:spacing w:after="50" w:line="500" w:lineRule="exact"/>
        <w:ind w:firstLine="480" w:firstLineChars="200"/>
        <w:rPr>
          <w:rFonts w:hAnsi="宋体" w:cs="宋体"/>
          <w:bCs/>
          <w:color w:val="auto"/>
          <w:sz w:val="24"/>
          <w:szCs w:val="22"/>
          <w:highlight w:val="none"/>
        </w:rPr>
      </w:pPr>
      <w:r>
        <w:rPr>
          <w:rFonts w:hint="eastAsia" w:hAnsi="宋体" w:cs="宋体"/>
          <w:bCs/>
          <w:color w:val="auto"/>
          <w:sz w:val="24"/>
          <w:szCs w:val="22"/>
          <w:highlight w:val="none"/>
        </w:rPr>
        <w:t>根据《关于在政府采购活动中查询及使用信用记录有关问题的通知》（财库〔2016〕125 号）的要求，采购代理机构将通过“信用中国”网站（www.creditchina.gov.cn）、“中国政府采购网”网站（www.ccgp.gov.cn）等渠道查询投标人在投标截止日前的信用记录并保存信用记录结果网页截图，拒绝列入失信被执行人、重大税收违法案件当事人名单、政府采购严重违法失信行为记录名单中的投标人报名参加本项目的采购活动。</w:t>
      </w:r>
    </w:p>
    <w:p w14:paraId="51838A79">
      <w:pPr>
        <w:shd w:val="clear"/>
        <w:spacing w:after="50" w:line="500" w:lineRule="exact"/>
        <w:ind w:firstLine="482" w:firstLineChars="200"/>
        <w:rPr>
          <w:rFonts w:hAnsi="宋体" w:cs="宋体"/>
          <w:b/>
          <w:color w:val="auto"/>
          <w:sz w:val="24"/>
          <w:highlight w:val="none"/>
        </w:rPr>
      </w:pPr>
      <w:r>
        <w:rPr>
          <w:rFonts w:hint="eastAsia" w:hAnsi="宋体" w:cs="宋体"/>
          <w:b/>
          <w:color w:val="auto"/>
          <w:sz w:val="24"/>
          <w:highlight w:val="none"/>
        </w:rPr>
        <w:t>七、招标文件发售时间、地点：</w:t>
      </w:r>
    </w:p>
    <w:p w14:paraId="3AFAE1C2">
      <w:pPr>
        <w:shd w:val="clear"/>
        <w:spacing w:afterLines="50" w:line="460" w:lineRule="exact"/>
        <w:ind w:firstLine="480" w:firstLineChars="200"/>
        <w:rPr>
          <w:rFonts w:hAnsi="宋体" w:cs="宋体"/>
          <w:bCs/>
          <w:color w:val="auto"/>
          <w:sz w:val="24"/>
          <w:highlight w:val="none"/>
        </w:rPr>
      </w:pPr>
      <w:r>
        <w:rPr>
          <w:rFonts w:hint="eastAsia" w:hAnsi="宋体" w:cs="宋体"/>
          <w:bCs/>
          <w:color w:val="auto"/>
          <w:sz w:val="24"/>
          <w:highlight w:val="none"/>
        </w:rPr>
        <w:t>2024年</w:t>
      </w:r>
      <w:r>
        <w:rPr>
          <w:rFonts w:hint="eastAsia" w:hAnsi="宋体" w:cs="宋体"/>
          <w:bCs/>
          <w:color w:val="auto"/>
          <w:sz w:val="24"/>
          <w:highlight w:val="none"/>
          <w:lang w:val="en-US" w:eastAsia="zh-CN"/>
        </w:rPr>
        <w:t>10</w:t>
      </w:r>
      <w:r>
        <w:rPr>
          <w:rFonts w:hint="eastAsia" w:hAnsi="宋体" w:cs="宋体"/>
          <w:bCs/>
          <w:color w:val="auto"/>
          <w:sz w:val="24"/>
          <w:highlight w:val="none"/>
        </w:rPr>
        <w:t>月</w:t>
      </w:r>
      <w:r>
        <w:rPr>
          <w:rFonts w:hint="eastAsia" w:hAnsi="宋体" w:cs="宋体"/>
          <w:bCs/>
          <w:color w:val="auto"/>
          <w:sz w:val="24"/>
          <w:highlight w:val="none"/>
          <w:lang w:val="en-US" w:eastAsia="zh-CN"/>
        </w:rPr>
        <w:t>22</w:t>
      </w:r>
      <w:r>
        <w:rPr>
          <w:rFonts w:hint="eastAsia" w:hAnsi="宋体" w:cs="宋体"/>
          <w:bCs/>
          <w:color w:val="auto"/>
          <w:sz w:val="24"/>
          <w:highlight w:val="none"/>
        </w:rPr>
        <w:t>日至2024年</w:t>
      </w:r>
      <w:r>
        <w:rPr>
          <w:rFonts w:hint="eastAsia" w:hAnsi="宋体" w:cs="宋体"/>
          <w:bCs/>
          <w:color w:val="auto"/>
          <w:sz w:val="24"/>
          <w:highlight w:val="none"/>
          <w:lang w:val="en-US" w:eastAsia="zh-CN"/>
        </w:rPr>
        <w:t>10</w:t>
      </w:r>
      <w:r>
        <w:rPr>
          <w:rFonts w:hint="eastAsia" w:hAnsi="宋体" w:cs="宋体"/>
          <w:bCs/>
          <w:color w:val="auto"/>
          <w:sz w:val="24"/>
          <w:highlight w:val="none"/>
        </w:rPr>
        <w:t>月</w:t>
      </w:r>
      <w:r>
        <w:rPr>
          <w:rFonts w:hint="eastAsia" w:hAnsi="宋体" w:cs="宋体"/>
          <w:bCs/>
          <w:color w:val="auto"/>
          <w:sz w:val="24"/>
          <w:highlight w:val="none"/>
          <w:lang w:val="en-US" w:eastAsia="zh-CN"/>
        </w:rPr>
        <w:t>28</w:t>
      </w:r>
      <w:r>
        <w:rPr>
          <w:rFonts w:hint="eastAsia" w:hAnsi="宋体" w:cs="宋体"/>
          <w:bCs/>
          <w:color w:val="auto"/>
          <w:sz w:val="24"/>
          <w:highlight w:val="none"/>
        </w:rPr>
        <w:t>日，每天上午00:00:00至12:00:00，下午12:00:00至23:59:59（北京时间）</w:t>
      </w:r>
    </w:p>
    <w:p w14:paraId="6D1BF185">
      <w:pPr>
        <w:shd w:val="clear"/>
        <w:spacing w:afterLines="50" w:line="460" w:lineRule="exact"/>
        <w:ind w:firstLine="480" w:firstLineChars="200"/>
        <w:rPr>
          <w:rFonts w:hAnsi="宋体" w:cs="宋体"/>
          <w:bCs/>
          <w:color w:val="auto"/>
          <w:sz w:val="24"/>
          <w:highlight w:val="none"/>
        </w:rPr>
      </w:pPr>
      <w:r>
        <w:rPr>
          <w:rFonts w:hint="eastAsia" w:hAnsi="宋体" w:cs="宋体"/>
          <w:bCs/>
          <w:color w:val="auto"/>
          <w:sz w:val="24"/>
          <w:highlight w:val="none"/>
        </w:rPr>
        <w:t>途径：项目电子化交易系统-投标（响应）管理-未获取采购文件中选择本项目获取采购文件</w:t>
      </w:r>
    </w:p>
    <w:p w14:paraId="67EA1C04">
      <w:pPr>
        <w:shd w:val="clear"/>
        <w:spacing w:afterLines="50" w:line="460" w:lineRule="exact"/>
        <w:ind w:firstLine="480" w:firstLineChars="200"/>
        <w:rPr>
          <w:rFonts w:hAnsi="宋体" w:cs="宋体"/>
          <w:color w:val="auto"/>
          <w:sz w:val="24"/>
          <w:highlight w:val="none"/>
        </w:rPr>
      </w:pPr>
      <w:r>
        <w:rPr>
          <w:rFonts w:hint="eastAsia" w:hAnsi="宋体" w:cs="宋体"/>
          <w:bCs/>
          <w:color w:val="auto"/>
          <w:sz w:val="24"/>
          <w:highlight w:val="none"/>
        </w:rPr>
        <w:t>方式：在线获取</w:t>
      </w:r>
      <w:r>
        <w:rPr>
          <w:rFonts w:hint="eastAsia" w:hAnsi="宋体" w:cs="宋体"/>
          <w:bCs/>
          <w:color w:val="auto"/>
          <w:sz w:val="24"/>
          <w:szCs w:val="24"/>
          <w:highlight w:val="none"/>
        </w:rPr>
        <w:t>。</w:t>
      </w:r>
    </w:p>
    <w:p w14:paraId="20CF1DE3">
      <w:pPr>
        <w:shd w:val="clear"/>
        <w:spacing w:afterLines="50" w:line="460" w:lineRule="exact"/>
        <w:ind w:firstLine="482" w:firstLineChars="200"/>
        <w:rPr>
          <w:rFonts w:hAnsi="宋体" w:cs="宋体"/>
          <w:b/>
          <w:color w:val="auto"/>
          <w:sz w:val="24"/>
          <w:szCs w:val="28"/>
          <w:highlight w:val="none"/>
        </w:rPr>
      </w:pPr>
      <w:r>
        <w:rPr>
          <w:rFonts w:hint="eastAsia" w:hAnsi="宋体" w:cs="宋体"/>
          <w:b/>
          <w:color w:val="auto"/>
          <w:sz w:val="24"/>
          <w:szCs w:val="28"/>
          <w:highlight w:val="none"/>
        </w:rPr>
        <w:t>八、招标文件售价：0元（投标资格不能转让）。</w:t>
      </w:r>
    </w:p>
    <w:p w14:paraId="60B80014">
      <w:pPr>
        <w:shd w:val="clear"/>
        <w:spacing w:afterLines="50" w:line="460" w:lineRule="exact"/>
        <w:ind w:firstLine="482" w:firstLineChars="200"/>
        <w:rPr>
          <w:rFonts w:hAnsi="宋体" w:cs="宋体"/>
          <w:b/>
          <w:color w:val="auto"/>
          <w:sz w:val="24"/>
          <w:highlight w:val="none"/>
        </w:rPr>
      </w:pPr>
      <w:r>
        <w:rPr>
          <w:rFonts w:hint="eastAsia" w:hAnsi="宋体" w:cs="宋体"/>
          <w:b/>
          <w:color w:val="auto"/>
          <w:sz w:val="24"/>
          <w:szCs w:val="28"/>
          <w:highlight w:val="none"/>
        </w:rPr>
        <w:t>九、</w:t>
      </w:r>
      <w:r>
        <w:rPr>
          <w:rFonts w:hint="eastAsia" w:hAnsi="宋体" w:cs="宋体"/>
          <w:b/>
          <w:color w:val="auto"/>
          <w:sz w:val="24"/>
          <w:highlight w:val="none"/>
        </w:rPr>
        <w:t>投标截止时间：</w:t>
      </w:r>
      <w:r>
        <w:rPr>
          <w:rFonts w:hint="eastAsia" w:hAnsi="宋体" w:cs="宋体"/>
          <w:b/>
          <w:bCs/>
          <w:color w:val="auto"/>
          <w:sz w:val="24"/>
          <w:highlight w:val="none"/>
        </w:rPr>
        <w:t>2024年</w:t>
      </w:r>
      <w:r>
        <w:rPr>
          <w:rFonts w:hint="eastAsia" w:hAnsi="宋体" w:cs="宋体"/>
          <w:b/>
          <w:bCs/>
          <w:color w:val="auto"/>
          <w:sz w:val="24"/>
          <w:highlight w:val="none"/>
          <w:lang w:val="en-US" w:eastAsia="zh-CN"/>
        </w:rPr>
        <w:t>11</w:t>
      </w:r>
      <w:r>
        <w:rPr>
          <w:rFonts w:hint="eastAsia" w:hAnsi="宋体" w:cs="宋体"/>
          <w:b/>
          <w:bCs/>
          <w:color w:val="auto"/>
          <w:sz w:val="24"/>
          <w:highlight w:val="none"/>
        </w:rPr>
        <w:t>月</w:t>
      </w:r>
      <w:r>
        <w:rPr>
          <w:rFonts w:hint="eastAsia" w:hAnsi="宋体" w:cs="宋体"/>
          <w:b/>
          <w:bCs/>
          <w:color w:val="auto"/>
          <w:sz w:val="24"/>
          <w:highlight w:val="none"/>
          <w:lang w:val="en-US" w:eastAsia="zh-CN"/>
        </w:rPr>
        <w:t>11</w:t>
      </w:r>
      <w:r>
        <w:rPr>
          <w:rFonts w:hint="eastAsia" w:hAnsi="宋体" w:cs="宋体"/>
          <w:b/>
          <w:bCs/>
          <w:color w:val="auto"/>
          <w:sz w:val="24"/>
          <w:highlight w:val="none"/>
        </w:rPr>
        <w:t>日10:30</w:t>
      </w:r>
      <w:r>
        <w:rPr>
          <w:rFonts w:hint="eastAsia" w:hAnsi="宋体" w:cs="宋体"/>
          <w:color w:val="auto"/>
          <w:sz w:val="24"/>
          <w:highlight w:val="none"/>
        </w:rPr>
        <w:t>（</w:t>
      </w:r>
      <w:r>
        <w:rPr>
          <w:rFonts w:hint="eastAsia" w:hAnsi="宋体" w:cs="宋体"/>
          <w:color w:val="auto"/>
          <w:sz w:val="24"/>
          <w:szCs w:val="28"/>
          <w:highlight w:val="none"/>
        </w:rPr>
        <w:t>北京时间）。</w:t>
      </w:r>
    </w:p>
    <w:p w14:paraId="34F28E83">
      <w:pPr>
        <w:shd w:val="clear"/>
        <w:spacing w:afterLines="50" w:line="460" w:lineRule="exact"/>
        <w:ind w:firstLine="482" w:firstLineChars="200"/>
        <w:rPr>
          <w:rFonts w:hAnsi="宋体" w:cs="宋体"/>
          <w:color w:val="auto"/>
          <w:sz w:val="24"/>
          <w:szCs w:val="28"/>
          <w:highlight w:val="none"/>
        </w:rPr>
      </w:pPr>
      <w:r>
        <w:rPr>
          <w:rFonts w:hint="eastAsia" w:hAnsi="宋体" w:cs="宋体"/>
          <w:b/>
          <w:color w:val="auto"/>
          <w:sz w:val="24"/>
          <w:highlight w:val="none"/>
        </w:rPr>
        <w:t xml:space="preserve">    开标时间：</w:t>
      </w:r>
      <w:r>
        <w:rPr>
          <w:rFonts w:hint="eastAsia" w:hAnsi="宋体" w:cs="宋体"/>
          <w:b/>
          <w:bCs/>
          <w:color w:val="auto"/>
          <w:sz w:val="24"/>
          <w:highlight w:val="none"/>
        </w:rPr>
        <w:t>2024年</w:t>
      </w:r>
      <w:r>
        <w:rPr>
          <w:rFonts w:hint="eastAsia" w:hAnsi="宋体" w:cs="宋体"/>
          <w:b/>
          <w:bCs/>
          <w:color w:val="auto"/>
          <w:sz w:val="24"/>
          <w:highlight w:val="none"/>
          <w:lang w:val="en-US" w:eastAsia="zh-CN"/>
        </w:rPr>
        <w:t>11</w:t>
      </w:r>
      <w:r>
        <w:rPr>
          <w:rFonts w:hint="eastAsia" w:hAnsi="宋体" w:cs="宋体"/>
          <w:b/>
          <w:bCs/>
          <w:color w:val="auto"/>
          <w:sz w:val="24"/>
          <w:highlight w:val="none"/>
        </w:rPr>
        <w:t>月</w:t>
      </w:r>
      <w:r>
        <w:rPr>
          <w:rFonts w:hint="eastAsia" w:hAnsi="宋体" w:cs="宋体"/>
          <w:b/>
          <w:bCs/>
          <w:color w:val="auto"/>
          <w:sz w:val="24"/>
          <w:highlight w:val="none"/>
          <w:lang w:val="en-US" w:eastAsia="zh-CN"/>
        </w:rPr>
        <w:t>11</w:t>
      </w:r>
      <w:r>
        <w:rPr>
          <w:rFonts w:hint="eastAsia" w:hAnsi="宋体" w:cs="宋体"/>
          <w:b/>
          <w:bCs/>
          <w:color w:val="auto"/>
          <w:sz w:val="24"/>
          <w:highlight w:val="none"/>
        </w:rPr>
        <w:t>日10:30</w:t>
      </w:r>
      <w:r>
        <w:rPr>
          <w:rFonts w:hint="eastAsia" w:hAnsi="宋体" w:cs="宋体"/>
          <w:color w:val="auto"/>
          <w:sz w:val="24"/>
          <w:szCs w:val="28"/>
          <w:highlight w:val="none"/>
        </w:rPr>
        <w:t>（北京时间）。</w:t>
      </w:r>
    </w:p>
    <w:p w14:paraId="488A81CC">
      <w:pPr>
        <w:shd w:val="clear"/>
        <w:spacing w:afterLines="50" w:line="460" w:lineRule="exact"/>
        <w:ind w:firstLine="480" w:firstLineChars="200"/>
        <w:rPr>
          <w:rFonts w:hAnsi="宋体" w:cs="宋体"/>
          <w:color w:val="auto"/>
          <w:sz w:val="24"/>
          <w:szCs w:val="28"/>
          <w:highlight w:val="none"/>
        </w:rPr>
      </w:pPr>
      <w:r>
        <w:rPr>
          <w:rFonts w:hint="eastAsia" w:hAnsi="宋体" w:cs="宋体"/>
          <w:color w:val="auto"/>
          <w:sz w:val="24"/>
          <w:szCs w:val="28"/>
          <w:highlight w:val="none"/>
        </w:rPr>
        <w:t>投标文件应在开标当日投标截止时间前送达开标地点，本次招标不接受以电子邮件、传真及邮寄方式递交的投标文件。逾期送达的投标文件不予接收。</w:t>
      </w:r>
    </w:p>
    <w:p w14:paraId="1E128E2C">
      <w:pPr>
        <w:shd w:val="clear"/>
        <w:spacing w:afterLines="50" w:line="460" w:lineRule="exact"/>
        <w:ind w:firstLine="480" w:firstLineChars="200"/>
        <w:rPr>
          <w:rFonts w:hAnsi="宋体" w:cs="宋体"/>
          <w:color w:val="auto"/>
          <w:sz w:val="24"/>
          <w:szCs w:val="28"/>
          <w:highlight w:val="none"/>
        </w:rPr>
      </w:pPr>
      <w:r>
        <w:rPr>
          <w:rFonts w:hint="eastAsia" w:hAnsi="宋体" w:cs="宋体"/>
          <w:color w:val="auto"/>
          <w:sz w:val="24"/>
          <w:szCs w:val="28"/>
          <w:highlight w:val="none"/>
        </w:rPr>
        <w:t>请投标人按时参与本项目的开标，投标人未参加开标的，视同认可开标结果。</w:t>
      </w:r>
    </w:p>
    <w:p w14:paraId="2DA0F257">
      <w:pPr>
        <w:shd w:val="clear"/>
        <w:spacing w:after="50" w:line="460" w:lineRule="exact"/>
        <w:ind w:firstLine="489" w:firstLineChars="203"/>
        <w:rPr>
          <w:rFonts w:hAnsi="宋体" w:cs="宋体"/>
          <w:color w:val="auto"/>
          <w:sz w:val="24"/>
          <w:szCs w:val="28"/>
          <w:highlight w:val="none"/>
        </w:rPr>
      </w:pPr>
      <w:r>
        <w:rPr>
          <w:rFonts w:hint="eastAsia" w:hAnsi="宋体" w:cs="宋体"/>
          <w:b/>
          <w:color w:val="auto"/>
          <w:sz w:val="24"/>
          <w:szCs w:val="28"/>
          <w:highlight w:val="none"/>
        </w:rPr>
        <w:t>十、投标文件递交地点及</w:t>
      </w:r>
      <w:r>
        <w:rPr>
          <w:rFonts w:hint="eastAsia" w:hAnsi="宋体" w:cs="宋体"/>
          <w:b/>
          <w:bCs/>
          <w:color w:val="auto"/>
          <w:sz w:val="24"/>
          <w:szCs w:val="28"/>
          <w:highlight w:val="none"/>
        </w:rPr>
        <w:t>开标地点</w:t>
      </w:r>
      <w:r>
        <w:rPr>
          <w:rFonts w:hint="eastAsia" w:hAnsi="宋体" w:cs="宋体"/>
          <w:color w:val="auto"/>
          <w:sz w:val="24"/>
          <w:szCs w:val="28"/>
          <w:highlight w:val="none"/>
        </w:rPr>
        <w:t>：</w:t>
      </w:r>
      <w:r>
        <w:rPr>
          <w:rFonts w:hint="eastAsia" w:hAnsi="宋体" w:cs="宋体"/>
          <w:color w:val="auto"/>
          <w:sz w:val="24"/>
          <w:szCs w:val="24"/>
          <w:highlight w:val="none"/>
        </w:rPr>
        <w:t>四川省绵阳市经开区富临桃花岛假日公寓2单元7楼</w:t>
      </w:r>
      <w:r>
        <w:rPr>
          <w:rFonts w:hint="eastAsia" w:hAnsi="宋体" w:cs="宋体"/>
          <w:color w:val="auto"/>
          <w:sz w:val="24"/>
          <w:szCs w:val="28"/>
          <w:highlight w:val="none"/>
        </w:rPr>
        <w:t>。</w:t>
      </w:r>
    </w:p>
    <w:p w14:paraId="52054B3D">
      <w:pPr>
        <w:pStyle w:val="51"/>
        <w:shd w:val="clear"/>
        <w:spacing w:line="460" w:lineRule="exact"/>
        <w:ind w:firstLine="482"/>
        <w:rPr>
          <w:rFonts w:hAnsi="宋体" w:cs="宋体"/>
          <w:color w:val="auto"/>
          <w:sz w:val="24"/>
          <w:highlight w:val="none"/>
        </w:rPr>
      </w:pPr>
      <w:r>
        <w:rPr>
          <w:rFonts w:hint="eastAsia" w:hAnsi="宋体" w:cs="宋体"/>
          <w:b/>
          <w:color w:val="auto"/>
          <w:sz w:val="24"/>
          <w:highlight w:val="none"/>
        </w:rPr>
        <w:t>十一、</w:t>
      </w:r>
      <w:r>
        <w:rPr>
          <w:rFonts w:hint="eastAsia" w:hAnsi="宋体" w:cs="宋体"/>
          <w:color w:val="auto"/>
          <w:sz w:val="24"/>
          <w:highlight w:val="none"/>
        </w:rPr>
        <w:t>本投标邀请在四川政府采购网（www.ccgp-sichuan.gov.cn）上以公告形式发布，公告期限为发布之日起 5个工作日。</w:t>
      </w:r>
    </w:p>
    <w:p w14:paraId="31827480">
      <w:pPr>
        <w:pStyle w:val="51"/>
        <w:shd w:val="clear"/>
        <w:spacing w:line="460" w:lineRule="exact"/>
        <w:ind w:firstLine="482"/>
        <w:rPr>
          <w:rFonts w:hAnsi="宋体" w:cs="宋体"/>
          <w:b/>
          <w:color w:val="auto"/>
          <w:sz w:val="24"/>
          <w:highlight w:val="none"/>
        </w:rPr>
      </w:pPr>
      <w:r>
        <w:rPr>
          <w:rFonts w:hint="eastAsia" w:hAnsi="宋体" w:cs="宋体"/>
          <w:b/>
          <w:color w:val="auto"/>
          <w:sz w:val="24"/>
          <w:highlight w:val="none"/>
        </w:rPr>
        <w:t>十二、联系方式</w:t>
      </w:r>
    </w:p>
    <w:p w14:paraId="0A3DCB21">
      <w:pPr>
        <w:shd w:val="clear"/>
        <w:spacing w:line="440" w:lineRule="exact"/>
        <w:ind w:firstLine="482" w:firstLineChars="200"/>
        <w:rPr>
          <w:rFonts w:hAnsi="宋体" w:cs="宋体"/>
          <w:b/>
          <w:bCs/>
          <w:color w:val="auto"/>
          <w:sz w:val="24"/>
          <w:highlight w:val="none"/>
        </w:rPr>
      </w:pPr>
      <w:r>
        <w:rPr>
          <w:rFonts w:hint="eastAsia" w:hAnsi="宋体" w:cs="宋体"/>
          <w:b/>
          <w:bCs/>
          <w:color w:val="auto"/>
          <w:sz w:val="24"/>
          <w:highlight w:val="none"/>
        </w:rPr>
        <w:t>采 购 人：西南科技大学</w:t>
      </w:r>
    </w:p>
    <w:p w14:paraId="2CB33EFF">
      <w:pPr>
        <w:shd w:val="clear"/>
        <w:spacing w:line="46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地    址：四川省绵阳市涪城区青龙大道中段59号</w:t>
      </w:r>
    </w:p>
    <w:p w14:paraId="0FEBC569">
      <w:pPr>
        <w:shd w:val="clear"/>
        <w:spacing w:line="460" w:lineRule="exact"/>
        <w:ind w:firstLine="480" w:firstLineChars="200"/>
        <w:rPr>
          <w:rFonts w:hint="default" w:hAnsi="宋体" w:eastAsia="宋体" w:cs="宋体"/>
          <w:color w:val="auto"/>
          <w:sz w:val="24"/>
          <w:szCs w:val="24"/>
          <w:highlight w:val="none"/>
          <w:lang w:val="en-US" w:eastAsia="zh-CN"/>
        </w:rPr>
      </w:pPr>
      <w:r>
        <w:rPr>
          <w:rFonts w:hint="eastAsia" w:hAnsi="宋体" w:cs="宋体"/>
          <w:color w:val="auto"/>
          <w:sz w:val="24"/>
          <w:szCs w:val="24"/>
          <w:highlight w:val="none"/>
        </w:rPr>
        <w:t>联 系 人：</w:t>
      </w:r>
      <w:r>
        <w:rPr>
          <w:rFonts w:hint="eastAsia" w:hAnsi="宋体" w:cs="宋体"/>
          <w:color w:val="auto"/>
          <w:sz w:val="24"/>
          <w:szCs w:val="24"/>
          <w:highlight w:val="none"/>
          <w:lang w:val="en-US" w:eastAsia="zh-CN"/>
        </w:rPr>
        <w:t>胡</w:t>
      </w:r>
      <w:r>
        <w:rPr>
          <w:rFonts w:hint="eastAsia" w:hAnsi="宋体" w:cs="宋体"/>
          <w:color w:val="auto"/>
          <w:sz w:val="24"/>
          <w:szCs w:val="24"/>
          <w:highlight w:val="none"/>
        </w:rPr>
        <w:t>老师</w:t>
      </w:r>
      <w:r>
        <w:rPr>
          <w:rFonts w:hint="eastAsia" w:hAnsi="宋体" w:cs="宋体"/>
          <w:color w:val="auto"/>
          <w:sz w:val="24"/>
          <w:szCs w:val="24"/>
          <w:highlight w:val="none"/>
          <w:lang w:eastAsia="zh-CN"/>
        </w:rPr>
        <w:t>（</w:t>
      </w:r>
      <w:r>
        <w:rPr>
          <w:rFonts w:hint="eastAsia" w:hAnsi="宋体" w:cs="宋体"/>
          <w:color w:val="auto"/>
          <w:sz w:val="24"/>
          <w:szCs w:val="24"/>
          <w:highlight w:val="none"/>
          <w:lang w:val="en-US" w:eastAsia="zh-CN"/>
        </w:rPr>
        <w:t>采购需求咨询</w:t>
      </w:r>
      <w:r>
        <w:rPr>
          <w:rFonts w:hint="eastAsia" w:hAnsi="宋体" w:cs="宋体"/>
          <w:color w:val="auto"/>
          <w:sz w:val="24"/>
          <w:szCs w:val="24"/>
          <w:highlight w:val="none"/>
          <w:lang w:eastAsia="zh-CN"/>
        </w:rPr>
        <w:t>），</w:t>
      </w:r>
      <w:r>
        <w:rPr>
          <w:rFonts w:hint="eastAsia" w:hAnsi="宋体" w:cs="宋体"/>
          <w:color w:val="auto"/>
          <w:sz w:val="24"/>
          <w:szCs w:val="24"/>
          <w:highlight w:val="none"/>
          <w:lang w:val="en-US" w:eastAsia="zh-CN"/>
        </w:rPr>
        <w:t>段老师（采购合同咨询）</w:t>
      </w:r>
    </w:p>
    <w:p w14:paraId="4834482C">
      <w:pPr>
        <w:shd w:val="clear"/>
        <w:spacing w:line="46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联系电话：</w:t>
      </w:r>
      <w:r>
        <w:rPr>
          <w:rFonts w:hint="eastAsia" w:hAnsi="宋体" w:cs="宋体"/>
          <w:color w:val="auto"/>
          <w:sz w:val="24"/>
          <w:szCs w:val="24"/>
          <w:highlight w:val="none"/>
          <w:lang w:val="en-US" w:eastAsia="zh-CN"/>
        </w:rPr>
        <w:t>0816-6089305</w:t>
      </w:r>
      <w:r>
        <w:rPr>
          <w:rFonts w:hint="eastAsia" w:hAnsi="宋体" w:cs="宋体"/>
          <w:color w:val="auto"/>
          <w:sz w:val="24"/>
          <w:szCs w:val="24"/>
          <w:highlight w:val="none"/>
          <w:lang w:eastAsia="zh-CN"/>
        </w:rPr>
        <w:t>（</w:t>
      </w:r>
      <w:r>
        <w:rPr>
          <w:rFonts w:hint="eastAsia" w:hAnsi="宋体" w:cs="宋体"/>
          <w:color w:val="auto"/>
          <w:sz w:val="24"/>
          <w:szCs w:val="24"/>
          <w:highlight w:val="none"/>
          <w:lang w:val="en-US" w:eastAsia="zh-CN"/>
        </w:rPr>
        <w:t>采购需求咨询</w:t>
      </w:r>
      <w:r>
        <w:rPr>
          <w:rFonts w:hint="eastAsia" w:hAnsi="宋体" w:cs="宋体"/>
          <w:color w:val="auto"/>
          <w:sz w:val="24"/>
          <w:szCs w:val="24"/>
          <w:highlight w:val="none"/>
          <w:lang w:eastAsia="zh-CN"/>
        </w:rPr>
        <w:t>），</w:t>
      </w:r>
      <w:r>
        <w:rPr>
          <w:rFonts w:hint="eastAsia" w:hAnsi="宋体" w:cs="宋体"/>
          <w:color w:val="auto"/>
          <w:sz w:val="24"/>
          <w:szCs w:val="24"/>
          <w:highlight w:val="none"/>
        </w:rPr>
        <w:t>0816-3588081</w:t>
      </w:r>
      <w:r>
        <w:rPr>
          <w:rFonts w:hint="eastAsia" w:hAnsi="宋体" w:cs="宋体"/>
          <w:color w:val="auto"/>
          <w:sz w:val="24"/>
          <w:szCs w:val="24"/>
          <w:highlight w:val="none"/>
          <w:lang w:val="en-US" w:eastAsia="zh-CN"/>
        </w:rPr>
        <w:t>（采购合同咨询）。</w:t>
      </w:r>
    </w:p>
    <w:p w14:paraId="3D6C6617">
      <w:pPr>
        <w:shd w:val="clear"/>
        <w:spacing w:line="440" w:lineRule="exact"/>
        <w:ind w:firstLine="482" w:firstLineChars="200"/>
        <w:rPr>
          <w:rFonts w:hAnsi="宋体" w:cs="宋体"/>
          <w:b/>
          <w:bCs/>
          <w:color w:val="auto"/>
          <w:sz w:val="24"/>
          <w:highlight w:val="none"/>
        </w:rPr>
      </w:pPr>
      <w:r>
        <w:rPr>
          <w:rFonts w:hint="eastAsia" w:hAnsi="宋体" w:cs="宋体"/>
          <w:b/>
          <w:bCs/>
          <w:color w:val="auto"/>
          <w:sz w:val="24"/>
          <w:highlight w:val="none"/>
        </w:rPr>
        <w:t>采购代理机构：四川标源招标代理有限公司</w:t>
      </w:r>
    </w:p>
    <w:p w14:paraId="62D10E19">
      <w:pPr>
        <w:shd w:val="clear"/>
        <w:spacing w:line="480" w:lineRule="exact"/>
        <w:ind w:firstLine="480" w:firstLineChars="200"/>
        <w:rPr>
          <w:rFonts w:hAnsi="宋体" w:cs="宋体"/>
          <w:color w:val="auto"/>
          <w:sz w:val="24"/>
          <w:szCs w:val="22"/>
          <w:highlight w:val="none"/>
        </w:rPr>
      </w:pPr>
      <w:r>
        <w:rPr>
          <w:rFonts w:hint="eastAsia" w:hAnsi="宋体" w:cs="宋体"/>
          <w:color w:val="auto"/>
          <w:sz w:val="24"/>
          <w:szCs w:val="22"/>
          <w:highlight w:val="none"/>
        </w:rPr>
        <w:t>地    址：四川省绵阳市经开区富临桃花岛假日公寓2单元7楼</w:t>
      </w:r>
    </w:p>
    <w:p w14:paraId="0D77BC6B">
      <w:pPr>
        <w:shd w:val="clear"/>
        <w:spacing w:line="480" w:lineRule="exact"/>
        <w:ind w:firstLine="480" w:firstLineChars="200"/>
        <w:rPr>
          <w:rFonts w:hAnsi="宋体" w:cs="宋体"/>
          <w:color w:val="auto"/>
          <w:sz w:val="24"/>
          <w:szCs w:val="22"/>
          <w:highlight w:val="none"/>
        </w:rPr>
      </w:pPr>
      <w:r>
        <w:rPr>
          <w:rFonts w:hint="eastAsia" w:hAnsi="宋体" w:cs="宋体"/>
          <w:color w:val="auto"/>
          <w:sz w:val="24"/>
          <w:szCs w:val="22"/>
          <w:highlight w:val="none"/>
        </w:rPr>
        <w:t>邮    编：621000</w:t>
      </w:r>
    </w:p>
    <w:p w14:paraId="6E004A33">
      <w:pPr>
        <w:shd w:val="clear"/>
        <w:spacing w:line="480" w:lineRule="exact"/>
        <w:ind w:firstLine="480" w:firstLineChars="200"/>
        <w:rPr>
          <w:rFonts w:hAnsi="宋体" w:cs="宋体"/>
          <w:color w:val="auto"/>
          <w:sz w:val="24"/>
          <w:szCs w:val="22"/>
          <w:highlight w:val="none"/>
        </w:rPr>
      </w:pPr>
      <w:r>
        <w:rPr>
          <w:rFonts w:hint="eastAsia" w:hAnsi="宋体" w:cs="宋体"/>
          <w:color w:val="auto"/>
          <w:sz w:val="24"/>
          <w:szCs w:val="22"/>
          <w:highlight w:val="none"/>
        </w:rPr>
        <w:t>联 系 人：谢女士</w:t>
      </w:r>
    </w:p>
    <w:p w14:paraId="5777543E">
      <w:pPr>
        <w:shd w:val="clear"/>
        <w:spacing w:line="480" w:lineRule="exact"/>
        <w:ind w:firstLine="480" w:firstLineChars="200"/>
        <w:rPr>
          <w:rFonts w:hAnsi="宋体" w:cs="宋体"/>
          <w:color w:val="auto"/>
          <w:sz w:val="24"/>
          <w:szCs w:val="22"/>
          <w:highlight w:val="none"/>
        </w:rPr>
      </w:pPr>
      <w:r>
        <w:rPr>
          <w:rFonts w:hint="eastAsia" w:hAnsi="宋体" w:cs="宋体"/>
          <w:color w:val="auto"/>
          <w:sz w:val="24"/>
          <w:szCs w:val="22"/>
          <w:highlight w:val="none"/>
        </w:rPr>
        <w:t>项目咨询：0816-2390739、18227601678（仅限技术咨询）</w:t>
      </w:r>
    </w:p>
    <w:p w14:paraId="1A551BDE">
      <w:pPr>
        <w:shd w:val="clear"/>
        <w:spacing w:line="480" w:lineRule="exact"/>
        <w:ind w:firstLine="480" w:firstLineChars="200"/>
        <w:rPr>
          <w:rFonts w:hAnsi="宋体" w:cs="宋体"/>
          <w:color w:val="auto"/>
          <w:sz w:val="24"/>
          <w:szCs w:val="22"/>
          <w:highlight w:val="none"/>
        </w:rPr>
      </w:pPr>
      <w:r>
        <w:rPr>
          <w:rFonts w:hint="eastAsia" w:hAnsi="宋体" w:cs="宋体"/>
          <w:color w:val="auto"/>
          <w:sz w:val="24"/>
          <w:szCs w:val="22"/>
          <w:highlight w:val="none"/>
        </w:rPr>
        <w:t>标书售卖：0816-2390739</w:t>
      </w:r>
    </w:p>
    <w:p w14:paraId="0C3DEEF0">
      <w:pPr>
        <w:shd w:val="clear"/>
        <w:spacing w:line="480" w:lineRule="exact"/>
        <w:ind w:firstLine="480" w:firstLineChars="200"/>
        <w:rPr>
          <w:rFonts w:hAnsi="宋体" w:cs="宋体"/>
          <w:color w:val="auto"/>
          <w:sz w:val="24"/>
          <w:szCs w:val="22"/>
          <w:highlight w:val="none"/>
        </w:rPr>
      </w:pPr>
      <w:r>
        <w:rPr>
          <w:rFonts w:hint="eastAsia" w:hAnsi="宋体" w:cs="宋体"/>
          <w:color w:val="auto"/>
          <w:sz w:val="24"/>
          <w:szCs w:val="22"/>
          <w:highlight w:val="none"/>
        </w:rPr>
        <w:t>传    真：0816-2390739</w:t>
      </w:r>
    </w:p>
    <w:p w14:paraId="247D1471">
      <w:pPr>
        <w:shd w:val="clear"/>
        <w:spacing w:line="480" w:lineRule="exact"/>
        <w:ind w:firstLine="480" w:firstLineChars="200"/>
        <w:rPr>
          <w:rFonts w:hAnsi="宋体" w:cs="宋体"/>
          <w:color w:val="auto"/>
          <w:sz w:val="24"/>
          <w:szCs w:val="22"/>
          <w:highlight w:val="none"/>
        </w:rPr>
      </w:pPr>
      <w:r>
        <w:rPr>
          <w:rFonts w:hint="eastAsia" w:hAnsi="宋体" w:cs="宋体"/>
          <w:color w:val="auto"/>
          <w:sz w:val="24"/>
          <w:szCs w:val="22"/>
          <w:highlight w:val="none"/>
        </w:rPr>
        <w:t>财务咨询电话（包括保证金、发票、中标通知书）：18180671505</w:t>
      </w:r>
    </w:p>
    <w:p w14:paraId="1E9AEEF1">
      <w:pPr>
        <w:shd w:val="clear"/>
        <w:spacing w:line="480" w:lineRule="exact"/>
        <w:ind w:firstLine="480" w:firstLineChars="200"/>
        <w:rPr>
          <w:rFonts w:hAnsi="宋体" w:cs="宋体"/>
          <w:color w:val="auto"/>
          <w:sz w:val="24"/>
          <w:szCs w:val="22"/>
          <w:highlight w:val="none"/>
        </w:rPr>
      </w:pPr>
      <w:r>
        <w:rPr>
          <w:rFonts w:hint="eastAsia" w:hAnsi="宋体" w:cs="宋体"/>
          <w:color w:val="auto"/>
          <w:sz w:val="24"/>
          <w:szCs w:val="22"/>
          <w:highlight w:val="none"/>
        </w:rPr>
        <w:t>电子邮件：2337932433@QQ.com</w:t>
      </w:r>
    </w:p>
    <w:p w14:paraId="20395B00">
      <w:pPr>
        <w:shd w:val="clear"/>
        <w:spacing w:line="480" w:lineRule="exact"/>
        <w:ind w:firstLine="480" w:firstLineChars="200"/>
        <w:rPr>
          <w:rFonts w:hAnsi="宋体" w:cs="宋体"/>
          <w:b/>
          <w:color w:val="auto"/>
          <w:sz w:val="24"/>
          <w:szCs w:val="24"/>
          <w:highlight w:val="none"/>
        </w:rPr>
      </w:pPr>
      <w:r>
        <w:rPr>
          <w:rFonts w:hint="eastAsia" w:hAnsi="宋体" w:cs="宋体"/>
          <w:color w:val="auto"/>
          <w:sz w:val="24"/>
          <w:szCs w:val="22"/>
          <w:highlight w:val="none"/>
        </w:rPr>
        <w:t>网    址：</w:t>
      </w:r>
      <w:r>
        <w:rPr>
          <w:color w:val="auto"/>
          <w:highlight w:val="none"/>
        </w:rPr>
        <w:fldChar w:fldCharType="begin"/>
      </w:r>
      <w:r>
        <w:rPr>
          <w:color w:val="auto"/>
          <w:highlight w:val="none"/>
        </w:rPr>
        <w:instrText xml:space="preserve"> HYPERLINK "http://www.biaoyuanzhaobiao.com" </w:instrText>
      </w:r>
      <w:r>
        <w:rPr>
          <w:color w:val="auto"/>
          <w:highlight w:val="none"/>
        </w:rPr>
        <w:fldChar w:fldCharType="separate"/>
      </w:r>
      <w:r>
        <w:rPr>
          <w:rFonts w:hint="eastAsia" w:hAnsi="宋体" w:cs="宋体"/>
          <w:color w:val="auto"/>
          <w:sz w:val="24"/>
          <w:szCs w:val="22"/>
          <w:highlight w:val="none"/>
        </w:rPr>
        <w:t>www.biaoyuanzhaobiao.com</w:t>
      </w:r>
      <w:r>
        <w:rPr>
          <w:rFonts w:hint="eastAsia" w:hAnsi="宋体" w:cs="宋体"/>
          <w:color w:val="auto"/>
          <w:sz w:val="24"/>
          <w:szCs w:val="22"/>
          <w:highlight w:val="none"/>
        </w:rPr>
        <w:fldChar w:fldCharType="end"/>
      </w:r>
      <w:r>
        <w:rPr>
          <w:rFonts w:hint="eastAsia"/>
          <w:color w:val="auto"/>
          <w:highlight w:val="none"/>
        </w:rPr>
        <w:fldChar w:fldCharType="begin"/>
      </w:r>
      <w:r>
        <w:rPr>
          <w:rFonts w:hint="eastAsia" w:hAnsi="宋体" w:cs="宋体"/>
          <w:color w:val="auto"/>
          <w:highlight w:val="none"/>
        </w:rPr>
        <w:instrText xml:space="preserve"> HYPERLINK "http://www.biaoyuanzhaobiao.com"</w:instrText>
      </w:r>
      <w:r>
        <w:rPr>
          <w:rFonts w:hint="eastAsia"/>
          <w:color w:val="auto"/>
          <w:highlight w:val="none"/>
        </w:rPr>
        <w:fldChar w:fldCharType="separate"/>
      </w:r>
    </w:p>
    <w:p w14:paraId="7DEC3A1F">
      <w:pPr>
        <w:pStyle w:val="51"/>
        <w:shd w:val="clear"/>
        <w:spacing w:line="460" w:lineRule="exact"/>
        <w:ind w:firstLine="482"/>
        <w:rPr>
          <w:rFonts w:hAnsi="宋体" w:cs="宋体"/>
          <w:b/>
          <w:color w:val="auto"/>
          <w:sz w:val="24"/>
          <w:highlight w:val="none"/>
        </w:rPr>
      </w:pPr>
      <w:r>
        <w:rPr>
          <w:rFonts w:hint="eastAsia" w:hAnsi="宋体" w:cs="宋体"/>
          <w:b/>
          <w:color w:val="auto"/>
          <w:sz w:val="24"/>
          <w:highlight w:val="none"/>
        </w:rPr>
        <w:t>十三、“政采贷”信用融资渠道</w:t>
      </w:r>
    </w:p>
    <w:p w14:paraId="1747B2FF">
      <w:pPr>
        <w:widowControl/>
        <w:shd w:val="clear"/>
        <w:spacing w:line="480" w:lineRule="exact"/>
        <w:ind w:firstLine="480" w:firstLineChars="200"/>
        <w:jc w:val="left"/>
        <w:rPr>
          <w:rFonts w:hAnsi="宋体" w:cs="宋体"/>
          <w:color w:val="auto"/>
          <w:sz w:val="24"/>
          <w:highlight w:val="none"/>
        </w:rPr>
      </w:pPr>
      <w:r>
        <w:rPr>
          <w:rFonts w:hint="eastAsia" w:hAnsi="宋体" w:cs="宋体"/>
          <w:color w:val="auto"/>
          <w:sz w:val="24"/>
          <w:highlight w:val="none"/>
        </w:rPr>
        <w:t>根据《四川省财政厅关于推进四川省政府采购供应商信用融资工作的通知》(川财采[2018]</w:t>
      </w:r>
      <w:r>
        <w:rPr>
          <w:rFonts w:hint="eastAsia" w:hAnsi="宋体" w:cs="宋体"/>
          <w:bCs/>
          <w:color w:val="auto"/>
          <w:sz w:val="24"/>
          <w:szCs w:val="22"/>
          <w:highlight w:val="none"/>
        </w:rPr>
        <w:t>123号文)的通知，为解决政府采购</w:t>
      </w:r>
      <w:r>
        <w:rPr>
          <w:rFonts w:hint="eastAsia" w:hAnsi="宋体" w:cs="宋体"/>
          <w:bCs/>
          <w:color w:val="auto"/>
          <w:sz w:val="24"/>
          <w:szCs w:val="22"/>
          <w:highlight w:val="none"/>
          <w:lang w:eastAsia="zh-CN"/>
        </w:rPr>
        <w:t>中标人</w:t>
      </w:r>
      <w:r>
        <w:rPr>
          <w:rFonts w:hint="eastAsia" w:hAnsi="宋体" w:cs="宋体"/>
          <w:bCs/>
          <w:color w:val="auto"/>
          <w:sz w:val="24"/>
          <w:szCs w:val="22"/>
          <w:highlight w:val="none"/>
        </w:rPr>
        <w:t>资金不足、融资难、融资贵的问题，现有融资需求的供应商可根据四川省政府采购网公示的银行及其“政采贷”产品，自行选择符合自身情况的“政采贷”银行及其产品，凭成交通知书向银行提出贷款意向申请</w:t>
      </w:r>
    </w:p>
    <w:p w14:paraId="1DA44AAC">
      <w:pPr>
        <w:widowControl/>
        <w:shd w:val="clear"/>
        <w:spacing w:line="480" w:lineRule="exact"/>
        <w:ind w:firstLine="480" w:firstLineChars="200"/>
        <w:jc w:val="left"/>
        <w:rPr>
          <w:rFonts w:hAnsi="宋体" w:cs="宋体"/>
          <w:b/>
          <w:color w:val="auto"/>
          <w:sz w:val="24"/>
          <w:szCs w:val="24"/>
          <w:highlight w:val="none"/>
        </w:rPr>
      </w:pPr>
      <w:r>
        <w:rPr>
          <w:rFonts w:hint="eastAsia" w:hAnsi="宋体" w:cs="宋体"/>
          <w:color w:val="auto"/>
          <w:sz w:val="24"/>
          <w:highlight w:val="none"/>
        </w:rPr>
        <w:t>为有效缓解中小企业融资难、融资贵问题，成都市财政局、中国人民银行成都分行营业管理部制定了《成都市中小企业政府采购信用融资暂行办法》和《成都市级支持中小企业政府采购信用融资实施方案》（成财采[2019]17号），成都市范围内政府采购项目成交的中小微企业可向开展政府采购信用融资业务的银行提出融资申请。</w:t>
      </w:r>
      <w:r>
        <w:rPr>
          <w:rFonts w:hint="eastAsia" w:hAnsi="宋体" w:cs="宋体"/>
          <w:color w:val="auto"/>
          <w:highlight w:val="none"/>
        </w:rPr>
        <w:fldChar w:fldCharType="begin"/>
      </w:r>
      <w:r>
        <w:rPr>
          <w:rFonts w:hint="eastAsia" w:hAnsi="宋体" w:cs="宋体"/>
          <w:color w:val="auto"/>
          <w:highlight w:val="none"/>
        </w:rPr>
        <w:instrText xml:space="preserve"> HYPERLINK "http://www.biaoyuanzhaobiao.com"</w:instrText>
      </w:r>
      <w:r>
        <w:rPr>
          <w:rFonts w:hint="eastAsia" w:hAnsi="宋体" w:cs="宋体"/>
          <w:color w:val="auto"/>
          <w:highlight w:val="none"/>
        </w:rPr>
        <w:fldChar w:fldCharType="separate"/>
      </w:r>
    </w:p>
    <w:tbl>
      <w:tblPr>
        <w:tblStyle w:val="30"/>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503"/>
        <w:gridCol w:w="4536"/>
      </w:tblGrid>
      <w:tr w14:paraId="23F710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39" w:type="dxa"/>
            <w:gridSpan w:val="2"/>
            <w:noWrap/>
          </w:tcPr>
          <w:p w14:paraId="20A8144F">
            <w:pPr>
              <w:shd w:val="clear"/>
              <w:spacing w:line="460" w:lineRule="exact"/>
              <w:ind w:firstLine="480" w:firstLineChars="200"/>
              <w:jc w:val="center"/>
              <w:rPr>
                <w:rFonts w:hAnsi="宋体" w:cs="宋体"/>
                <w:color w:val="auto"/>
                <w:kern w:val="2"/>
                <w:sz w:val="24"/>
                <w:szCs w:val="22"/>
                <w:highlight w:val="none"/>
              </w:rPr>
            </w:pPr>
            <w:r>
              <w:rPr>
                <w:rFonts w:hint="eastAsia" w:hAnsi="宋体" w:cs="宋体"/>
                <w:color w:val="auto"/>
                <w:kern w:val="2"/>
                <w:sz w:val="24"/>
                <w:szCs w:val="22"/>
                <w:highlight w:val="none"/>
              </w:rPr>
              <w:br w:type="page"/>
            </w:r>
            <w:r>
              <w:rPr>
                <w:rFonts w:hint="eastAsia" w:hAnsi="宋体" w:cs="宋体"/>
                <w:color w:val="auto"/>
                <w:kern w:val="2"/>
                <w:sz w:val="24"/>
                <w:szCs w:val="22"/>
                <w:highlight w:val="none"/>
              </w:rPr>
              <w:fldChar w:fldCharType="end"/>
            </w:r>
            <w:r>
              <w:rPr>
                <w:rFonts w:hint="eastAsia" w:hAnsi="宋体" w:cs="宋体"/>
                <w:color w:val="auto"/>
                <w:kern w:val="2"/>
                <w:sz w:val="24"/>
                <w:szCs w:val="22"/>
                <w:highlight w:val="none"/>
              </w:rPr>
              <w:t>开展“政采贷”业务的银行名单</w:t>
            </w:r>
          </w:p>
        </w:tc>
      </w:tr>
      <w:tr w14:paraId="28ABEA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03" w:type="dxa"/>
            <w:noWrap/>
          </w:tcPr>
          <w:p w14:paraId="6EF34ABE">
            <w:pPr>
              <w:shd w:val="clear"/>
              <w:spacing w:line="480" w:lineRule="exact"/>
              <w:jc w:val="left"/>
              <w:rPr>
                <w:rFonts w:hAnsi="宋体" w:cs="宋体"/>
                <w:color w:val="auto"/>
                <w:kern w:val="2"/>
                <w:sz w:val="24"/>
                <w:szCs w:val="22"/>
                <w:highlight w:val="none"/>
              </w:rPr>
            </w:pPr>
            <w:r>
              <w:rPr>
                <w:rFonts w:hint="eastAsia" w:hAnsi="宋体" w:cs="宋体"/>
                <w:color w:val="auto"/>
                <w:kern w:val="2"/>
                <w:sz w:val="24"/>
                <w:szCs w:val="22"/>
                <w:highlight w:val="none"/>
              </w:rPr>
              <w:t>1.中国建设银行四川省分行</w:t>
            </w:r>
          </w:p>
        </w:tc>
        <w:tc>
          <w:tcPr>
            <w:tcW w:w="4536" w:type="dxa"/>
            <w:noWrap/>
          </w:tcPr>
          <w:p w14:paraId="76D99144">
            <w:pPr>
              <w:shd w:val="clear"/>
              <w:spacing w:line="480" w:lineRule="exact"/>
              <w:jc w:val="left"/>
              <w:rPr>
                <w:rFonts w:hAnsi="宋体" w:cs="宋体"/>
                <w:color w:val="auto"/>
                <w:kern w:val="2"/>
                <w:sz w:val="24"/>
                <w:szCs w:val="22"/>
                <w:highlight w:val="none"/>
              </w:rPr>
            </w:pPr>
            <w:r>
              <w:rPr>
                <w:rFonts w:hint="eastAsia" w:hAnsi="宋体" w:cs="宋体"/>
                <w:color w:val="auto"/>
                <w:kern w:val="2"/>
                <w:sz w:val="24"/>
                <w:szCs w:val="22"/>
                <w:highlight w:val="none"/>
              </w:rPr>
              <w:t>2.中国工商银行四川省分行</w:t>
            </w:r>
          </w:p>
        </w:tc>
      </w:tr>
      <w:tr w14:paraId="247023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03" w:type="dxa"/>
            <w:noWrap/>
          </w:tcPr>
          <w:p w14:paraId="694AD647">
            <w:pPr>
              <w:shd w:val="clear"/>
              <w:spacing w:line="480" w:lineRule="exact"/>
              <w:jc w:val="left"/>
              <w:rPr>
                <w:rFonts w:hAnsi="宋体" w:cs="宋体"/>
                <w:color w:val="auto"/>
                <w:kern w:val="2"/>
                <w:sz w:val="24"/>
                <w:szCs w:val="22"/>
                <w:highlight w:val="none"/>
              </w:rPr>
            </w:pPr>
            <w:r>
              <w:rPr>
                <w:rFonts w:hint="eastAsia" w:hAnsi="宋体" w:cs="宋体"/>
                <w:color w:val="auto"/>
                <w:kern w:val="2"/>
                <w:sz w:val="24"/>
                <w:szCs w:val="22"/>
                <w:highlight w:val="none"/>
              </w:rPr>
              <w:t>3.中国农业银行四川省分行</w:t>
            </w:r>
          </w:p>
        </w:tc>
        <w:tc>
          <w:tcPr>
            <w:tcW w:w="4536" w:type="dxa"/>
            <w:noWrap/>
          </w:tcPr>
          <w:p w14:paraId="2087FA97">
            <w:pPr>
              <w:shd w:val="clear"/>
              <w:spacing w:line="480" w:lineRule="exact"/>
              <w:jc w:val="left"/>
              <w:rPr>
                <w:rFonts w:hAnsi="宋体" w:cs="宋体"/>
                <w:color w:val="auto"/>
                <w:kern w:val="2"/>
                <w:sz w:val="24"/>
                <w:szCs w:val="22"/>
                <w:highlight w:val="none"/>
              </w:rPr>
            </w:pPr>
            <w:r>
              <w:rPr>
                <w:rFonts w:hint="eastAsia" w:hAnsi="宋体" w:cs="宋体"/>
                <w:color w:val="auto"/>
                <w:kern w:val="2"/>
                <w:sz w:val="24"/>
                <w:szCs w:val="22"/>
                <w:highlight w:val="none"/>
              </w:rPr>
              <w:t>4.中国银行四川省分行</w:t>
            </w:r>
          </w:p>
        </w:tc>
      </w:tr>
      <w:tr w14:paraId="321D24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03" w:type="dxa"/>
            <w:noWrap/>
          </w:tcPr>
          <w:p w14:paraId="6B8AE367">
            <w:pPr>
              <w:shd w:val="clear"/>
              <w:spacing w:line="480" w:lineRule="exact"/>
              <w:jc w:val="left"/>
              <w:rPr>
                <w:rFonts w:hAnsi="宋体" w:cs="宋体"/>
                <w:color w:val="auto"/>
                <w:kern w:val="2"/>
                <w:sz w:val="24"/>
                <w:szCs w:val="22"/>
                <w:highlight w:val="none"/>
              </w:rPr>
            </w:pPr>
            <w:r>
              <w:rPr>
                <w:rFonts w:hint="eastAsia" w:hAnsi="宋体" w:cs="宋体"/>
                <w:color w:val="auto"/>
                <w:kern w:val="2"/>
                <w:sz w:val="24"/>
                <w:szCs w:val="22"/>
                <w:highlight w:val="none"/>
              </w:rPr>
              <w:t>5.交通银行四川省分行</w:t>
            </w:r>
          </w:p>
        </w:tc>
        <w:tc>
          <w:tcPr>
            <w:tcW w:w="4536" w:type="dxa"/>
            <w:noWrap/>
          </w:tcPr>
          <w:p w14:paraId="2E763C9F">
            <w:pPr>
              <w:shd w:val="clear"/>
              <w:spacing w:line="480" w:lineRule="exact"/>
              <w:jc w:val="left"/>
              <w:rPr>
                <w:rFonts w:hAnsi="宋体" w:cs="宋体"/>
                <w:color w:val="auto"/>
                <w:kern w:val="2"/>
                <w:sz w:val="24"/>
                <w:szCs w:val="22"/>
                <w:highlight w:val="none"/>
              </w:rPr>
            </w:pPr>
            <w:r>
              <w:rPr>
                <w:rFonts w:hint="eastAsia" w:hAnsi="宋体" w:cs="宋体"/>
                <w:color w:val="auto"/>
                <w:kern w:val="2"/>
                <w:sz w:val="24"/>
                <w:szCs w:val="22"/>
                <w:highlight w:val="none"/>
              </w:rPr>
              <w:t>6.中国邮储银行四川省分行</w:t>
            </w:r>
          </w:p>
        </w:tc>
      </w:tr>
      <w:tr w14:paraId="3B37A8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03" w:type="dxa"/>
            <w:noWrap/>
          </w:tcPr>
          <w:p w14:paraId="55E1B7CE">
            <w:pPr>
              <w:shd w:val="clear"/>
              <w:spacing w:line="480" w:lineRule="exact"/>
              <w:jc w:val="left"/>
              <w:rPr>
                <w:rFonts w:hAnsi="宋体" w:cs="宋体"/>
                <w:color w:val="auto"/>
                <w:kern w:val="2"/>
                <w:sz w:val="24"/>
                <w:szCs w:val="22"/>
                <w:highlight w:val="none"/>
              </w:rPr>
            </w:pPr>
            <w:r>
              <w:rPr>
                <w:rFonts w:hint="eastAsia" w:hAnsi="宋体" w:cs="宋体"/>
                <w:color w:val="auto"/>
                <w:kern w:val="2"/>
                <w:sz w:val="24"/>
                <w:szCs w:val="22"/>
                <w:highlight w:val="none"/>
              </w:rPr>
              <w:t>7.华夏银行成都分行</w:t>
            </w:r>
          </w:p>
        </w:tc>
        <w:tc>
          <w:tcPr>
            <w:tcW w:w="4536" w:type="dxa"/>
            <w:noWrap/>
          </w:tcPr>
          <w:p w14:paraId="14194DC4">
            <w:pPr>
              <w:shd w:val="clear"/>
              <w:spacing w:line="480" w:lineRule="exact"/>
              <w:jc w:val="left"/>
              <w:rPr>
                <w:rFonts w:hAnsi="宋体" w:cs="宋体"/>
                <w:color w:val="auto"/>
                <w:kern w:val="2"/>
                <w:sz w:val="24"/>
                <w:szCs w:val="22"/>
                <w:highlight w:val="none"/>
              </w:rPr>
            </w:pPr>
            <w:r>
              <w:rPr>
                <w:rFonts w:hint="eastAsia" w:hAnsi="宋体" w:cs="宋体"/>
                <w:color w:val="auto"/>
                <w:kern w:val="2"/>
                <w:sz w:val="24"/>
                <w:szCs w:val="22"/>
                <w:highlight w:val="none"/>
              </w:rPr>
              <w:t>8.民生银行成都分行</w:t>
            </w:r>
          </w:p>
        </w:tc>
      </w:tr>
      <w:tr w14:paraId="7397E9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03" w:type="dxa"/>
            <w:noWrap/>
          </w:tcPr>
          <w:p w14:paraId="57BAC8F5">
            <w:pPr>
              <w:shd w:val="clear"/>
              <w:spacing w:line="480" w:lineRule="exact"/>
              <w:jc w:val="left"/>
              <w:rPr>
                <w:rFonts w:hAnsi="宋体" w:cs="宋体"/>
                <w:color w:val="auto"/>
                <w:kern w:val="2"/>
                <w:sz w:val="24"/>
                <w:szCs w:val="22"/>
                <w:highlight w:val="none"/>
              </w:rPr>
            </w:pPr>
            <w:r>
              <w:rPr>
                <w:rFonts w:hint="eastAsia" w:hAnsi="宋体" w:cs="宋体"/>
                <w:color w:val="auto"/>
                <w:kern w:val="2"/>
                <w:sz w:val="24"/>
                <w:szCs w:val="22"/>
                <w:highlight w:val="none"/>
              </w:rPr>
              <w:t>9.四川天府银行</w:t>
            </w:r>
          </w:p>
        </w:tc>
        <w:tc>
          <w:tcPr>
            <w:tcW w:w="4536" w:type="dxa"/>
            <w:noWrap/>
          </w:tcPr>
          <w:p w14:paraId="12032211">
            <w:pPr>
              <w:shd w:val="clear"/>
              <w:spacing w:line="480" w:lineRule="exact"/>
              <w:jc w:val="left"/>
              <w:rPr>
                <w:rFonts w:hAnsi="宋体" w:cs="宋体"/>
                <w:color w:val="auto"/>
                <w:kern w:val="2"/>
                <w:sz w:val="24"/>
                <w:szCs w:val="22"/>
                <w:highlight w:val="none"/>
              </w:rPr>
            </w:pPr>
            <w:r>
              <w:rPr>
                <w:rFonts w:hint="eastAsia" w:hAnsi="宋体" w:cs="宋体"/>
                <w:color w:val="auto"/>
                <w:kern w:val="2"/>
                <w:sz w:val="24"/>
                <w:szCs w:val="22"/>
                <w:highlight w:val="none"/>
              </w:rPr>
              <w:t>10.兴业银行成都分行</w:t>
            </w:r>
          </w:p>
        </w:tc>
      </w:tr>
      <w:tr w14:paraId="2FBA9A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03" w:type="dxa"/>
            <w:noWrap/>
          </w:tcPr>
          <w:p w14:paraId="253CA12B">
            <w:pPr>
              <w:shd w:val="clear"/>
              <w:spacing w:line="480" w:lineRule="exact"/>
              <w:jc w:val="left"/>
              <w:rPr>
                <w:rFonts w:hAnsi="宋体" w:cs="宋体"/>
                <w:color w:val="auto"/>
                <w:kern w:val="2"/>
                <w:sz w:val="24"/>
                <w:szCs w:val="22"/>
                <w:highlight w:val="none"/>
              </w:rPr>
            </w:pPr>
            <w:r>
              <w:rPr>
                <w:rFonts w:hint="eastAsia" w:hAnsi="宋体" w:cs="宋体"/>
                <w:color w:val="auto"/>
                <w:kern w:val="2"/>
                <w:sz w:val="24"/>
                <w:szCs w:val="22"/>
                <w:highlight w:val="none"/>
              </w:rPr>
              <w:t>11.成都银行</w:t>
            </w:r>
          </w:p>
        </w:tc>
        <w:tc>
          <w:tcPr>
            <w:tcW w:w="4536" w:type="dxa"/>
            <w:noWrap/>
          </w:tcPr>
          <w:p w14:paraId="36B8634C">
            <w:pPr>
              <w:shd w:val="clear"/>
              <w:spacing w:line="480" w:lineRule="exact"/>
              <w:jc w:val="left"/>
              <w:rPr>
                <w:rFonts w:hAnsi="宋体" w:cs="宋体"/>
                <w:color w:val="auto"/>
                <w:kern w:val="2"/>
                <w:sz w:val="24"/>
                <w:szCs w:val="22"/>
                <w:highlight w:val="none"/>
              </w:rPr>
            </w:pPr>
            <w:r>
              <w:rPr>
                <w:rFonts w:hint="eastAsia" w:hAnsi="宋体" w:cs="宋体"/>
                <w:color w:val="auto"/>
                <w:kern w:val="2"/>
                <w:sz w:val="24"/>
                <w:szCs w:val="22"/>
                <w:highlight w:val="none"/>
              </w:rPr>
              <w:t>12.成都农村商业银行</w:t>
            </w:r>
          </w:p>
        </w:tc>
      </w:tr>
      <w:tr w14:paraId="473517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03" w:type="dxa"/>
            <w:noWrap/>
          </w:tcPr>
          <w:p w14:paraId="1986C921">
            <w:pPr>
              <w:shd w:val="clear"/>
              <w:spacing w:line="480" w:lineRule="exact"/>
              <w:jc w:val="left"/>
              <w:rPr>
                <w:rFonts w:hAnsi="宋体" w:cs="宋体"/>
                <w:color w:val="auto"/>
                <w:kern w:val="2"/>
                <w:sz w:val="24"/>
                <w:szCs w:val="22"/>
                <w:highlight w:val="none"/>
              </w:rPr>
            </w:pPr>
            <w:r>
              <w:rPr>
                <w:rFonts w:hint="eastAsia" w:hAnsi="宋体" w:cs="宋体"/>
                <w:color w:val="auto"/>
                <w:kern w:val="2"/>
                <w:sz w:val="24"/>
                <w:szCs w:val="22"/>
                <w:highlight w:val="none"/>
              </w:rPr>
              <w:t>13.上海银行成都分行</w:t>
            </w:r>
          </w:p>
        </w:tc>
        <w:tc>
          <w:tcPr>
            <w:tcW w:w="4536" w:type="dxa"/>
            <w:noWrap/>
          </w:tcPr>
          <w:p w14:paraId="062C24D3">
            <w:pPr>
              <w:shd w:val="clear"/>
              <w:spacing w:line="480" w:lineRule="exact"/>
              <w:jc w:val="left"/>
              <w:rPr>
                <w:rFonts w:hAnsi="宋体" w:cs="宋体"/>
                <w:color w:val="auto"/>
                <w:kern w:val="2"/>
                <w:sz w:val="24"/>
                <w:szCs w:val="22"/>
                <w:highlight w:val="none"/>
              </w:rPr>
            </w:pPr>
            <w:r>
              <w:rPr>
                <w:rFonts w:hint="eastAsia" w:hAnsi="宋体" w:cs="宋体"/>
                <w:color w:val="auto"/>
                <w:kern w:val="2"/>
                <w:sz w:val="24"/>
                <w:szCs w:val="22"/>
                <w:highlight w:val="none"/>
              </w:rPr>
              <w:t>14.渤海银行成都分行</w:t>
            </w:r>
          </w:p>
        </w:tc>
      </w:tr>
      <w:tr w14:paraId="2EC06F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03" w:type="dxa"/>
            <w:noWrap/>
          </w:tcPr>
          <w:p w14:paraId="1E75B24A">
            <w:pPr>
              <w:shd w:val="clear"/>
              <w:spacing w:line="480" w:lineRule="exact"/>
              <w:jc w:val="left"/>
              <w:rPr>
                <w:rFonts w:hAnsi="宋体" w:cs="宋体"/>
                <w:color w:val="auto"/>
                <w:kern w:val="2"/>
                <w:sz w:val="24"/>
                <w:szCs w:val="22"/>
                <w:highlight w:val="none"/>
              </w:rPr>
            </w:pPr>
            <w:r>
              <w:rPr>
                <w:rFonts w:hint="eastAsia" w:hAnsi="宋体" w:cs="宋体"/>
                <w:color w:val="auto"/>
                <w:kern w:val="2"/>
                <w:sz w:val="24"/>
                <w:szCs w:val="22"/>
                <w:highlight w:val="none"/>
              </w:rPr>
              <w:t>15.雅安农村商业银行</w:t>
            </w:r>
          </w:p>
        </w:tc>
        <w:tc>
          <w:tcPr>
            <w:tcW w:w="4536" w:type="dxa"/>
            <w:noWrap/>
          </w:tcPr>
          <w:p w14:paraId="45635C3B">
            <w:pPr>
              <w:shd w:val="clear"/>
              <w:spacing w:line="480" w:lineRule="exact"/>
              <w:jc w:val="left"/>
              <w:rPr>
                <w:rFonts w:hAnsi="宋体" w:cs="宋体"/>
                <w:color w:val="auto"/>
                <w:kern w:val="2"/>
                <w:sz w:val="24"/>
                <w:szCs w:val="22"/>
                <w:highlight w:val="none"/>
              </w:rPr>
            </w:pPr>
            <w:r>
              <w:rPr>
                <w:rFonts w:hint="eastAsia" w:hAnsi="宋体" w:cs="宋体"/>
                <w:color w:val="auto"/>
                <w:kern w:val="2"/>
                <w:sz w:val="24"/>
                <w:szCs w:val="22"/>
                <w:highlight w:val="none"/>
              </w:rPr>
              <w:t>16.雅安市商业银行</w:t>
            </w:r>
          </w:p>
        </w:tc>
      </w:tr>
      <w:tr w14:paraId="28865C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03" w:type="dxa"/>
            <w:noWrap/>
          </w:tcPr>
          <w:p w14:paraId="15CE83D5">
            <w:pPr>
              <w:shd w:val="clear"/>
              <w:spacing w:line="480" w:lineRule="exact"/>
              <w:jc w:val="left"/>
              <w:rPr>
                <w:rFonts w:hAnsi="宋体" w:cs="宋体"/>
                <w:color w:val="auto"/>
                <w:kern w:val="2"/>
                <w:sz w:val="24"/>
                <w:szCs w:val="22"/>
                <w:highlight w:val="none"/>
              </w:rPr>
            </w:pPr>
            <w:r>
              <w:rPr>
                <w:rFonts w:hint="eastAsia" w:hAnsi="宋体" w:cs="宋体"/>
                <w:color w:val="auto"/>
                <w:kern w:val="2"/>
                <w:sz w:val="24"/>
                <w:szCs w:val="22"/>
                <w:highlight w:val="none"/>
              </w:rPr>
              <w:t>17.眉山农村商业银行</w:t>
            </w:r>
          </w:p>
        </w:tc>
        <w:tc>
          <w:tcPr>
            <w:tcW w:w="4536" w:type="dxa"/>
            <w:noWrap/>
          </w:tcPr>
          <w:p w14:paraId="7BA477FA">
            <w:pPr>
              <w:shd w:val="clear"/>
              <w:spacing w:line="480" w:lineRule="exact"/>
              <w:jc w:val="left"/>
              <w:rPr>
                <w:rFonts w:hAnsi="宋体" w:cs="宋体"/>
                <w:color w:val="auto"/>
                <w:kern w:val="2"/>
                <w:sz w:val="24"/>
                <w:szCs w:val="22"/>
                <w:highlight w:val="none"/>
              </w:rPr>
            </w:pPr>
            <w:r>
              <w:rPr>
                <w:rFonts w:hint="eastAsia" w:hAnsi="宋体" w:cs="宋体"/>
                <w:color w:val="auto"/>
                <w:kern w:val="2"/>
                <w:sz w:val="24"/>
                <w:szCs w:val="22"/>
                <w:highlight w:val="none"/>
              </w:rPr>
              <w:t>18.乐山市商业银行</w:t>
            </w:r>
          </w:p>
        </w:tc>
      </w:tr>
      <w:tr w14:paraId="76A6A7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03" w:type="dxa"/>
            <w:noWrap/>
          </w:tcPr>
          <w:p w14:paraId="1E93E516">
            <w:pPr>
              <w:shd w:val="clear"/>
              <w:spacing w:line="480" w:lineRule="exact"/>
              <w:jc w:val="left"/>
              <w:rPr>
                <w:rFonts w:hAnsi="宋体" w:cs="宋体"/>
                <w:color w:val="auto"/>
                <w:kern w:val="2"/>
                <w:sz w:val="24"/>
                <w:szCs w:val="22"/>
                <w:highlight w:val="none"/>
              </w:rPr>
            </w:pPr>
            <w:r>
              <w:rPr>
                <w:rFonts w:hint="eastAsia" w:hAnsi="宋体" w:cs="宋体"/>
                <w:color w:val="auto"/>
                <w:kern w:val="2"/>
                <w:sz w:val="24"/>
                <w:szCs w:val="22"/>
                <w:highlight w:val="none"/>
              </w:rPr>
              <w:t>19.乐山嘉州民富村镇银行</w:t>
            </w:r>
          </w:p>
        </w:tc>
        <w:tc>
          <w:tcPr>
            <w:tcW w:w="4536" w:type="dxa"/>
            <w:noWrap/>
          </w:tcPr>
          <w:p w14:paraId="2D18A52C">
            <w:pPr>
              <w:shd w:val="clear"/>
              <w:spacing w:line="480" w:lineRule="exact"/>
              <w:jc w:val="left"/>
              <w:rPr>
                <w:rFonts w:hAnsi="宋体" w:cs="宋体"/>
                <w:color w:val="auto"/>
                <w:kern w:val="2"/>
                <w:sz w:val="24"/>
                <w:szCs w:val="22"/>
                <w:highlight w:val="none"/>
              </w:rPr>
            </w:pPr>
            <w:r>
              <w:rPr>
                <w:rFonts w:hint="eastAsia" w:hAnsi="宋体" w:cs="宋体"/>
                <w:color w:val="auto"/>
                <w:kern w:val="2"/>
                <w:sz w:val="24"/>
                <w:szCs w:val="22"/>
                <w:highlight w:val="none"/>
              </w:rPr>
              <w:t>20.绵阳市商业银行</w:t>
            </w:r>
          </w:p>
        </w:tc>
      </w:tr>
      <w:tr w14:paraId="57AC2F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03" w:type="dxa"/>
            <w:noWrap/>
          </w:tcPr>
          <w:p w14:paraId="286B8324">
            <w:pPr>
              <w:shd w:val="clear"/>
              <w:spacing w:line="480" w:lineRule="exact"/>
              <w:jc w:val="left"/>
              <w:rPr>
                <w:rFonts w:hAnsi="宋体" w:cs="宋体"/>
                <w:color w:val="auto"/>
                <w:kern w:val="2"/>
                <w:sz w:val="24"/>
                <w:szCs w:val="22"/>
                <w:highlight w:val="none"/>
              </w:rPr>
            </w:pPr>
            <w:r>
              <w:rPr>
                <w:rFonts w:hint="eastAsia" w:hAnsi="宋体" w:cs="宋体"/>
                <w:color w:val="auto"/>
                <w:kern w:val="2"/>
                <w:sz w:val="24"/>
                <w:szCs w:val="22"/>
                <w:highlight w:val="none"/>
              </w:rPr>
              <w:t>21.四川省农村信用社联合社</w:t>
            </w:r>
          </w:p>
        </w:tc>
        <w:tc>
          <w:tcPr>
            <w:tcW w:w="4536" w:type="dxa"/>
            <w:noWrap/>
          </w:tcPr>
          <w:p w14:paraId="725ACCB8">
            <w:pPr>
              <w:shd w:val="clear"/>
              <w:spacing w:line="480" w:lineRule="exact"/>
              <w:jc w:val="left"/>
              <w:rPr>
                <w:rFonts w:hAnsi="宋体" w:cs="宋体"/>
                <w:color w:val="auto"/>
                <w:kern w:val="2"/>
                <w:sz w:val="24"/>
                <w:szCs w:val="22"/>
                <w:highlight w:val="none"/>
              </w:rPr>
            </w:pPr>
            <w:r>
              <w:rPr>
                <w:rFonts w:hint="eastAsia" w:hAnsi="宋体" w:cs="宋体"/>
                <w:color w:val="auto"/>
                <w:kern w:val="2"/>
                <w:sz w:val="24"/>
                <w:szCs w:val="22"/>
                <w:highlight w:val="none"/>
              </w:rPr>
              <w:t>22.平安银行股份有限公司成都分行</w:t>
            </w:r>
          </w:p>
        </w:tc>
      </w:tr>
      <w:tr w14:paraId="139C99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03" w:type="dxa"/>
            <w:noWrap/>
          </w:tcPr>
          <w:p w14:paraId="1CAD302C">
            <w:pPr>
              <w:shd w:val="clear"/>
              <w:spacing w:line="480" w:lineRule="exact"/>
              <w:jc w:val="left"/>
              <w:rPr>
                <w:rFonts w:hAnsi="宋体" w:cs="宋体"/>
                <w:color w:val="auto"/>
                <w:kern w:val="2"/>
                <w:sz w:val="24"/>
                <w:szCs w:val="22"/>
                <w:highlight w:val="none"/>
              </w:rPr>
            </w:pPr>
            <w:r>
              <w:rPr>
                <w:rFonts w:hint="eastAsia" w:hAnsi="宋体" w:cs="宋体"/>
                <w:color w:val="auto"/>
                <w:kern w:val="2"/>
                <w:sz w:val="24"/>
                <w:szCs w:val="22"/>
                <w:highlight w:val="none"/>
              </w:rPr>
              <w:t>23.上海浦东发展银行股份有限公司成都</w:t>
            </w:r>
          </w:p>
        </w:tc>
        <w:tc>
          <w:tcPr>
            <w:tcW w:w="4536" w:type="dxa"/>
            <w:noWrap/>
          </w:tcPr>
          <w:p w14:paraId="5F42E9B1">
            <w:pPr>
              <w:shd w:val="clear"/>
              <w:spacing w:line="480" w:lineRule="exact"/>
              <w:jc w:val="left"/>
              <w:rPr>
                <w:rFonts w:hAnsi="宋体" w:cs="宋体"/>
                <w:color w:val="auto"/>
                <w:kern w:val="2"/>
                <w:sz w:val="24"/>
                <w:szCs w:val="22"/>
                <w:highlight w:val="none"/>
              </w:rPr>
            </w:pPr>
            <w:r>
              <w:rPr>
                <w:rFonts w:hint="eastAsia" w:hAnsi="宋体" w:cs="宋体"/>
                <w:color w:val="auto"/>
                <w:kern w:val="2"/>
                <w:sz w:val="24"/>
                <w:szCs w:val="22"/>
                <w:highlight w:val="none"/>
              </w:rPr>
              <w:t>24.雅安雨城惠民村镇银行有限责任公司</w:t>
            </w:r>
          </w:p>
        </w:tc>
      </w:tr>
      <w:tr w14:paraId="7DC125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03" w:type="dxa"/>
            <w:noWrap/>
          </w:tcPr>
          <w:p w14:paraId="3DEE7CBD">
            <w:pPr>
              <w:shd w:val="clear"/>
              <w:spacing w:line="480" w:lineRule="exact"/>
              <w:jc w:val="left"/>
              <w:rPr>
                <w:rFonts w:hAnsi="宋体" w:cs="宋体"/>
                <w:color w:val="auto"/>
                <w:kern w:val="2"/>
                <w:sz w:val="24"/>
                <w:szCs w:val="22"/>
                <w:highlight w:val="none"/>
              </w:rPr>
            </w:pPr>
            <w:r>
              <w:rPr>
                <w:rFonts w:hint="eastAsia" w:hAnsi="宋体" w:cs="宋体"/>
                <w:color w:val="auto"/>
                <w:kern w:val="2"/>
                <w:sz w:val="24"/>
                <w:szCs w:val="22"/>
                <w:highlight w:val="none"/>
              </w:rPr>
              <w:t>25.自贡银行股份有限公司</w:t>
            </w:r>
          </w:p>
        </w:tc>
        <w:tc>
          <w:tcPr>
            <w:tcW w:w="4536" w:type="dxa"/>
            <w:noWrap/>
          </w:tcPr>
          <w:p w14:paraId="5FCFF9F6">
            <w:pPr>
              <w:shd w:val="clear"/>
              <w:spacing w:line="480" w:lineRule="exact"/>
              <w:jc w:val="left"/>
              <w:rPr>
                <w:rFonts w:hAnsi="宋体" w:cs="宋体"/>
                <w:color w:val="auto"/>
                <w:kern w:val="2"/>
                <w:sz w:val="24"/>
                <w:szCs w:val="22"/>
                <w:highlight w:val="none"/>
              </w:rPr>
            </w:pPr>
            <w:r>
              <w:rPr>
                <w:rFonts w:hint="eastAsia" w:hAnsi="宋体" w:cs="宋体"/>
                <w:color w:val="auto"/>
                <w:kern w:val="2"/>
                <w:sz w:val="24"/>
                <w:szCs w:val="22"/>
                <w:highlight w:val="none"/>
              </w:rPr>
              <w:t>26.宜宾市商业银行股份有限公司</w:t>
            </w:r>
          </w:p>
        </w:tc>
      </w:tr>
      <w:tr w14:paraId="0AF990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03" w:type="dxa"/>
            <w:noWrap/>
          </w:tcPr>
          <w:p w14:paraId="33DB7103">
            <w:pPr>
              <w:shd w:val="clear"/>
              <w:spacing w:line="480" w:lineRule="exact"/>
              <w:jc w:val="left"/>
              <w:rPr>
                <w:rFonts w:hAnsi="宋体" w:cs="宋体"/>
                <w:color w:val="auto"/>
                <w:kern w:val="2"/>
                <w:sz w:val="24"/>
                <w:szCs w:val="22"/>
                <w:highlight w:val="none"/>
              </w:rPr>
            </w:pPr>
            <w:r>
              <w:rPr>
                <w:rFonts w:hint="eastAsia" w:hAnsi="宋体" w:cs="宋体"/>
                <w:color w:val="auto"/>
                <w:kern w:val="2"/>
                <w:sz w:val="24"/>
                <w:szCs w:val="22"/>
                <w:highlight w:val="none"/>
              </w:rPr>
              <w:t>27.南部县中成村镇银行股份有限公司</w:t>
            </w:r>
          </w:p>
        </w:tc>
        <w:tc>
          <w:tcPr>
            <w:tcW w:w="4536" w:type="dxa"/>
            <w:noWrap/>
          </w:tcPr>
          <w:p w14:paraId="30DEED92">
            <w:pPr>
              <w:shd w:val="clear"/>
              <w:spacing w:line="480" w:lineRule="exact"/>
              <w:jc w:val="left"/>
              <w:rPr>
                <w:rFonts w:hAnsi="宋体" w:cs="宋体"/>
                <w:color w:val="auto"/>
                <w:kern w:val="2"/>
                <w:sz w:val="24"/>
                <w:szCs w:val="22"/>
                <w:highlight w:val="none"/>
              </w:rPr>
            </w:pPr>
            <w:r>
              <w:rPr>
                <w:rFonts w:hint="eastAsia" w:hAnsi="宋体" w:cs="宋体"/>
                <w:color w:val="auto"/>
                <w:kern w:val="2"/>
                <w:sz w:val="24"/>
                <w:szCs w:val="22"/>
                <w:highlight w:val="none"/>
              </w:rPr>
              <w:t>28.犍为中成村镇银行股份有限公司</w:t>
            </w:r>
          </w:p>
        </w:tc>
      </w:tr>
      <w:tr w14:paraId="38E13D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03" w:type="dxa"/>
            <w:noWrap/>
          </w:tcPr>
          <w:p w14:paraId="705C67C5">
            <w:pPr>
              <w:shd w:val="clear"/>
              <w:spacing w:line="480" w:lineRule="exact"/>
              <w:jc w:val="left"/>
              <w:rPr>
                <w:rFonts w:hAnsi="宋体" w:cs="宋体"/>
                <w:color w:val="auto"/>
                <w:kern w:val="2"/>
                <w:sz w:val="24"/>
                <w:szCs w:val="22"/>
                <w:highlight w:val="none"/>
              </w:rPr>
            </w:pPr>
            <w:r>
              <w:rPr>
                <w:rFonts w:hint="eastAsia" w:hAnsi="宋体" w:cs="宋体"/>
                <w:color w:val="auto"/>
                <w:kern w:val="2"/>
                <w:sz w:val="24"/>
                <w:szCs w:val="22"/>
                <w:highlight w:val="none"/>
              </w:rPr>
              <w:t>29.南充嘉陵中成村镇银行股份有限公司</w:t>
            </w:r>
          </w:p>
        </w:tc>
        <w:tc>
          <w:tcPr>
            <w:tcW w:w="4536" w:type="dxa"/>
            <w:noWrap/>
          </w:tcPr>
          <w:p w14:paraId="6E3B8CD5">
            <w:pPr>
              <w:shd w:val="clear"/>
              <w:spacing w:line="480" w:lineRule="exact"/>
              <w:jc w:val="left"/>
              <w:rPr>
                <w:rFonts w:hAnsi="宋体" w:cs="宋体"/>
                <w:color w:val="auto"/>
                <w:kern w:val="2"/>
                <w:sz w:val="24"/>
                <w:szCs w:val="22"/>
                <w:highlight w:val="none"/>
              </w:rPr>
            </w:pPr>
            <w:r>
              <w:rPr>
                <w:rFonts w:hint="eastAsia" w:hAnsi="宋体" w:cs="宋体"/>
                <w:color w:val="auto"/>
                <w:kern w:val="2"/>
                <w:sz w:val="24"/>
                <w:szCs w:val="22"/>
                <w:highlight w:val="none"/>
              </w:rPr>
              <w:t>30.长宁中成村镇银行股份有限公司</w:t>
            </w:r>
          </w:p>
        </w:tc>
      </w:tr>
      <w:tr w14:paraId="7FB0A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03" w:type="dxa"/>
            <w:noWrap/>
          </w:tcPr>
          <w:p w14:paraId="753BF1D4">
            <w:pPr>
              <w:shd w:val="clear"/>
              <w:spacing w:line="480" w:lineRule="exact"/>
              <w:jc w:val="left"/>
              <w:rPr>
                <w:rFonts w:hAnsi="宋体" w:cs="宋体"/>
                <w:color w:val="auto"/>
                <w:kern w:val="2"/>
                <w:sz w:val="24"/>
                <w:szCs w:val="22"/>
                <w:highlight w:val="none"/>
              </w:rPr>
            </w:pPr>
            <w:r>
              <w:rPr>
                <w:rFonts w:hint="eastAsia" w:hAnsi="宋体" w:cs="宋体"/>
                <w:color w:val="auto"/>
                <w:kern w:val="2"/>
                <w:sz w:val="24"/>
                <w:szCs w:val="22"/>
                <w:highlight w:val="none"/>
              </w:rPr>
              <w:t>31.自贡中成村镇银行股份有限公司</w:t>
            </w:r>
          </w:p>
        </w:tc>
        <w:tc>
          <w:tcPr>
            <w:tcW w:w="4536" w:type="dxa"/>
            <w:noWrap/>
          </w:tcPr>
          <w:p w14:paraId="11483360">
            <w:pPr>
              <w:shd w:val="clear"/>
              <w:spacing w:line="480" w:lineRule="exact"/>
              <w:jc w:val="left"/>
              <w:rPr>
                <w:rFonts w:hAnsi="宋体" w:cs="宋体"/>
                <w:color w:val="auto"/>
                <w:kern w:val="2"/>
                <w:sz w:val="24"/>
                <w:szCs w:val="22"/>
                <w:highlight w:val="none"/>
              </w:rPr>
            </w:pPr>
            <w:r>
              <w:rPr>
                <w:rFonts w:hint="eastAsia" w:hAnsi="宋体" w:cs="宋体"/>
                <w:color w:val="auto"/>
                <w:kern w:val="2"/>
                <w:sz w:val="24"/>
                <w:szCs w:val="22"/>
                <w:highlight w:val="none"/>
              </w:rPr>
              <w:t>32.筠连中成村镇银行股份有限公司</w:t>
            </w:r>
          </w:p>
        </w:tc>
      </w:tr>
      <w:tr w14:paraId="0BC27F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03" w:type="dxa"/>
            <w:noWrap/>
          </w:tcPr>
          <w:p w14:paraId="4D44FAAE">
            <w:pPr>
              <w:shd w:val="clear"/>
              <w:spacing w:line="480" w:lineRule="exact"/>
              <w:jc w:val="left"/>
              <w:rPr>
                <w:rFonts w:hAnsi="宋体" w:cs="宋体"/>
                <w:color w:val="auto"/>
                <w:kern w:val="2"/>
                <w:sz w:val="24"/>
                <w:szCs w:val="22"/>
                <w:highlight w:val="none"/>
              </w:rPr>
            </w:pPr>
            <w:r>
              <w:rPr>
                <w:rFonts w:hint="eastAsia" w:hAnsi="宋体" w:cs="宋体"/>
                <w:color w:val="auto"/>
                <w:kern w:val="2"/>
                <w:sz w:val="24"/>
                <w:szCs w:val="22"/>
                <w:highlight w:val="none"/>
              </w:rPr>
              <w:t>33.峨眉山中成村镇银行股份有限公司</w:t>
            </w:r>
          </w:p>
        </w:tc>
        <w:tc>
          <w:tcPr>
            <w:tcW w:w="4536" w:type="dxa"/>
            <w:noWrap/>
          </w:tcPr>
          <w:p w14:paraId="7973EC6C">
            <w:pPr>
              <w:shd w:val="clear"/>
              <w:spacing w:line="480" w:lineRule="exact"/>
              <w:jc w:val="left"/>
              <w:rPr>
                <w:rFonts w:hAnsi="宋体" w:cs="宋体"/>
                <w:color w:val="auto"/>
                <w:kern w:val="2"/>
                <w:sz w:val="24"/>
                <w:szCs w:val="22"/>
                <w:highlight w:val="none"/>
              </w:rPr>
            </w:pPr>
            <w:r>
              <w:rPr>
                <w:rFonts w:hint="eastAsia" w:hAnsi="宋体" w:cs="宋体"/>
                <w:color w:val="auto"/>
                <w:kern w:val="2"/>
                <w:sz w:val="24"/>
                <w:szCs w:val="22"/>
                <w:highlight w:val="none"/>
              </w:rPr>
              <w:t>34.浙商银行股份有限公司成都分行</w:t>
            </w:r>
          </w:p>
        </w:tc>
      </w:tr>
      <w:tr w14:paraId="61E0AF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03" w:type="dxa"/>
            <w:noWrap/>
          </w:tcPr>
          <w:p w14:paraId="5B4435B7">
            <w:pPr>
              <w:shd w:val="clear"/>
              <w:spacing w:line="480" w:lineRule="exact"/>
              <w:jc w:val="left"/>
              <w:rPr>
                <w:rFonts w:hAnsi="宋体" w:cs="宋体"/>
                <w:color w:val="auto"/>
                <w:kern w:val="2"/>
                <w:sz w:val="24"/>
                <w:szCs w:val="22"/>
                <w:highlight w:val="none"/>
              </w:rPr>
            </w:pPr>
            <w:r>
              <w:rPr>
                <w:rFonts w:hint="eastAsia" w:hAnsi="宋体" w:cs="宋体"/>
                <w:color w:val="auto"/>
                <w:kern w:val="2"/>
                <w:sz w:val="24"/>
                <w:szCs w:val="22"/>
                <w:highlight w:val="none"/>
              </w:rPr>
              <w:t>35.泸州银行股份有限公司</w:t>
            </w:r>
          </w:p>
        </w:tc>
        <w:tc>
          <w:tcPr>
            <w:tcW w:w="4536" w:type="dxa"/>
            <w:noWrap/>
          </w:tcPr>
          <w:p w14:paraId="03C47B01">
            <w:pPr>
              <w:shd w:val="clear"/>
              <w:spacing w:line="480" w:lineRule="exact"/>
              <w:jc w:val="left"/>
              <w:rPr>
                <w:rFonts w:hAnsi="宋体" w:cs="宋体"/>
                <w:color w:val="auto"/>
                <w:kern w:val="2"/>
                <w:sz w:val="24"/>
                <w:szCs w:val="22"/>
                <w:highlight w:val="none"/>
              </w:rPr>
            </w:pPr>
            <w:r>
              <w:rPr>
                <w:rFonts w:hint="eastAsia" w:hAnsi="宋体" w:cs="宋体"/>
                <w:color w:val="auto"/>
                <w:kern w:val="2"/>
                <w:sz w:val="24"/>
                <w:szCs w:val="22"/>
                <w:highlight w:val="none"/>
              </w:rPr>
              <w:t>36.中国光大银行股份有限公司成都分行</w:t>
            </w:r>
          </w:p>
        </w:tc>
      </w:tr>
      <w:tr w14:paraId="08B90F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03" w:type="dxa"/>
            <w:noWrap/>
          </w:tcPr>
          <w:p w14:paraId="6B974196">
            <w:pPr>
              <w:shd w:val="clear"/>
              <w:spacing w:line="480" w:lineRule="exact"/>
              <w:jc w:val="left"/>
              <w:rPr>
                <w:rFonts w:hAnsi="宋体" w:cs="宋体"/>
                <w:color w:val="auto"/>
                <w:kern w:val="2"/>
                <w:sz w:val="24"/>
                <w:szCs w:val="22"/>
                <w:highlight w:val="none"/>
              </w:rPr>
            </w:pPr>
            <w:r>
              <w:rPr>
                <w:rFonts w:hint="eastAsia" w:hAnsi="宋体" w:cs="宋体"/>
                <w:color w:val="auto"/>
                <w:kern w:val="2"/>
                <w:sz w:val="24"/>
                <w:szCs w:val="22"/>
                <w:highlight w:val="none"/>
              </w:rPr>
              <w:t>37.中信银行股份有限公司成都分行</w:t>
            </w:r>
          </w:p>
        </w:tc>
        <w:tc>
          <w:tcPr>
            <w:tcW w:w="4536" w:type="dxa"/>
            <w:noWrap/>
          </w:tcPr>
          <w:p w14:paraId="7060BB99">
            <w:pPr>
              <w:shd w:val="clear"/>
              <w:spacing w:line="480" w:lineRule="exact"/>
              <w:jc w:val="left"/>
              <w:rPr>
                <w:rFonts w:hAnsi="宋体" w:cs="宋体"/>
                <w:color w:val="auto"/>
                <w:kern w:val="2"/>
                <w:sz w:val="24"/>
                <w:szCs w:val="22"/>
                <w:highlight w:val="none"/>
              </w:rPr>
            </w:pPr>
            <w:r>
              <w:rPr>
                <w:rFonts w:hint="eastAsia" w:hAnsi="宋体" w:cs="宋体"/>
                <w:color w:val="auto"/>
                <w:kern w:val="2"/>
                <w:sz w:val="24"/>
                <w:szCs w:val="22"/>
                <w:highlight w:val="none"/>
              </w:rPr>
              <w:t>38.四川银行股份有限公司</w:t>
            </w:r>
          </w:p>
        </w:tc>
      </w:tr>
      <w:tr w14:paraId="17506B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03" w:type="dxa"/>
            <w:noWrap/>
          </w:tcPr>
          <w:p w14:paraId="1E19132A">
            <w:pPr>
              <w:shd w:val="clear"/>
              <w:spacing w:line="480" w:lineRule="exact"/>
              <w:jc w:val="left"/>
              <w:rPr>
                <w:rFonts w:hAnsi="宋体" w:cs="宋体"/>
                <w:color w:val="auto"/>
                <w:kern w:val="2"/>
                <w:sz w:val="24"/>
                <w:szCs w:val="22"/>
                <w:highlight w:val="none"/>
              </w:rPr>
            </w:pPr>
            <w:r>
              <w:rPr>
                <w:rFonts w:hint="eastAsia" w:hAnsi="宋体" w:cs="宋体"/>
                <w:color w:val="auto"/>
                <w:kern w:val="2"/>
                <w:sz w:val="24"/>
                <w:szCs w:val="22"/>
                <w:highlight w:val="none"/>
              </w:rPr>
              <w:t>39.遂宁银行股份有限公司</w:t>
            </w:r>
          </w:p>
        </w:tc>
        <w:tc>
          <w:tcPr>
            <w:tcW w:w="4536" w:type="dxa"/>
            <w:noWrap/>
          </w:tcPr>
          <w:p w14:paraId="53F9ED69">
            <w:pPr>
              <w:shd w:val="clear"/>
              <w:spacing w:line="480" w:lineRule="exact"/>
              <w:jc w:val="left"/>
              <w:rPr>
                <w:rFonts w:hAnsi="宋体" w:cs="宋体"/>
                <w:color w:val="auto"/>
                <w:kern w:val="2"/>
                <w:sz w:val="24"/>
                <w:szCs w:val="22"/>
                <w:highlight w:val="none"/>
              </w:rPr>
            </w:pPr>
            <w:r>
              <w:rPr>
                <w:rFonts w:hint="eastAsia" w:hAnsi="宋体" w:cs="宋体"/>
                <w:color w:val="auto"/>
                <w:kern w:val="2"/>
                <w:sz w:val="24"/>
                <w:szCs w:val="22"/>
                <w:highlight w:val="none"/>
              </w:rPr>
              <w:t>40.广元市贵商村镇银行股份有限公司</w:t>
            </w:r>
          </w:p>
        </w:tc>
      </w:tr>
      <w:tr w14:paraId="44DD19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03" w:type="dxa"/>
            <w:noWrap/>
          </w:tcPr>
          <w:p w14:paraId="4395F142">
            <w:pPr>
              <w:shd w:val="clear"/>
              <w:spacing w:line="480" w:lineRule="exact"/>
              <w:jc w:val="left"/>
              <w:rPr>
                <w:rFonts w:hAnsi="宋体" w:cs="宋体"/>
                <w:color w:val="auto"/>
                <w:kern w:val="2"/>
                <w:sz w:val="24"/>
                <w:szCs w:val="22"/>
                <w:highlight w:val="none"/>
              </w:rPr>
            </w:pPr>
            <w:r>
              <w:rPr>
                <w:rFonts w:hint="eastAsia" w:hAnsi="宋体" w:cs="宋体"/>
                <w:color w:val="auto"/>
                <w:kern w:val="2"/>
                <w:sz w:val="24"/>
                <w:szCs w:val="22"/>
                <w:highlight w:val="none"/>
              </w:rPr>
              <w:t>41.西昌金信村镇银行有限责任公司</w:t>
            </w:r>
          </w:p>
        </w:tc>
        <w:tc>
          <w:tcPr>
            <w:tcW w:w="4536" w:type="dxa"/>
            <w:noWrap/>
          </w:tcPr>
          <w:p w14:paraId="6F7C9D41">
            <w:pPr>
              <w:shd w:val="clear"/>
              <w:spacing w:line="480" w:lineRule="exact"/>
              <w:jc w:val="left"/>
              <w:rPr>
                <w:rFonts w:hAnsi="宋体" w:cs="宋体"/>
                <w:color w:val="auto"/>
                <w:kern w:val="2"/>
                <w:sz w:val="24"/>
                <w:szCs w:val="22"/>
                <w:highlight w:val="none"/>
              </w:rPr>
            </w:pPr>
            <w:r>
              <w:rPr>
                <w:rFonts w:hint="eastAsia" w:hAnsi="宋体" w:cs="宋体"/>
                <w:color w:val="auto"/>
                <w:kern w:val="2"/>
                <w:sz w:val="24"/>
                <w:szCs w:val="22"/>
                <w:highlight w:val="none"/>
              </w:rPr>
              <w:t>42.招商银行股份有限公司成都分行</w:t>
            </w:r>
          </w:p>
        </w:tc>
      </w:tr>
      <w:tr w14:paraId="522A90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03" w:type="dxa"/>
            <w:noWrap/>
          </w:tcPr>
          <w:p w14:paraId="612509B5">
            <w:pPr>
              <w:shd w:val="clear"/>
              <w:spacing w:line="480" w:lineRule="exact"/>
              <w:jc w:val="left"/>
              <w:rPr>
                <w:rFonts w:hAnsi="宋体" w:cs="宋体"/>
                <w:color w:val="auto"/>
                <w:kern w:val="2"/>
                <w:sz w:val="24"/>
                <w:szCs w:val="22"/>
                <w:highlight w:val="none"/>
              </w:rPr>
            </w:pPr>
            <w:r>
              <w:rPr>
                <w:rFonts w:hint="eastAsia" w:hAnsi="宋体" w:cs="宋体"/>
                <w:color w:val="auto"/>
                <w:kern w:val="2"/>
                <w:sz w:val="24"/>
                <w:szCs w:val="22"/>
                <w:highlight w:val="none"/>
              </w:rPr>
              <w:t>43.贵阳银行股份有限公司成都分行</w:t>
            </w:r>
          </w:p>
        </w:tc>
        <w:tc>
          <w:tcPr>
            <w:tcW w:w="4536" w:type="dxa"/>
            <w:noWrap/>
          </w:tcPr>
          <w:p w14:paraId="62A2399C">
            <w:pPr>
              <w:shd w:val="clear"/>
              <w:spacing w:line="480" w:lineRule="exact"/>
              <w:jc w:val="left"/>
              <w:rPr>
                <w:rFonts w:hAnsi="宋体" w:cs="宋体"/>
                <w:color w:val="auto"/>
                <w:kern w:val="2"/>
                <w:sz w:val="24"/>
                <w:szCs w:val="22"/>
                <w:highlight w:val="none"/>
              </w:rPr>
            </w:pPr>
            <w:r>
              <w:rPr>
                <w:rFonts w:hint="eastAsia" w:hAnsi="宋体" w:cs="宋体"/>
                <w:color w:val="auto"/>
                <w:kern w:val="2"/>
                <w:sz w:val="24"/>
                <w:szCs w:val="22"/>
                <w:highlight w:val="none"/>
              </w:rPr>
              <w:t>44.达州银行股份有限公司</w:t>
            </w:r>
          </w:p>
        </w:tc>
      </w:tr>
      <w:tr w14:paraId="5BBFF3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03" w:type="dxa"/>
            <w:noWrap/>
          </w:tcPr>
          <w:p w14:paraId="7FBB5B74">
            <w:pPr>
              <w:shd w:val="clear"/>
              <w:spacing w:line="480" w:lineRule="exact"/>
              <w:jc w:val="left"/>
              <w:rPr>
                <w:rFonts w:hAnsi="宋体" w:cs="宋体"/>
                <w:color w:val="auto"/>
                <w:kern w:val="2"/>
                <w:sz w:val="24"/>
                <w:szCs w:val="22"/>
                <w:highlight w:val="none"/>
              </w:rPr>
            </w:pPr>
            <w:r>
              <w:rPr>
                <w:rFonts w:hint="eastAsia" w:hAnsi="宋体" w:cs="宋体"/>
                <w:color w:val="auto"/>
                <w:kern w:val="2"/>
                <w:sz w:val="24"/>
                <w:szCs w:val="22"/>
                <w:highlight w:val="none"/>
              </w:rPr>
              <w:t>45.内江兴隆村镇银行股份有限公司</w:t>
            </w:r>
          </w:p>
        </w:tc>
        <w:tc>
          <w:tcPr>
            <w:tcW w:w="4536" w:type="dxa"/>
            <w:noWrap/>
          </w:tcPr>
          <w:p w14:paraId="35A9811B">
            <w:pPr>
              <w:shd w:val="clear"/>
              <w:spacing w:line="480" w:lineRule="exact"/>
              <w:jc w:val="left"/>
              <w:rPr>
                <w:rFonts w:hAnsi="宋体" w:cs="宋体"/>
                <w:color w:val="auto"/>
                <w:kern w:val="2"/>
                <w:sz w:val="24"/>
                <w:szCs w:val="22"/>
                <w:highlight w:val="none"/>
              </w:rPr>
            </w:pPr>
            <w:r>
              <w:rPr>
                <w:rFonts w:hint="eastAsia" w:hAnsi="宋体" w:cs="宋体"/>
                <w:color w:val="auto"/>
                <w:kern w:val="2"/>
                <w:sz w:val="24"/>
                <w:szCs w:val="22"/>
                <w:highlight w:val="none"/>
              </w:rPr>
              <w:t>46.华夏银行股份有限公司成都分行</w:t>
            </w:r>
          </w:p>
        </w:tc>
      </w:tr>
      <w:tr w14:paraId="1DB3FE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03" w:type="dxa"/>
            <w:noWrap/>
          </w:tcPr>
          <w:p w14:paraId="2EA16FA1">
            <w:pPr>
              <w:shd w:val="clear"/>
              <w:spacing w:line="480" w:lineRule="exact"/>
              <w:jc w:val="left"/>
              <w:rPr>
                <w:rFonts w:hAnsi="宋体" w:cs="宋体"/>
                <w:color w:val="auto"/>
                <w:kern w:val="2"/>
                <w:sz w:val="24"/>
                <w:szCs w:val="22"/>
                <w:highlight w:val="none"/>
              </w:rPr>
            </w:pPr>
            <w:r>
              <w:rPr>
                <w:rFonts w:hint="eastAsia" w:hAnsi="宋体" w:cs="宋体"/>
                <w:color w:val="auto"/>
                <w:kern w:val="2"/>
                <w:sz w:val="24"/>
                <w:szCs w:val="22"/>
                <w:highlight w:val="none"/>
              </w:rPr>
              <w:t>47.四川新网银行股份有限公司</w:t>
            </w:r>
          </w:p>
        </w:tc>
        <w:tc>
          <w:tcPr>
            <w:tcW w:w="4536" w:type="dxa"/>
            <w:noWrap/>
          </w:tcPr>
          <w:p w14:paraId="53724BB6">
            <w:pPr>
              <w:shd w:val="clear"/>
              <w:spacing w:line="480" w:lineRule="exact"/>
              <w:jc w:val="left"/>
              <w:rPr>
                <w:rFonts w:hAnsi="宋体" w:cs="宋体"/>
                <w:color w:val="auto"/>
                <w:kern w:val="2"/>
                <w:sz w:val="24"/>
                <w:szCs w:val="22"/>
                <w:highlight w:val="none"/>
              </w:rPr>
            </w:pPr>
            <w:r>
              <w:rPr>
                <w:rFonts w:hint="eastAsia" w:hAnsi="宋体" w:cs="宋体"/>
                <w:color w:val="auto"/>
                <w:kern w:val="2"/>
                <w:sz w:val="24"/>
                <w:szCs w:val="22"/>
                <w:highlight w:val="none"/>
              </w:rPr>
              <w:t>48.浙江网商银行股份有限公司</w:t>
            </w:r>
          </w:p>
        </w:tc>
      </w:tr>
    </w:tbl>
    <w:p w14:paraId="54964CA4">
      <w:pPr>
        <w:pStyle w:val="51"/>
        <w:shd w:val="clear"/>
        <w:spacing w:line="460" w:lineRule="exact"/>
        <w:ind w:firstLine="480"/>
        <w:rPr>
          <w:rFonts w:hAnsi="宋体" w:cs="宋体"/>
          <w:color w:val="auto"/>
          <w:sz w:val="24"/>
          <w:highlight w:val="none"/>
        </w:rPr>
      </w:pPr>
      <w:r>
        <w:rPr>
          <w:rStyle w:val="40"/>
          <w:rFonts w:hint="eastAsia" w:hAnsi="宋体" w:cs="宋体"/>
          <w:color w:val="auto"/>
          <w:sz w:val="24"/>
          <w:highlight w:val="none"/>
        </w:rPr>
        <w:br w:type="page"/>
      </w:r>
      <w:r>
        <w:rPr>
          <w:rStyle w:val="40"/>
          <w:rFonts w:hint="eastAsia" w:hAnsi="宋体" w:cs="宋体"/>
          <w:color w:val="auto"/>
          <w:sz w:val="24"/>
          <w:highlight w:val="none"/>
        </w:rPr>
        <w:fldChar w:fldCharType="end"/>
      </w:r>
    </w:p>
    <w:p w14:paraId="776CF352">
      <w:pPr>
        <w:pStyle w:val="3"/>
        <w:shd w:val="clear"/>
        <w:spacing w:before="0" w:after="0" w:line="500" w:lineRule="exact"/>
        <w:rPr>
          <w:rFonts w:hAnsi="宋体" w:cs="宋体"/>
          <w:color w:val="auto"/>
          <w:sz w:val="36"/>
          <w:szCs w:val="36"/>
          <w:highlight w:val="none"/>
        </w:rPr>
      </w:pPr>
      <w:bookmarkStart w:id="1" w:name="_Toc13318"/>
      <w:bookmarkStart w:id="2" w:name="_Toc213396945"/>
      <w:bookmarkStart w:id="3" w:name="_Toc213397009"/>
      <w:bookmarkStart w:id="4" w:name="_Toc213396759"/>
      <w:bookmarkStart w:id="5" w:name="_Toc217446031"/>
      <w:bookmarkStart w:id="6" w:name="_Toc213496267"/>
      <w:r>
        <w:rPr>
          <w:rFonts w:hint="eastAsia" w:hAnsi="宋体" w:cs="宋体"/>
          <w:color w:val="auto"/>
          <w:sz w:val="36"/>
          <w:szCs w:val="36"/>
          <w:highlight w:val="none"/>
        </w:rPr>
        <w:t>第二章  投标人须知</w:t>
      </w:r>
      <w:bookmarkEnd w:id="1"/>
    </w:p>
    <w:p w14:paraId="7A971B84">
      <w:pPr>
        <w:pStyle w:val="4"/>
        <w:shd w:val="clear"/>
        <w:spacing w:line="240" w:lineRule="auto"/>
        <w:jc w:val="center"/>
        <w:rPr>
          <w:rFonts w:ascii="宋体" w:hAnsi="宋体" w:eastAsia="宋体" w:cs="宋体"/>
          <w:color w:val="auto"/>
          <w:highlight w:val="none"/>
        </w:rPr>
      </w:pPr>
      <w:r>
        <w:rPr>
          <w:rFonts w:hint="eastAsia" w:ascii="宋体" w:hAnsi="宋体" w:eastAsia="宋体" w:cs="宋体"/>
          <w:color w:val="auto"/>
          <w:highlight w:val="none"/>
        </w:rPr>
        <w:t>一、投标人须知附表</w:t>
      </w:r>
    </w:p>
    <w:bookmarkEnd w:id="2"/>
    <w:bookmarkEnd w:id="3"/>
    <w:bookmarkEnd w:id="4"/>
    <w:bookmarkEnd w:id="5"/>
    <w:bookmarkEnd w:id="6"/>
    <w:tbl>
      <w:tblPr>
        <w:tblStyle w:val="29"/>
        <w:tblW w:w="9116" w:type="dxa"/>
        <w:jc w:val="center"/>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Layout w:type="fixed"/>
        <w:tblCellMar>
          <w:top w:w="0" w:type="dxa"/>
          <w:left w:w="0" w:type="dxa"/>
          <w:bottom w:w="0" w:type="dxa"/>
          <w:right w:w="0" w:type="dxa"/>
        </w:tblCellMar>
      </w:tblPr>
      <w:tblGrid>
        <w:gridCol w:w="671"/>
        <w:gridCol w:w="2045"/>
        <w:gridCol w:w="6400"/>
      </w:tblGrid>
      <w:tr w14:paraId="493AB7B5">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jc w:val="center"/>
        </w:trPr>
        <w:tc>
          <w:tcPr>
            <w:tcW w:w="671" w:type="dxa"/>
            <w:vAlign w:val="center"/>
          </w:tcPr>
          <w:p w14:paraId="5BF825D1">
            <w:pPr>
              <w:pStyle w:val="52"/>
              <w:shd w:val="clear"/>
              <w:spacing w:line="480" w:lineRule="exact"/>
              <w:ind w:left="9"/>
              <w:jc w:val="center"/>
              <w:rPr>
                <w:color w:val="auto"/>
                <w:kern w:val="2"/>
                <w:szCs w:val="28"/>
                <w:highlight w:val="none"/>
              </w:rPr>
            </w:pPr>
            <w:r>
              <w:rPr>
                <w:rFonts w:hint="eastAsia"/>
                <w:color w:val="auto"/>
                <w:kern w:val="2"/>
                <w:szCs w:val="28"/>
                <w:highlight w:val="none"/>
              </w:rPr>
              <w:t>序号</w:t>
            </w:r>
          </w:p>
        </w:tc>
        <w:tc>
          <w:tcPr>
            <w:tcW w:w="2045" w:type="dxa"/>
            <w:vAlign w:val="center"/>
          </w:tcPr>
          <w:p w14:paraId="13846460">
            <w:pPr>
              <w:pStyle w:val="52"/>
              <w:shd w:val="clear"/>
              <w:spacing w:line="480" w:lineRule="exact"/>
              <w:ind w:left="38"/>
              <w:jc w:val="center"/>
              <w:rPr>
                <w:color w:val="auto"/>
                <w:kern w:val="2"/>
                <w:szCs w:val="28"/>
                <w:highlight w:val="none"/>
              </w:rPr>
            </w:pPr>
            <w:r>
              <w:rPr>
                <w:rFonts w:hint="eastAsia"/>
                <w:color w:val="auto"/>
                <w:kern w:val="2"/>
                <w:szCs w:val="28"/>
                <w:highlight w:val="none"/>
              </w:rPr>
              <w:t>条款名称</w:t>
            </w:r>
          </w:p>
        </w:tc>
        <w:tc>
          <w:tcPr>
            <w:tcW w:w="6400" w:type="dxa"/>
            <w:vAlign w:val="center"/>
          </w:tcPr>
          <w:p w14:paraId="61BDCEB3">
            <w:pPr>
              <w:pStyle w:val="52"/>
              <w:shd w:val="clear"/>
              <w:spacing w:line="480" w:lineRule="exact"/>
              <w:jc w:val="center"/>
              <w:rPr>
                <w:color w:val="auto"/>
                <w:kern w:val="2"/>
                <w:szCs w:val="28"/>
                <w:highlight w:val="none"/>
              </w:rPr>
            </w:pPr>
            <w:r>
              <w:rPr>
                <w:rFonts w:hint="eastAsia"/>
                <w:color w:val="auto"/>
                <w:kern w:val="2"/>
                <w:szCs w:val="28"/>
                <w:highlight w:val="none"/>
              </w:rPr>
              <w:t>说明和要求</w:t>
            </w:r>
          </w:p>
        </w:tc>
      </w:tr>
      <w:tr w14:paraId="3E5D15EA">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jc w:val="center"/>
        </w:trPr>
        <w:tc>
          <w:tcPr>
            <w:tcW w:w="671" w:type="dxa"/>
            <w:vMerge w:val="restart"/>
            <w:vAlign w:val="center"/>
          </w:tcPr>
          <w:p w14:paraId="7501232A">
            <w:pPr>
              <w:pStyle w:val="52"/>
              <w:shd w:val="clear"/>
              <w:spacing w:line="480" w:lineRule="exact"/>
              <w:ind w:left="9"/>
              <w:jc w:val="center"/>
              <w:rPr>
                <w:color w:val="auto"/>
                <w:kern w:val="2"/>
                <w:szCs w:val="28"/>
                <w:highlight w:val="none"/>
              </w:rPr>
            </w:pPr>
            <w:r>
              <w:rPr>
                <w:rFonts w:hint="eastAsia"/>
                <w:color w:val="auto"/>
                <w:kern w:val="2"/>
                <w:szCs w:val="28"/>
                <w:highlight w:val="none"/>
              </w:rPr>
              <w:t>1</w:t>
            </w:r>
          </w:p>
        </w:tc>
        <w:tc>
          <w:tcPr>
            <w:tcW w:w="2045" w:type="dxa"/>
            <w:tcBorders>
              <w:bottom w:val="single" w:color="auto" w:sz="4" w:space="0"/>
            </w:tcBorders>
            <w:vAlign w:val="center"/>
          </w:tcPr>
          <w:p w14:paraId="1ED686C2">
            <w:pPr>
              <w:pStyle w:val="52"/>
              <w:shd w:val="clear"/>
              <w:spacing w:line="480" w:lineRule="exact"/>
              <w:ind w:left="38"/>
              <w:jc w:val="center"/>
              <w:rPr>
                <w:color w:val="auto"/>
                <w:kern w:val="2"/>
                <w:highlight w:val="none"/>
              </w:rPr>
            </w:pPr>
            <w:r>
              <w:rPr>
                <w:rFonts w:hint="eastAsia"/>
                <w:color w:val="auto"/>
                <w:kern w:val="2"/>
                <w:highlight w:val="none"/>
              </w:rPr>
              <w:t>采购预算</w:t>
            </w:r>
          </w:p>
          <w:p w14:paraId="28956952">
            <w:pPr>
              <w:pStyle w:val="52"/>
              <w:shd w:val="clear"/>
              <w:spacing w:line="480" w:lineRule="exact"/>
              <w:ind w:left="38"/>
              <w:jc w:val="center"/>
              <w:rPr>
                <w:color w:val="auto"/>
                <w:kern w:val="2"/>
                <w:highlight w:val="none"/>
              </w:rPr>
            </w:pPr>
            <w:r>
              <w:rPr>
                <w:rFonts w:hint="eastAsia"/>
                <w:color w:val="auto"/>
                <w:highlight w:val="none"/>
              </w:rPr>
              <w:t>（实质性要求）</w:t>
            </w:r>
          </w:p>
        </w:tc>
        <w:tc>
          <w:tcPr>
            <w:tcW w:w="6400" w:type="dxa"/>
            <w:tcBorders>
              <w:bottom w:val="single" w:color="auto" w:sz="4" w:space="0"/>
            </w:tcBorders>
            <w:vAlign w:val="center"/>
          </w:tcPr>
          <w:p w14:paraId="1772116B">
            <w:pPr>
              <w:pStyle w:val="52"/>
              <w:shd w:val="clear"/>
              <w:spacing w:line="480" w:lineRule="exact"/>
              <w:jc w:val="both"/>
              <w:rPr>
                <w:color w:val="auto"/>
                <w:highlight w:val="none"/>
              </w:rPr>
            </w:pPr>
            <w:r>
              <w:rPr>
                <w:rFonts w:hint="eastAsia"/>
                <w:color w:val="auto"/>
                <w:highlight w:val="none"/>
              </w:rPr>
              <w:t>人民币89.95万元</w:t>
            </w:r>
            <w:r>
              <w:rPr>
                <w:rFonts w:hint="eastAsia"/>
                <w:color w:val="auto"/>
                <w:highlight w:val="none"/>
                <w:lang w:eastAsia="zh-CN"/>
              </w:rPr>
              <w:t>（</w:t>
            </w:r>
            <w:r>
              <w:rPr>
                <w:rFonts w:hint="eastAsia"/>
                <w:color w:val="auto"/>
                <w:highlight w:val="none"/>
                <w:lang w:val="en-US" w:eastAsia="zh-CN"/>
              </w:rPr>
              <w:t>大写：</w:t>
            </w:r>
            <w:r>
              <w:rPr>
                <w:rFonts w:hint="eastAsia"/>
                <w:color w:val="auto"/>
                <w:highlight w:val="none"/>
                <w:lang w:eastAsia="zh-CN"/>
              </w:rPr>
              <w:t>捌拾玖万玖仟伍佰元整）；</w:t>
            </w:r>
          </w:p>
          <w:p w14:paraId="10348ED7">
            <w:pPr>
              <w:pStyle w:val="52"/>
              <w:shd w:val="clear"/>
              <w:spacing w:line="480" w:lineRule="exact"/>
              <w:jc w:val="both"/>
              <w:rPr>
                <w:color w:val="auto"/>
                <w:highlight w:val="none"/>
              </w:rPr>
            </w:pPr>
            <w:r>
              <w:rPr>
                <w:rFonts w:hint="eastAsia"/>
                <w:color w:val="auto"/>
                <w:highlight w:val="none"/>
                <w:lang w:val="zh-CN"/>
              </w:rPr>
              <w:t>投标报价超过本项目采购预算的作无效投标处理。</w:t>
            </w:r>
          </w:p>
        </w:tc>
      </w:tr>
      <w:tr w14:paraId="14543CBF">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jc w:val="center"/>
        </w:trPr>
        <w:tc>
          <w:tcPr>
            <w:tcW w:w="671" w:type="dxa"/>
            <w:vMerge w:val="continue"/>
            <w:vAlign w:val="center"/>
          </w:tcPr>
          <w:p w14:paraId="678BD02D">
            <w:pPr>
              <w:pStyle w:val="52"/>
              <w:shd w:val="clear"/>
              <w:spacing w:line="480" w:lineRule="exact"/>
              <w:ind w:left="9"/>
              <w:jc w:val="center"/>
              <w:rPr>
                <w:color w:val="auto"/>
                <w:kern w:val="2"/>
                <w:szCs w:val="28"/>
                <w:highlight w:val="none"/>
              </w:rPr>
            </w:pPr>
          </w:p>
        </w:tc>
        <w:tc>
          <w:tcPr>
            <w:tcW w:w="2045" w:type="dxa"/>
            <w:tcBorders>
              <w:bottom w:val="single" w:color="auto" w:sz="4" w:space="0"/>
            </w:tcBorders>
            <w:vAlign w:val="center"/>
          </w:tcPr>
          <w:p w14:paraId="07150E6C">
            <w:pPr>
              <w:pStyle w:val="52"/>
              <w:shd w:val="clear"/>
              <w:spacing w:line="480" w:lineRule="exact"/>
              <w:ind w:left="38"/>
              <w:jc w:val="center"/>
              <w:rPr>
                <w:color w:val="auto"/>
                <w:highlight w:val="none"/>
              </w:rPr>
            </w:pPr>
            <w:r>
              <w:rPr>
                <w:rFonts w:hint="eastAsia"/>
                <w:color w:val="auto"/>
                <w:highlight w:val="none"/>
              </w:rPr>
              <w:t>是否专门面向中小</w:t>
            </w:r>
          </w:p>
          <w:p w14:paraId="4C2B828D">
            <w:pPr>
              <w:pStyle w:val="52"/>
              <w:shd w:val="clear"/>
              <w:spacing w:line="480" w:lineRule="exact"/>
              <w:ind w:left="38"/>
              <w:jc w:val="center"/>
              <w:rPr>
                <w:color w:val="auto"/>
                <w:highlight w:val="none"/>
              </w:rPr>
            </w:pPr>
            <w:r>
              <w:rPr>
                <w:rFonts w:hint="eastAsia"/>
                <w:color w:val="auto"/>
                <w:highlight w:val="none"/>
              </w:rPr>
              <w:t>企业（实质性要求）</w:t>
            </w:r>
          </w:p>
        </w:tc>
        <w:tc>
          <w:tcPr>
            <w:tcW w:w="6400" w:type="dxa"/>
            <w:tcBorders>
              <w:bottom w:val="single" w:color="auto" w:sz="4" w:space="0"/>
            </w:tcBorders>
            <w:vAlign w:val="center"/>
          </w:tcPr>
          <w:p w14:paraId="76B424C6">
            <w:pPr>
              <w:pStyle w:val="52"/>
              <w:shd w:val="clear"/>
              <w:spacing w:line="480" w:lineRule="exact"/>
              <w:ind w:left="38"/>
              <w:rPr>
                <w:color w:val="auto"/>
                <w:highlight w:val="none"/>
              </w:rPr>
            </w:pPr>
            <w:r>
              <w:rPr>
                <w:rFonts w:hint="eastAsia"/>
                <w:color w:val="auto"/>
                <w:highlight w:val="none"/>
              </w:rPr>
              <w:t>否</w:t>
            </w:r>
          </w:p>
        </w:tc>
      </w:tr>
      <w:tr w14:paraId="23C59132">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jc w:val="center"/>
        </w:trPr>
        <w:tc>
          <w:tcPr>
            <w:tcW w:w="671" w:type="dxa"/>
            <w:vMerge w:val="continue"/>
            <w:vAlign w:val="center"/>
          </w:tcPr>
          <w:p w14:paraId="0E247DE7">
            <w:pPr>
              <w:shd w:val="clear"/>
              <w:spacing w:line="480" w:lineRule="exact"/>
              <w:jc w:val="center"/>
              <w:rPr>
                <w:rFonts w:hAnsi="宋体" w:cs="宋体"/>
                <w:color w:val="auto"/>
                <w:highlight w:val="none"/>
              </w:rPr>
            </w:pPr>
          </w:p>
        </w:tc>
        <w:tc>
          <w:tcPr>
            <w:tcW w:w="2045" w:type="dxa"/>
            <w:tcBorders>
              <w:top w:val="single" w:color="auto" w:sz="4" w:space="0"/>
            </w:tcBorders>
            <w:vAlign w:val="center"/>
          </w:tcPr>
          <w:p w14:paraId="07A822C5">
            <w:pPr>
              <w:pStyle w:val="52"/>
              <w:shd w:val="clear"/>
              <w:spacing w:line="480" w:lineRule="exact"/>
              <w:jc w:val="center"/>
              <w:rPr>
                <w:color w:val="auto"/>
                <w:kern w:val="2"/>
                <w:highlight w:val="none"/>
              </w:rPr>
            </w:pPr>
            <w:r>
              <w:rPr>
                <w:rFonts w:hint="eastAsia"/>
                <w:color w:val="auto"/>
                <w:kern w:val="2"/>
                <w:highlight w:val="none"/>
              </w:rPr>
              <w:t>最高限价</w:t>
            </w:r>
          </w:p>
          <w:p w14:paraId="1CEF888A">
            <w:pPr>
              <w:pStyle w:val="52"/>
              <w:shd w:val="clear"/>
              <w:spacing w:line="480" w:lineRule="exact"/>
              <w:jc w:val="center"/>
              <w:rPr>
                <w:color w:val="auto"/>
                <w:kern w:val="2"/>
                <w:highlight w:val="none"/>
              </w:rPr>
            </w:pPr>
            <w:r>
              <w:rPr>
                <w:rFonts w:hint="eastAsia"/>
                <w:color w:val="auto"/>
                <w:highlight w:val="none"/>
              </w:rPr>
              <w:t>（实质性要求）</w:t>
            </w:r>
          </w:p>
        </w:tc>
        <w:tc>
          <w:tcPr>
            <w:tcW w:w="6400" w:type="dxa"/>
            <w:tcBorders>
              <w:top w:val="single" w:color="auto" w:sz="4" w:space="0"/>
            </w:tcBorders>
            <w:vAlign w:val="center"/>
          </w:tcPr>
          <w:p w14:paraId="7AD3964C">
            <w:pPr>
              <w:pStyle w:val="52"/>
              <w:shd w:val="clear"/>
              <w:spacing w:line="480" w:lineRule="exact"/>
              <w:jc w:val="both"/>
              <w:rPr>
                <w:color w:val="auto"/>
                <w:highlight w:val="none"/>
              </w:rPr>
            </w:pPr>
            <w:r>
              <w:rPr>
                <w:rFonts w:hint="eastAsia"/>
                <w:color w:val="auto"/>
                <w:highlight w:val="none"/>
                <w:lang w:val="zh-CN"/>
              </w:rPr>
              <w:t>人民币</w:t>
            </w:r>
            <w:r>
              <w:rPr>
                <w:rFonts w:hint="eastAsia"/>
                <w:color w:val="auto"/>
                <w:highlight w:val="none"/>
              </w:rPr>
              <w:t>89.95万元</w:t>
            </w:r>
            <w:r>
              <w:rPr>
                <w:rFonts w:hint="eastAsia"/>
                <w:color w:val="auto"/>
                <w:highlight w:val="none"/>
                <w:lang w:eastAsia="zh-CN"/>
              </w:rPr>
              <w:t>（</w:t>
            </w:r>
            <w:r>
              <w:rPr>
                <w:rFonts w:hint="eastAsia"/>
                <w:color w:val="auto"/>
                <w:highlight w:val="none"/>
                <w:lang w:val="en-US" w:eastAsia="zh-CN"/>
              </w:rPr>
              <w:t>大写：</w:t>
            </w:r>
            <w:r>
              <w:rPr>
                <w:rFonts w:hint="eastAsia"/>
                <w:color w:val="auto"/>
                <w:highlight w:val="none"/>
                <w:lang w:eastAsia="zh-CN"/>
              </w:rPr>
              <w:t>捌拾玖万玖仟伍佰元整）；</w:t>
            </w:r>
            <w:r>
              <w:rPr>
                <w:rFonts w:hint="eastAsia"/>
                <w:color w:val="auto"/>
                <w:highlight w:val="none"/>
              </w:rPr>
              <w:t>单价限价详见第六章。</w:t>
            </w:r>
          </w:p>
          <w:p w14:paraId="0A7A67A0">
            <w:pPr>
              <w:pStyle w:val="52"/>
              <w:shd w:val="clear"/>
              <w:spacing w:line="480" w:lineRule="exact"/>
              <w:jc w:val="both"/>
              <w:rPr>
                <w:color w:val="auto"/>
                <w:highlight w:val="none"/>
                <w:lang w:val="zh-CN"/>
              </w:rPr>
            </w:pPr>
            <w:r>
              <w:rPr>
                <w:rFonts w:hint="eastAsia"/>
                <w:color w:val="auto"/>
                <w:highlight w:val="none"/>
                <w:lang w:val="zh-CN"/>
              </w:rPr>
              <w:t>投标报价超过本项目最高限价或单价限价的作无效投标处理。</w:t>
            </w:r>
          </w:p>
        </w:tc>
      </w:tr>
      <w:tr w14:paraId="13F4423F">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jc w:val="center"/>
        </w:trPr>
        <w:tc>
          <w:tcPr>
            <w:tcW w:w="671" w:type="dxa"/>
            <w:vMerge w:val="restart"/>
            <w:vAlign w:val="center"/>
          </w:tcPr>
          <w:p w14:paraId="6A1D2441">
            <w:pPr>
              <w:shd w:val="clear"/>
              <w:spacing w:line="480" w:lineRule="exact"/>
              <w:jc w:val="center"/>
              <w:rPr>
                <w:rFonts w:hAnsi="宋体" w:cs="宋体"/>
                <w:color w:val="auto"/>
                <w:highlight w:val="none"/>
              </w:rPr>
            </w:pPr>
            <w:r>
              <w:rPr>
                <w:rFonts w:hint="eastAsia" w:hAnsi="宋体" w:cs="宋体"/>
                <w:color w:val="auto"/>
                <w:sz w:val="24"/>
                <w:szCs w:val="24"/>
                <w:highlight w:val="none"/>
              </w:rPr>
              <w:t>2</w:t>
            </w:r>
          </w:p>
        </w:tc>
        <w:tc>
          <w:tcPr>
            <w:tcW w:w="2045" w:type="dxa"/>
            <w:tcBorders>
              <w:top w:val="single" w:color="auto" w:sz="4" w:space="0"/>
            </w:tcBorders>
            <w:vAlign w:val="center"/>
          </w:tcPr>
          <w:p w14:paraId="2D7834C0">
            <w:pPr>
              <w:shd w:val="clear"/>
              <w:spacing w:line="480" w:lineRule="exact"/>
              <w:jc w:val="center"/>
              <w:outlineLvl w:val="5"/>
              <w:rPr>
                <w:rFonts w:hAnsi="宋体" w:cs="宋体"/>
                <w:bCs/>
                <w:color w:val="auto"/>
                <w:sz w:val="24"/>
                <w:szCs w:val="24"/>
                <w:highlight w:val="none"/>
              </w:rPr>
            </w:pPr>
            <w:r>
              <w:rPr>
                <w:rFonts w:hint="eastAsia" w:hAnsi="宋体" w:cs="宋体"/>
                <w:bCs/>
                <w:color w:val="auto"/>
                <w:sz w:val="24"/>
                <w:szCs w:val="24"/>
                <w:highlight w:val="none"/>
              </w:rPr>
              <w:t>采购类别</w:t>
            </w:r>
          </w:p>
        </w:tc>
        <w:tc>
          <w:tcPr>
            <w:tcW w:w="6400" w:type="dxa"/>
            <w:tcBorders>
              <w:top w:val="single" w:color="auto" w:sz="4" w:space="0"/>
            </w:tcBorders>
            <w:vAlign w:val="center"/>
          </w:tcPr>
          <w:p w14:paraId="4ACCBA3D">
            <w:pPr>
              <w:pStyle w:val="52"/>
              <w:shd w:val="clear"/>
              <w:spacing w:line="480" w:lineRule="exact"/>
              <w:ind w:left="38"/>
              <w:rPr>
                <w:bCs/>
                <w:color w:val="auto"/>
                <w:highlight w:val="none"/>
              </w:rPr>
            </w:pPr>
            <w:r>
              <w:rPr>
                <w:rFonts w:hint="eastAsia"/>
                <w:bCs/>
                <w:color w:val="auto"/>
                <w:highlight w:val="none"/>
              </w:rPr>
              <w:t>货物</w:t>
            </w:r>
          </w:p>
        </w:tc>
      </w:tr>
      <w:tr w14:paraId="4A73CCD5">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jc w:val="center"/>
        </w:trPr>
        <w:tc>
          <w:tcPr>
            <w:tcW w:w="671" w:type="dxa"/>
            <w:vMerge w:val="continue"/>
            <w:vAlign w:val="center"/>
          </w:tcPr>
          <w:p w14:paraId="43CAF6C6">
            <w:pPr>
              <w:shd w:val="clear"/>
              <w:spacing w:line="480" w:lineRule="exact"/>
              <w:jc w:val="center"/>
              <w:rPr>
                <w:rFonts w:hAnsi="宋体" w:cs="宋体"/>
                <w:color w:val="auto"/>
                <w:sz w:val="24"/>
                <w:szCs w:val="24"/>
                <w:highlight w:val="none"/>
              </w:rPr>
            </w:pPr>
          </w:p>
        </w:tc>
        <w:tc>
          <w:tcPr>
            <w:tcW w:w="2045" w:type="dxa"/>
            <w:tcBorders>
              <w:top w:val="single" w:color="auto" w:sz="4" w:space="0"/>
            </w:tcBorders>
            <w:vAlign w:val="center"/>
          </w:tcPr>
          <w:p w14:paraId="5A060115">
            <w:pPr>
              <w:shd w:val="clear"/>
              <w:spacing w:line="480" w:lineRule="exact"/>
              <w:jc w:val="center"/>
              <w:outlineLvl w:val="5"/>
              <w:rPr>
                <w:rFonts w:hAnsi="宋体" w:cs="宋体"/>
                <w:bCs/>
                <w:color w:val="auto"/>
                <w:sz w:val="24"/>
                <w:szCs w:val="24"/>
                <w:highlight w:val="none"/>
              </w:rPr>
            </w:pPr>
            <w:r>
              <w:rPr>
                <w:rFonts w:hint="eastAsia" w:hAnsi="宋体" w:cs="宋体"/>
                <w:bCs/>
                <w:color w:val="auto"/>
                <w:sz w:val="24"/>
                <w:szCs w:val="24"/>
                <w:highlight w:val="none"/>
              </w:rPr>
              <w:t>所属行业</w:t>
            </w:r>
          </w:p>
        </w:tc>
        <w:tc>
          <w:tcPr>
            <w:tcW w:w="6400" w:type="dxa"/>
            <w:tcBorders>
              <w:top w:val="single" w:color="auto" w:sz="4" w:space="0"/>
            </w:tcBorders>
            <w:vAlign w:val="center"/>
          </w:tcPr>
          <w:p w14:paraId="115C6DA0">
            <w:pPr>
              <w:pStyle w:val="52"/>
              <w:shd w:val="clear"/>
              <w:spacing w:line="480" w:lineRule="exact"/>
              <w:ind w:left="38"/>
              <w:rPr>
                <w:bCs/>
                <w:color w:val="auto"/>
                <w:highlight w:val="none"/>
              </w:rPr>
            </w:pPr>
            <w:r>
              <w:rPr>
                <w:rFonts w:hint="eastAsia"/>
                <w:bCs/>
                <w:color w:val="auto"/>
                <w:highlight w:val="none"/>
              </w:rPr>
              <w:t>工业（制造业）</w:t>
            </w:r>
          </w:p>
        </w:tc>
      </w:tr>
      <w:tr w14:paraId="7A28FB90">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trHeight w:val="90" w:hRule="atLeast"/>
          <w:jc w:val="center"/>
        </w:trPr>
        <w:tc>
          <w:tcPr>
            <w:tcW w:w="671" w:type="dxa"/>
            <w:vAlign w:val="center"/>
          </w:tcPr>
          <w:p w14:paraId="449FD002">
            <w:pPr>
              <w:pStyle w:val="52"/>
              <w:shd w:val="clear"/>
              <w:spacing w:line="480" w:lineRule="exact"/>
              <w:ind w:left="9"/>
              <w:jc w:val="center"/>
              <w:rPr>
                <w:color w:val="auto"/>
                <w:kern w:val="2"/>
                <w:szCs w:val="28"/>
                <w:highlight w:val="none"/>
              </w:rPr>
            </w:pPr>
            <w:r>
              <w:rPr>
                <w:rFonts w:hint="eastAsia"/>
                <w:color w:val="auto"/>
                <w:kern w:val="2"/>
                <w:szCs w:val="28"/>
                <w:highlight w:val="none"/>
              </w:rPr>
              <w:t>3</w:t>
            </w:r>
          </w:p>
        </w:tc>
        <w:tc>
          <w:tcPr>
            <w:tcW w:w="2045" w:type="dxa"/>
            <w:tcBorders>
              <w:top w:val="single" w:color="auto" w:sz="4" w:space="0"/>
            </w:tcBorders>
            <w:vAlign w:val="center"/>
          </w:tcPr>
          <w:p w14:paraId="5F49BF20">
            <w:pPr>
              <w:pStyle w:val="52"/>
              <w:shd w:val="clear"/>
              <w:spacing w:line="480" w:lineRule="exact"/>
              <w:jc w:val="center"/>
              <w:rPr>
                <w:color w:val="auto"/>
                <w:highlight w:val="none"/>
              </w:rPr>
            </w:pPr>
            <w:r>
              <w:rPr>
                <w:rFonts w:hint="eastAsia"/>
                <w:color w:val="auto"/>
                <w:highlight w:val="none"/>
              </w:rPr>
              <w:t>是否允许合同分包</w:t>
            </w:r>
          </w:p>
          <w:p w14:paraId="605C6988">
            <w:pPr>
              <w:pStyle w:val="52"/>
              <w:shd w:val="clear"/>
              <w:spacing w:line="480" w:lineRule="exact"/>
              <w:jc w:val="center"/>
              <w:rPr>
                <w:color w:val="auto"/>
                <w:highlight w:val="none"/>
              </w:rPr>
            </w:pPr>
            <w:r>
              <w:rPr>
                <w:rFonts w:hint="eastAsia"/>
                <w:color w:val="auto"/>
                <w:highlight w:val="none"/>
              </w:rPr>
              <w:t>（实质性要求）</w:t>
            </w:r>
          </w:p>
        </w:tc>
        <w:tc>
          <w:tcPr>
            <w:tcW w:w="6400" w:type="dxa"/>
            <w:tcBorders>
              <w:top w:val="single" w:color="auto" w:sz="4" w:space="0"/>
            </w:tcBorders>
            <w:vAlign w:val="center"/>
          </w:tcPr>
          <w:p w14:paraId="37F62F5C">
            <w:pPr>
              <w:pStyle w:val="52"/>
              <w:shd w:val="clear"/>
              <w:spacing w:line="480" w:lineRule="exact"/>
              <w:rPr>
                <w:color w:val="auto"/>
                <w:highlight w:val="none"/>
                <w:lang w:val="zh-CN"/>
              </w:rPr>
            </w:pPr>
            <w:r>
              <w:rPr>
                <w:rFonts w:hint="eastAsia"/>
                <w:color w:val="auto"/>
                <w:highlight w:val="none"/>
                <w:lang w:val="zh-CN"/>
              </w:rPr>
              <w:t>否</w:t>
            </w:r>
          </w:p>
        </w:tc>
      </w:tr>
      <w:tr w14:paraId="6CDF9CA2">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jc w:val="center"/>
        </w:trPr>
        <w:tc>
          <w:tcPr>
            <w:tcW w:w="671" w:type="dxa"/>
            <w:vAlign w:val="center"/>
          </w:tcPr>
          <w:p w14:paraId="50F27D36">
            <w:pPr>
              <w:pStyle w:val="52"/>
              <w:shd w:val="clear"/>
              <w:spacing w:line="480" w:lineRule="exact"/>
              <w:ind w:left="9"/>
              <w:jc w:val="center"/>
              <w:rPr>
                <w:color w:val="auto"/>
                <w:sz w:val="21"/>
                <w:szCs w:val="21"/>
                <w:highlight w:val="none"/>
                <w:lang w:val="zh-CN"/>
              </w:rPr>
            </w:pPr>
            <w:r>
              <w:rPr>
                <w:rFonts w:hint="eastAsia"/>
                <w:color w:val="auto"/>
                <w:kern w:val="2"/>
                <w:szCs w:val="28"/>
                <w:highlight w:val="none"/>
              </w:rPr>
              <w:t>4</w:t>
            </w:r>
          </w:p>
        </w:tc>
        <w:tc>
          <w:tcPr>
            <w:tcW w:w="2045" w:type="dxa"/>
            <w:vAlign w:val="center"/>
          </w:tcPr>
          <w:p w14:paraId="4FA4C7C8">
            <w:pPr>
              <w:pStyle w:val="52"/>
              <w:shd w:val="clear"/>
              <w:spacing w:line="480" w:lineRule="exact"/>
              <w:ind w:left="38"/>
              <w:jc w:val="center"/>
              <w:rPr>
                <w:color w:val="auto"/>
                <w:kern w:val="2"/>
                <w:highlight w:val="none"/>
              </w:rPr>
            </w:pPr>
            <w:r>
              <w:rPr>
                <w:rFonts w:hint="eastAsia"/>
                <w:color w:val="auto"/>
                <w:kern w:val="2"/>
                <w:highlight w:val="none"/>
              </w:rPr>
              <w:t>低于成本价不正当</w:t>
            </w:r>
          </w:p>
          <w:p w14:paraId="1928E3BF">
            <w:pPr>
              <w:pStyle w:val="52"/>
              <w:shd w:val="clear"/>
              <w:spacing w:line="480" w:lineRule="exact"/>
              <w:ind w:left="38"/>
              <w:jc w:val="center"/>
              <w:rPr>
                <w:color w:val="auto"/>
                <w:kern w:val="2"/>
                <w:highlight w:val="none"/>
              </w:rPr>
            </w:pPr>
            <w:r>
              <w:rPr>
                <w:rFonts w:hint="eastAsia"/>
                <w:color w:val="auto"/>
                <w:kern w:val="2"/>
                <w:highlight w:val="none"/>
              </w:rPr>
              <w:t>竞争预防措施</w:t>
            </w:r>
          </w:p>
          <w:p w14:paraId="609AD440">
            <w:pPr>
              <w:pStyle w:val="52"/>
              <w:shd w:val="clear"/>
              <w:spacing w:line="480" w:lineRule="exact"/>
              <w:ind w:left="38"/>
              <w:jc w:val="center"/>
              <w:rPr>
                <w:color w:val="auto"/>
                <w:kern w:val="2"/>
                <w:highlight w:val="none"/>
              </w:rPr>
            </w:pPr>
            <w:r>
              <w:rPr>
                <w:rFonts w:hint="eastAsia"/>
                <w:color w:val="auto"/>
                <w:highlight w:val="none"/>
              </w:rPr>
              <w:t>（实质性要求）</w:t>
            </w:r>
          </w:p>
        </w:tc>
        <w:tc>
          <w:tcPr>
            <w:tcW w:w="6400" w:type="dxa"/>
          </w:tcPr>
          <w:p w14:paraId="53F7683D">
            <w:pPr>
              <w:pStyle w:val="52"/>
              <w:shd w:val="clear"/>
              <w:spacing w:line="480" w:lineRule="exact"/>
              <w:ind w:firstLine="480" w:firstLineChars="200"/>
              <w:jc w:val="both"/>
              <w:rPr>
                <w:color w:val="auto"/>
                <w:highlight w:val="none"/>
                <w:lang w:val="zh-CN"/>
              </w:rPr>
            </w:pPr>
            <w:r>
              <w:rPr>
                <w:rFonts w:hint="eastAsia"/>
                <w:color w:val="auto"/>
                <w:highlight w:val="none"/>
                <w:lang w:val="zh-CN"/>
              </w:rPr>
              <w:t>在评标过程中，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处理。</w:t>
            </w:r>
          </w:p>
          <w:p w14:paraId="2023D346">
            <w:pPr>
              <w:pStyle w:val="52"/>
              <w:shd w:val="clear"/>
              <w:spacing w:line="480" w:lineRule="exact"/>
              <w:ind w:firstLine="480" w:firstLineChars="200"/>
              <w:jc w:val="both"/>
              <w:rPr>
                <w:color w:val="auto"/>
                <w:highlight w:val="none"/>
                <w:lang w:val="zh-CN"/>
              </w:rPr>
            </w:pPr>
            <w:r>
              <w:rPr>
                <w:rFonts w:hint="eastAsia"/>
                <w:color w:val="auto"/>
                <w:highlight w:val="none"/>
                <w:lang w:val="zh-CN"/>
              </w:rPr>
              <w:t>投标人书面说明应当按照国家财务会计制度的规定要求，逐项就投标人提供的货物、工程和服务的主营业务成本（应根据投标人企业类型予以区别）、税金及附加、销售费用、管理费用、财务费用等成本构成事项详细陈述。</w:t>
            </w:r>
          </w:p>
          <w:p w14:paraId="07206BFC">
            <w:pPr>
              <w:pStyle w:val="52"/>
              <w:shd w:val="clear"/>
              <w:spacing w:line="480" w:lineRule="exact"/>
              <w:ind w:firstLine="480" w:firstLineChars="200"/>
              <w:jc w:val="both"/>
              <w:rPr>
                <w:color w:val="auto"/>
                <w:highlight w:val="none"/>
                <w:lang w:val="zh-CN"/>
              </w:rPr>
            </w:pPr>
            <w:r>
              <w:rPr>
                <w:rFonts w:hint="eastAsia"/>
                <w:color w:val="auto"/>
                <w:highlight w:val="none"/>
                <w:lang w:val="zh-CN"/>
              </w:rPr>
              <w:t>投标人书面说明应当签字确认或者加盖公章，否则无效。书面说明的签字确认，投标人为法人的，由其法定代表人或者代理人签字确认；投标人为其他组织的，由其主要负责人或者代理人签字确认；投标人为自然人的，由其本人或者代理人签字确认。</w:t>
            </w:r>
          </w:p>
          <w:p w14:paraId="3085C97F">
            <w:pPr>
              <w:pStyle w:val="52"/>
              <w:shd w:val="clear"/>
              <w:spacing w:line="480" w:lineRule="exact"/>
              <w:ind w:firstLine="480" w:firstLineChars="200"/>
              <w:jc w:val="both"/>
              <w:rPr>
                <w:color w:val="auto"/>
                <w:highlight w:val="none"/>
                <w:lang w:val="zh-CN"/>
              </w:rPr>
            </w:pPr>
            <w:r>
              <w:rPr>
                <w:rFonts w:hint="eastAsia"/>
                <w:color w:val="auto"/>
                <w:highlight w:val="none"/>
                <w:lang w:val="zh-CN"/>
              </w:rPr>
              <w:t>投标人提供书面说明后，评标委员会应当结合采购项目采购需求、专业实际情况、投标人财务状况报告、与其他投标人比较情况等就投标人书面说明进行审查评价。</w:t>
            </w:r>
          </w:p>
          <w:p w14:paraId="6A572685">
            <w:pPr>
              <w:pStyle w:val="52"/>
              <w:shd w:val="clear"/>
              <w:spacing w:line="480" w:lineRule="exact"/>
              <w:ind w:firstLine="480" w:firstLineChars="200"/>
              <w:jc w:val="both"/>
              <w:rPr>
                <w:color w:val="auto"/>
                <w:highlight w:val="none"/>
                <w:lang w:val="zh-CN"/>
              </w:rPr>
            </w:pPr>
            <w:r>
              <w:rPr>
                <w:rFonts w:hint="eastAsia"/>
                <w:color w:val="auto"/>
                <w:highlight w:val="none"/>
                <w:lang w:val="zh-CN"/>
              </w:rPr>
              <w:t>投标人拒绝或者变相拒绝提供有效书面说明或者书面说明不能证明其报价合理性的，评标委员会应当将其投标文件作为无效处理。</w:t>
            </w:r>
          </w:p>
        </w:tc>
      </w:tr>
      <w:tr w14:paraId="370760B5">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jc w:val="center"/>
        </w:trPr>
        <w:tc>
          <w:tcPr>
            <w:tcW w:w="671" w:type="dxa"/>
            <w:vMerge w:val="restart"/>
            <w:vAlign w:val="center"/>
          </w:tcPr>
          <w:p w14:paraId="515FD4CC">
            <w:pPr>
              <w:pStyle w:val="52"/>
              <w:shd w:val="clear"/>
              <w:spacing w:line="480" w:lineRule="exact"/>
              <w:ind w:left="9"/>
              <w:jc w:val="center"/>
              <w:rPr>
                <w:color w:val="auto"/>
                <w:kern w:val="2"/>
                <w:szCs w:val="28"/>
                <w:highlight w:val="none"/>
              </w:rPr>
            </w:pPr>
            <w:r>
              <w:rPr>
                <w:rFonts w:hint="eastAsia"/>
                <w:color w:val="auto"/>
                <w:kern w:val="2"/>
                <w:szCs w:val="28"/>
                <w:highlight w:val="none"/>
              </w:rPr>
              <w:t>5</w:t>
            </w:r>
          </w:p>
        </w:tc>
        <w:tc>
          <w:tcPr>
            <w:tcW w:w="2045" w:type="dxa"/>
            <w:vAlign w:val="center"/>
          </w:tcPr>
          <w:p w14:paraId="24C448D3">
            <w:pPr>
              <w:shd w:val="clear"/>
              <w:spacing w:line="480" w:lineRule="exact"/>
              <w:jc w:val="center"/>
              <w:outlineLvl w:val="5"/>
              <w:rPr>
                <w:rFonts w:hAnsi="宋体" w:cs="宋体"/>
                <w:bCs/>
                <w:color w:val="auto"/>
                <w:sz w:val="24"/>
                <w:szCs w:val="24"/>
                <w:highlight w:val="none"/>
              </w:rPr>
            </w:pPr>
            <w:r>
              <w:rPr>
                <w:rFonts w:hint="eastAsia" w:hAnsi="宋体" w:cs="宋体"/>
                <w:bCs/>
                <w:color w:val="auto"/>
                <w:sz w:val="24"/>
                <w:szCs w:val="24"/>
                <w:highlight w:val="none"/>
              </w:rPr>
              <w:t>小微企业价格扣除</w:t>
            </w:r>
          </w:p>
        </w:tc>
        <w:tc>
          <w:tcPr>
            <w:tcW w:w="6400" w:type="dxa"/>
            <w:vAlign w:val="center"/>
          </w:tcPr>
          <w:p w14:paraId="1FC84C69">
            <w:pPr>
              <w:shd w:val="clear"/>
              <w:snapToGrid w:val="0"/>
              <w:spacing w:line="440" w:lineRule="exact"/>
              <w:outlineLvl w:val="5"/>
              <w:rPr>
                <w:rFonts w:hAnsi="宋体"/>
                <w:bCs/>
                <w:color w:val="auto"/>
                <w:sz w:val="24"/>
                <w:szCs w:val="24"/>
                <w:highlight w:val="none"/>
              </w:rPr>
            </w:pPr>
            <w:r>
              <w:rPr>
                <w:rFonts w:hint="eastAsia" w:hAnsi="宋体"/>
                <w:bCs/>
                <w:color w:val="auto"/>
                <w:sz w:val="24"/>
                <w:szCs w:val="24"/>
                <w:highlight w:val="none"/>
              </w:rPr>
              <w:t>1、根据《关于进一步加大政府采购支持中小企业力度的通知》（财库〔2022〕19号）的规定，对小型和微型企业产品的价格给予10%的价格扣除，用扣除后的价格参与评审。</w:t>
            </w:r>
          </w:p>
          <w:p w14:paraId="769B8879">
            <w:pPr>
              <w:shd w:val="clear"/>
              <w:snapToGrid w:val="0"/>
              <w:spacing w:line="440" w:lineRule="exact"/>
              <w:outlineLvl w:val="5"/>
              <w:rPr>
                <w:rFonts w:hAnsi="宋体"/>
                <w:bCs/>
                <w:color w:val="auto"/>
                <w:sz w:val="24"/>
                <w:szCs w:val="24"/>
                <w:highlight w:val="none"/>
              </w:rPr>
            </w:pPr>
            <w:r>
              <w:rPr>
                <w:rFonts w:hint="eastAsia" w:hAnsi="宋体"/>
                <w:bCs/>
                <w:color w:val="auto"/>
                <w:sz w:val="24"/>
                <w:szCs w:val="24"/>
                <w:highlight w:val="none"/>
              </w:rPr>
              <w:t>2、参加政府采购活动的中小微企业应当提供《中小企业声明函》原件。</w:t>
            </w:r>
          </w:p>
          <w:p w14:paraId="00B94385">
            <w:pPr>
              <w:shd w:val="clear"/>
              <w:snapToGrid w:val="0"/>
              <w:spacing w:line="440" w:lineRule="exact"/>
              <w:outlineLvl w:val="5"/>
              <w:rPr>
                <w:rFonts w:hAnsi="宋体"/>
                <w:bCs/>
                <w:color w:val="auto"/>
                <w:sz w:val="24"/>
                <w:szCs w:val="24"/>
                <w:highlight w:val="none"/>
              </w:rPr>
            </w:pPr>
            <w:r>
              <w:rPr>
                <w:rFonts w:hint="eastAsia" w:hAnsi="宋体"/>
                <w:bCs/>
                <w:color w:val="auto"/>
                <w:sz w:val="24"/>
                <w:szCs w:val="24"/>
                <w:highlight w:val="none"/>
              </w:rPr>
              <w:t xml:space="preserve">3、大中型企业和其他自然人、法人或者其他组织与小型、微型企业组成联合体共同参加非专门面向中小企业的政府采购活动的，联合体报价协议中约定，小型、微型企业的协议合同金额占到联合体报价协议合同总金额30%以上的，可给予联合体4%的价格扣除。 </w:t>
            </w:r>
          </w:p>
          <w:p w14:paraId="5D8B8614">
            <w:pPr>
              <w:shd w:val="clear"/>
              <w:snapToGrid w:val="0"/>
              <w:spacing w:line="440" w:lineRule="exact"/>
              <w:outlineLvl w:val="5"/>
              <w:rPr>
                <w:color w:val="auto"/>
                <w:highlight w:val="none"/>
                <w:lang w:val="zh-CN"/>
              </w:rPr>
            </w:pPr>
            <w:r>
              <w:rPr>
                <w:rFonts w:hint="eastAsia" w:hAnsi="宋体"/>
                <w:bCs/>
                <w:color w:val="auto"/>
                <w:sz w:val="24"/>
                <w:szCs w:val="24"/>
                <w:highlight w:val="none"/>
              </w:rPr>
              <w:t>4、联合体各方均为小型、微型企业的，联合体视同为小型、微型企业享受规定的扶持政策。组成联合体的大中型企业和其他自然人、法人或者其他组织，与小型、微型企业之间不得存在投资关系。</w:t>
            </w:r>
          </w:p>
        </w:tc>
      </w:tr>
      <w:tr w14:paraId="42349FCC">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jc w:val="center"/>
        </w:trPr>
        <w:tc>
          <w:tcPr>
            <w:tcW w:w="671" w:type="dxa"/>
            <w:vMerge w:val="continue"/>
            <w:vAlign w:val="center"/>
          </w:tcPr>
          <w:p w14:paraId="21CE578D">
            <w:pPr>
              <w:pStyle w:val="52"/>
              <w:shd w:val="clear"/>
              <w:spacing w:line="480" w:lineRule="exact"/>
              <w:ind w:left="9"/>
              <w:jc w:val="center"/>
              <w:rPr>
                <w:color w:val="auto"/>
                <w:kern w:val="2"/>
                <w:szCs w:val="28"/>
                <w:highlight w:val="none"/>
              </w:rPr>
            </w:pPr>
          </w:p>
        </w:tc>
        <w:tc>
          <w:tcPr>
            <w:tcW w:w="2045" w:type="dxa"/>
            <w:vAlign w:val="center"/>
          </w:tcPr>
          <w:p w14:paraId="5D742806">
            <w:pPr>
              <w:shd w:val="clear"/>
              <w:spacing w:line="480" w:lineRule="exact"/>
              <w:jc w:val="center"/>
              <w:outlineLvl w:val="5"/>
              <w:rPr>
                <w:rFonts w:hAnsi="宋体" w:cs="宋体"/>
                <w:bCs/>
                <w:color w:val="auto"/>
                <w:sz w:val="24"/>
                <w:szCs w:val="24"/>
                <w:highlight w:val="none"/>
              </w:rPr>
            </w:pPr>
            <w:r>
              <w:rPr>
                <w:rFonts w:hint="eastAsia" w:hAnsi="宋体" w:cs="宋体"/>
                <w:bCs/>
                <w:color w:val="auto"/>
                <w:sz w:val="24"/>
                <w:szCs w:val="24"/>
                <w:highlight w:val="none"/>
              </w:rPr>
              <w:t>监狱企业</w:t>
            </w:r>
          </w:p>
        </w:tc>
        <w:tc>
          <w:tcPr>
            <w:tcW w:w="6400" w:type="dxa"/>
            <w:vAlign w:val="center"/>
          </w:tcPr>
          <w:p w14:paraId="7006880F">
            <w:pPr>
              <w:shd w:val="clear"/>
              <w:snapToGrid w:val="0"/>
              <w:spacing w:line="440" w:lineRule="exact"/>
              <w:outlineLvl w:val="5"/>
              <w:rPr>
                <w:rFonts w:hAnsi="宋体"/>
                <w:bCs/>
                <w:color w:val="auto"/>
                <w:sz w:val="24"/>
                <w:szCs w:val="24"/>
                <w:highlight w:val="none"/>
              </w:rPr>
            </w:pPr>
            <w:r>
              <w:rPr>
                <w:rFonts w:hint="eastAsia" w:hAnsi="宋体"/>
                <w:bCs/>
                <w:color w:val="auto"/>
                <w:sz w:val="24"/>
                <w:szCs w:val="24"/>
                <w:highlight w:val="none"/>
              </w:rPr>
              <w:t>1、</w:t>
            </w:r>
            <w:r>
              <w:rPr>
                <w:rFonts w:hAnsi="宋体"/>
                <w:bCs/>
                <w:color w:val="auto"/>
                <w:sz w:val="24"/>
                <w:szCs w:val="24"/>
                <w:highlight w:val="none"/>
              </w:rPr>
              <w:t>根据</w:t>
            </w:r>
            <w:r>
              <w:rPr>
                <w:rFonts w:hint="eastAsia" w:hAnsi="宋体"/>
                <w:bCs/>
                <w:color w:val="auto"/>
                <w:sz w:val="24"/>
                <w:szCs w:val="24"/>
                <w:highlight w:val="none"/>
              </w:rPr>
              <w:t>《关于政府采购支持监狱企业发展有关问题的通知》（财库</w:t>
            </w:r>
            <w:r>
              <w:rPr>
                <w:rFonts w:hAnsi="宋体"/>
                <w:bCs/>
                <w:color w:val="auto"/>
                <w:sz w:val="24"/>
                <w:szCs w:val="24"/>
                <w:highlight w:val="none"/>
              </w:rPr>
              <w:t>[2014]68号）的规定</w:t>
            </w:r>
            <w:r>
              <w:rPr>
                <w:rFonts w:hint="eastAsia" w:hAnsi="宋体"/>
                <w:bCs/>
                <w:color w:val="auto"/>
                <w:sz w:val="24"/>
                <w:szCs w:val="24"/>
                <w:highlight w:val="none"/>
              </w:rPr>
              <w:t>，对监狱企业的最后报价</w:t>
            </w:r>
            <w:r>
              <w:rPr>
                <w:rFonts w:hAnsi="宋体"/>
                <w:bCs/>
                <w:color w:val="auto"/>
                <w:sz w:val="24"/>
                <w:szCs w:val="24"/>
                <w:highlight w:val="none"/>
              </w:rPr>
              <w:t>给予</w:t>
            </w:r>
            <w:r>
              <w:rPr>
                <w:rFonts w:hint="eastAsia" w:hAnsi="宋体"/>
                <w:bCs/>
                <w:color w:val="auto"/>
                <w:sz w:val="24"/>
                <w:szCs w:val="24"/>
                <w:highlight w:val="none"/>
              </w:rPr>
              <w:t>10</w:t>
            </w:r>
            <w:r>
              <w:rPr>
                <w:rFonts w:hAnsi="宋体"/>
                <w:bCs/>
                <w:color w:val="auto"/>
                <w:sz w:val="24"/>
                <w:szCs w:val="24"/>
                <w:highlight w:val="none"/>
              </w:rPr>
              <w:t>%的价格扣除，用扣除后的价格参与评</w:t>
            </w:r>
            <w:r>
              <w:rPr>
                <w:rFonts w:hint="eastAsia" w:hAnsi="宋体"/>
                <w:bCs/>
                <w:color w:val="auto"/>
                <w:sz w:val="24"/>
                <w:szCs w:val="24"/>
                <w:highlight w:val="none"/>
              </w:rPr>
              <w:t>审。</w:t>
            </w:r>
          </w:p>
          <w:p w14:paraId="765D55AF">
            <w:pPr>
              <w:shd w:val="clear"/>
              <w:snapToGrid w:val="0"/>
              <w:spacing w:line="440" w:lineRule="exact"/>
              <w:outlineLvl w:val="5"/>
              <w:rPr>
                <w:color w:val="auto"/>
                <w:highlight w:val="none"/>
                <w:lang w:val="zh-CN"/>
              </w:rPr>
            </w:pPr>
            <w:r>
              <w:rPr>
                <w:rFonts w:hint="eastAsia" w:hAnsi="宋体"/>
                <w:bCs/>
                <w:color w:val="auto"/>
                <w:sz w:val="24"/>
                <w:szCs w:val="24"/>
                <w:highlight w:val="none"/>
              </w:rPr>
              <w:t>2、投标人为监狱企业的应提供由省级以上监狱管理局、戒毒管理局（含新疆生产建设兵团）出具属于监狱企业的证明文件复印件。</w:t>
            </w:r>
          </w:p>
        </w:tc>
      </w:tr>
      <w:tr w14:paraId="4FCF7F2A">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jc w:val="center"/>
        </w:trPr>
        <w:tc>
          <w:tcPr>
            <w:tcW w:w="671" w:type="dxa"/>
            <w:vMerge w:val="continue"/>
            <w:vAlign w:val="center"/>
          </w:tcPr>
          <w:p w14:paraId="4A70D1CB">
            <w:pPr>
              <w:pStyle w:val="52"/>
              <w:shd w:val="clear"/>
              <w:spacing w:line="480" w:lineRule="exact"/>
              <w:ind w:left="9"/>
              <w:jc w:val="center"/>
              <w:rPr>
                <w:color w:val="auto"/>
                <w:kern w:val="2"/>
                <w:szCs w:val="28"/>
                <w:highlight w:val="none"/>
              </w:rPr>
            </w:pPr>
          </w:p>
        </w:tc>
        <w:tc>
          <w:tcPr>
            <w:tcW w:w="2045" w:type="dxa"/>
            <w:vAlign w:val="center"/>
          </w:tcPr>
          <w:p w14:paraId="02067754">
            <w:pPr>
              <w:shd w:val="clear"/>
              <w:spacing w:line="480" w:lineRule="exact"/>
              <w:jc w:val="center"/>
              <w:outlineLvl w:val="5"/>
              <w:rPr>
                <w:rFonts w:hAnsi="宋体" w:cs="宋体"/>
                <w:bCs/>
                <w:color w:val="auto"/>
                <w:sz w:val="24"/>
                <w:szCs w:val="24"/>
                <w:highlight w:val="none"/>
              </w:rPr>
            </w:pPr>
            <w:r>
              <w:rPr>
                <w:rFonts w:hint="eastAsia" w:hAnsi="宋体" w:cs="宋体"/>
                <w:bCs/>
                <w:color w:val="auto"/>
                <w:sz w:val="24"/>
                <w:szCs w:val="24"/>
                <w:highlight w:val="none"/>
              </w:rPr>
              <w:t>残疾人福利性单位</w:t>
            </w:r>
          </w:p>
        </w:tc>
        <w:tc>
          <w:tcPr>
            <w:tcW w:w="6400" w:type="dxa"/>
            <w:vAlign w:val="center"/>
          </w:tcPr>
          <w:p w14:paraId="030096CB">
            <w:pPr>
              <w:shd w:val="clear"/>
              <w:snapToGrid w:val="0"/>
              <w:spacing w:line="440" w:lineRule="exact"/>
              <w:outlineLvl w:val="5"/>
              <w:rPr>
                <w:rFonts w:hAnsi="宋体"/>
                <w:bCs/>
                <w:color w:val="auto"/>
                <w:sz w:val="24"/>
                <w:szCs w:val="24"/>
                <w:highlight w:val="none"/>
              </w:rPr>
            </w:pPr>
            <w:r>
              <w:rPr>
                <w:rFonts w:hAnsi="宋体"/>
                <w:bCs/>
                <w:color w:val="auto"/>
                <w:sz w:val="24"/>
                <w:szCs w:val="24"/>
                <w:highlight w:val="none"/>
              </w:rPr>
              <w:t>1、根据《</w:t>
            </w:r>
            <w:r>
              <w:rPr>
                <w:rFonts w:hint="eastAsia" w:hAnsi="宋体"/>
                <w:bCs/>
                <w:color w:val="auto"/>
                <w:sz w:val="24"/>
                <w:szCs w:val="24"/>
                <w:highlight w:val="none"/>
              </w:rPr>
              <w:t>三部门联合发布关于促进残疾人就业政府采购政策的通知</w:t>
            </w:r>
            <w:r>
              <w:rPr>
                <w:rFonts w:hAnsi="宋体"/>
                <w:bCs/>
                <w:color w:val="auto"/>
                <w:sz w:val="24"/>
                <w:szCs w:val="24"/>
                <w:highlight w:val="none"/>
              </w:rPr>
              <w:t>》（财库[2017]141号）的规定，</w:t>
            </w:r>
            <w:r>
              <w:rPr>
                <w:rFonts w:hint="eastAsia" w:hAnsi="宋体"/>
                <w:bCs/>
                <w:color w:val="auto"/>
                <w:sz w:val="24"/>
                <w:szCs w:val="24"/>
                <w:highlight w:val="none"/>
              </w:rPr>
              <w:t>残疾人福利性单位视同小型和微型企业，对残疾人福利性单位的最后价格</w:t>
            </w:r>
            <w:r>
              <w:rPr>
                <w:rFonts w:hAnsi="宋体"/>
                <w:bCs/>
                <w:color w:val="auto"/>
                <w:sz w:val="24"/>
                <w:szCs w:val="24"/>
                <w:highlight w:val="none"/>
              </w:rPr>
              <w:t>给予</w:t>
            </w:r>
            <w:r>
              <w:rPr>
                <w:rFonts w:hint="eastAsia" w:hAnsi="宋体"/>
                <w:bCs/>
                <w:color w:val="auto"/>
                <w:sz w:val="24"/>
                <w:szCs w:val="24"/>
                <w:highlight w:val="none"/>
              </w:rPr>
              <w:t>10</w:t>
            </w:r>
            <w:r>
              <w:rPr>
                <w:rFonts w:hAnsi="宋体"/>
                <w:bCs/>
                <w:color w:val="auto"/>
                <w:sz w:val="24"/>
                <w:szCs w:val="24"/>
                <w:highlight w:val="none"/>
              </w:rPr>
              <w:t>%的价格扣除，用扣除后的价格参与评</w:t>
            </w:r>
            <w:r>
              <w:rPr>
                <w:rFonts w:hint="eastAsia" w:hAnsi="宋体"/>
                <w:bCs/>
                <w:color w:val="auto"/>
                <w:sz w:val="24"/>
                <w:szCs w:val="24"/>
                <w:highlight w:val="none"/>
              </w:rPr>
              <w:t>审</w:t>
            </w:r>
            <w:r>
              <w:rPr>
                <w:rFonts w:hAnsi="宋体"/>
                <w:bCs/>
                <w:color w:val="auto"/>
                <w:sz w:val="24"/>
                <w:szCs w:val="24"/>
                <w:highlight w:val="none"/>
              </w:rPr>
              <w:t>。</w:t>
            </w:r>
          </w:p>
          <w:p w14:paraId="2C6DC0AA">
            <w:pPr>
              <w:shd w:val="clear"/>
              <w:snapToGrid w:val="0"/>
              <w:spacing w:line="440" w:lineRule="exact"/>
              <w:outlineLvl w:val="5"/>
              <w:rPr>
                <w:color w:val="auto"/>
                <w:highlight w:val="none"/>
                <w:lang w:val="zh-CN"/>
              </w:rPr>
            </w:pPr>
            <w:r>
              <w:rPr>
                <w:rFonts w:hAnsi="宋体"/>
                <w:bCs/>
                <w:color w:val="auto"/>
                <w:sz w:val="24"/>
                <w:szCs w:val="24"/>
                <w:highlight w:val="none"/>
              </w:rPr>
              <w:t>2、参加政府采购活动的</w:t>
            </w:r>
            <w:r>
              <w:rPr>
                <w:rFonts w:hint="eastAsia" w:hAnsi="宋体"/>
                <w:bCs/>
                <w:color w:val="auto"/>
                <w:sz w:val="24"/>
                <w:szCs w:val="24"/>
                <w:highlight w:val="none"/>
              </w:rPr>
              <w:t>残疾人福利性单位</w:t>
            </w:r>
            <w:r>
              <w:rPr>
                <w:rFonts w:hAnsi="宋体"/>
                <w:bCs/>
                <w:color w:val="auto"/>
                <w:sz w:val="24"/>
                <w:szCs w:val="24"/>
                <w:highlight w:val="none"/>
              </w:rPr>
              <w:t>应当提供《</w:t>
            </w:r>
            <w:r>
              <w:rPr>
                <w:rFonts w:hint="eastAsia" w:hAnsi="宋体"/>
                <w:bCs/>
                <w:color w:val="auto"/>
                <w:sz w:val="24"/>
                <w:szCs w:val="24"/>
                <w:highlight w:val="none"/>
              </w:rPr>
              <w:t>残疾人福利性单位</w:t>
            </w:r>
            <w:r>
              <w:rPr>
                <w:rFonts w:hAnsi="宋体"/>
                <w:bCs/>
                <w:color w:val="auto"/>
                <w:sz w:val="24"/>
                <w:szCs w:val="24"/>
                <w:highlight w:val="none"/>
              </w:rPr>
              <w:t>声明函》原件。</w:t>
            </w:r>
          </w:p>
        </w:tc>
      </w:tr>
      <w:tr w14:paraId="30AECF5F">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jc w:val="center"/>
        </w:trPr>
        <w:tc>
          <w:tcPr>
            <w:tcW w:w="671" w:type="dxa"/>
            <w:vAlign w:val="center"/>
          </w:tcPr>
          <w:p w14:paraId="71941D36">
            <w:pPr>
              <w:pStyle w:val="52"/>
              <w:shd w:val="clear"/>
              <w:spacing w:line="480" w:lineRule="exact"/>
              <w:ind w:left="9"/>
              <w:jc w:val="center"/>
              <w:rPr>
                <w:color w:val="auto"/>
                <w:kern w:val="2"/>
                <w:szCs w:val="28"/>
                <w:highlight w:val="none"/>
              </w:rPr>
            </w:pPr>
            <w:r>
              <w:rPr>
                <w:rFonts w:hint="eastAsia"/>
                <w:color w:val="auto"/>
                <w:kern w:val="2"/>
                <w:szCs w:val="28"/>
                <w:highlight w:val="none"/>
              </w:rPr>
              <w:t>6</w:t>
            </w:r>
          </w:p>
        </w:tc>
        <w:tc>
          <w:tcPr>
            <w:tcW w:w="2045" w:type="dxa"/>
            <w:vAlign w:val="center"/>
          </w:tcPr>
          <w:p w14:paraId="24562DFA">
            <w:pPr>
              <w:pStyle w:val="52"/>
              <w:shd w:val="clear"/>
              <w:spacing w:line="480" w:lineRule="exact"/>
              <w:jc w:val="center"/>
              <w:rPr>
                <w:color w:val="auto"/>
                <w:kern w:val="2"/>
                <w:highlight w:val="none"/>
              </w:rPr>
            </w:pPr>
            <w:r>
              <w:rPr>
                <w:rFonts w:hint="eastAsia"/>
                <w:color w:val="auto"/>
                <w:kern w:val="2"/>
                <w:highlight w:val="none"/>
              </w:rPr>
              <w:t>参数说明</w:t>
            </w:r>
          </w:p>
        </w:tc>
        <w:tc>
          <w:tcPr>
            <w:tcW w:w="6400" w:type="dxa"/>
          </w:tcPr>
          <w:p w14:paraId="53799162">
            <w:pPr>
              <w:pStyle w:val="52"/>
              <w:shd w:val="clear"/>
              <w:spacing w:line="480" w:lineRule="exact"/>
              <w:jc w:val="both"/>
              <w:rPr>
                <w:color w:val="auto"/>
                <w:highlight w:val="none"/>
                <w:lang w:val="zh-CN"/>
              </w:rPr>
            </w:pPr>
            <w:r>
              <w:rPr>
                <w:rFonts w:hint="eastAsia"/>
                <w:color w:val="auto"/>
                <w:highlight w:val="none"/>
                <w:lang w:val="zh-CN"/>
              </w:rPr>
              <w:t>本项目中对未有注明的参数要求，均以标准配置为准。如在各</w:t>
            </w:r>
          </w:p>
          <w:p w14:paraId="25DBF9A2">
            <w:pPr>
              <w:pStyle w:val="52"/>
              <w:shd w:val="clear"/>
              <w:spacing w:line="480" w:lineRule="exact"/>
              <w:jc w:val="both"/>
              <w:rPr>
                <w:color w:val="auto"/>
                <w:highlight w:val="none"/>
                <w:lang w:val="zh-CN"/>
              </w:rPr>
            </w:pPr>
            <w:r>
              <w:rPr>
                <w:rFonts w:hint="eastAsia"/>
                <w:color w:val="auto"/>
                <w:highlight w:val="none"/>
                <w:lang w:val="zh-CN"/>
              </w:rPr>
              <w:t>技术参数中指出某些技术参数仅为某一品牌所特有的，仅起说明作用，并没有任何限制性。投标人在投标中可以选用替代标</w:t>
            </w:r>
          </w:p>
          <w:p w14:paraId="718CD246">
            <w:pPr>
              <w:pStyle w:val="52"/>
              <w:shd w:val="clear"/>
              <w:spacing w:line="480" w:lineRule="exact"/>
              <w:jc w:val="both"/>
              <w:rPr>
                <w:color w:val="auto"/>
                <w:highlight w:val="none"/>
                <w:lang w:val="zh-CN"/>
              </w:rPr>
            </w:pPr>
            <w:r>
              <w:rPr>
                <w:rFonts w:hint="eastAsia"/>
                <w:color w:val="auto"/>
                <w:highlight w:val="none"/>
                <w:lang w:val="zh-CN"/>
              </w:rPr>
              <w:t>准，但这些替代要实质性相当于技术规格的要求，并提供相关</w:t>
            </w:r>
          </w:p>
          <w:p w14:paraId="5433B352">
            <w:pPr>
              <w:pStyle w:val="52"/>
              <w:shd w:val="clear"/>
              <w:spacing w:line="480" w:lineRule="exact"/>
              <w:jc w:val="both"/>
              <w:rPr>
                <w:color w:val="auto"/>
                <w:highlight w:val="none"/>
                <w:lang w:val="zh-CN"/>
              </w:rPr>
            </w:pPr>
            <w:r>
              <w:rPr>
                <w:rFonts w:hint="eastAsia"/>
                <w:color w:val="auto"/>
                <w:highlight w:val="none"/>
                <w:lang w:val="zh-CN"/>
              </w:rPr>
              <w:t>证明材料；在招标文件中有未提及到的技术细节或招标文件中</w:t>
            </w:r>
          </w:p>
          <w:p w14:paraId="7A009DED">
            <w:pPr>
              <w:pStyle w:val="52"/>
              <w:shd w:val="clear"/>
              <w:spacing w:line="480" w:lineRule="exact"/>
              <w:jc w:val="both"/>
              <w:rPr>
                <w:color w:val="auto"/>
                <w:highlight w:val="none"/>
                <w:lang w:val="zh-CN"/>
              </w:rPr>
            </w:pPr>
            <w:r>
              <w:rPr>
                <w:rFonts w:hint="eastAsia"/>
                <w:color w:val="auto"/>
                <w:highlight w:val="none"/>
                <w:lang w:val="zh-CN"/>
              </w:rPr>
              <w:t>任何条款的叙述中没有明确的规定的，都视为是指国家（或部</w:t>
            </w:r>
          </w:p>
          <w:p w14:paraId="6CA19C41">
            <w:pPr>
              <w:pStyle w:val="52"/>
              <w:shd w:val="clear"/>
              <w:spacing w:line="480" w:lineRule="exact"/>
              <w:jc w:val="both"/>
              <w:rPr>
                <w:color w:val="auto"/>
                <w:highlight w:val="none"/>
                <w:lang w:val="zh-CN"/>
              </w:rPr>
            </w:pPr>
            <w:r>
              <w:rPr>
                <w:rFonts w:hint="eastAsia"/>
                <w:color w:val="auto"/>
                <w:highlight w:val="none"/>
                <w:lang w:val="zh-CN"/>
              </w:rPr>
              <w:t>颁行业）的最新标准和规范。</w:t>
            </w:r>
          </w:p>
        </w:tc>
      </w:tr>
      <w:tr w14:paraId="7E8AA23C">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jc w:val="center"/>
        </w:trPr>
        <w:tc>
          <w:tcPr>
            <w:tcW w:w="671" w:type="dxa"/>
            <w:vAlign w:val="center"/>
          </w:tcPr>
          <w:p w14:paraId="6EE2AECD">
            <w:pPr>
              <w:pStyle w:val="52"/>
              <w:shd w:val="clear"/>
              <w:spacing w:line="480" w:lineRule="exact"/>
              <w:ind w:left="9"/>
              <w:jc w:val="center"/>
              <w:rPr>
                <w:color w:val="auto"/>
                <w:kern w:val="2"/>
                <w:szCs w:val="28"/>
                <w:highlight w:val="none"/>
              </w:rPr>
            </w:pPr>
            <w:r>
              <w:rPr>
                <w:rFonts w:hint="eastAsia"/>
                <w:color w:val="auto"/>
                <w:kern w:val="2"/>
                <w:szCs w:val="28"/>
                <w:highlight w:val="none"/>
              </w:rPr>
              <w:t>7</w:t>
            </w:r>
          </w:p>
        </w:tc>
        <w:tc>
          <w:tcPr>
            <w:tcW w:w="2045" w:type="dxa"/>
            <w:vAlign w:val="center"/>
          </w:tcPr>
          <w:p w14:paraId="760B58A0">
            <w:pPr>
              <w:pStyle w:val="52"/>
              <w:shd w:val="clear"/>
              <w:spacing w:line="480" w:lineRule="exact"/>
              <w:jc w:val="center"/>
              <w:rPr>
                <w:color w:val="auto"/>
                <w:highlight w:val="none"/>
                <w:lang w:val="zh-CN"/>
              </w:rPr>
            </w:pPr>
            <w:r>
              <w:rPr>
                <w:rFonts w:hint="eastAsia"/>
                <w:color w:val="auto"/>
                <w:highlight w:val="none"/>
                <w:lang w:val="zh-CN"/>
              </w:rPr>
              <w:t>不发达地区和少数民族地区</w:t>
            </w:r>
          </w:p>
        </w:tc>
        <w:tc>
          <w:tcPr>
            <w:tcW w:w="6400" w:type="dxa"/>
            <w:vAlign w:val="center"/>
          </w:tcPr>
          <w:p w14:paraId="0CA454D0">
            <w:pPr>
              <w:pStyle w:val="52"/>
              <w:shd w:val="clear"/>
              <w:spacing w:line="480" w:lineRule="exact"/>
              <w:rPr>
                <w:color w:val="auto"/>
                <w:highlight w:val="none"/>
              </w:rPr>
            </w:pPr>
            <w:r>
              <w:rPr>
                <w:rFonts w:hint="eastAsia"/>
                <w:color w:val="auto"/>
                <w:highlight w:val="none"/>
                <w:lang w:val="zh-CN"/>
              </w:rPr>
              <w:t>扶持不发达地区和少数民族地区政策，按现行有效政策执行。投标人为不发达地区和少数民族地区政策条件的,在同等条件（包括但不限于）下享有优先采购的机会。</w:t>
            </w:r>
          </w:p>
        </w:tc>
      </w:tr>
      <w:tr w14:paraId="5DEB8A74">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jc w:val="center"/>
        </w:trPr>
        <w:tc>
          <w:tcPr>
            <w:tcW w:w="671" w:type="dxa"/>
            <w:vAlign w:val="center"/>
          </w:tcPr>
          <w:p w14:paraId="3BC477E4">
            <w:pPr>
              <w:pStyle w:val="52"/>
              <w:shd w:val="clear"/>
              <w:spacing w:line="480" w:lineRule="exact"/>
              <w:ind w:left="9"/>
              <w:jc w:val="center"/>
              <w:rPr>
                <w:color w:val="auto"/>
                <w:kern w:val="2"/>
                <w:szCs w:val="28"/>
                <w:highlight w:val="none"/>
              </w:rPr>
            </w:pPr>
            <w:r>
              <w:rPr>
                <w:rFonts w:hint="eastAsia"/>
                <w:color w:val="auto"/>
                <w:kern w:val="2"/>
                <w:szCs w:val="28"/>
                <w:highlight w:val="none"/>
              </w:rPr>
              <w:t>8</w:t>
            </w:r>
          </w:p>
        </w:tc>
        <w:tc>
          <w:tcPr>
            <w:tcW w:w="2045" w:type="dxa"/>
            <w:vAlign w:val="center"/>
          </w:tcPr>
          <w:p w14:paraId="2335A04D">
            <w:pPr>
              <w:pStyle w:val="52"/>
              <w:shd w:val="clear"/>
              <w:spacing w:line="480" w:lineRule="exact"/>
              <w:jc w:val="center"/>
              <w:rPr>
                <w:color w:val="auto"/>
                <w:highlight w:val="none"/>
                <w:lang w:val="zh-CN"/>
              </w:rPr>
            </w:pPr>
            <w:r>
              <w:rPr>
                <w:rFonts w:hint="eastAsia"/>
                <w:color w:val="auto"/>
                <w:kern w:val="2"/>
                <w:szCs w:val="22"/>
                <w:highlight w:val="none"/>
              </w:rPr>
              <w:t>节能、环保</w:t>
            </w:r>
            <w:r>
              <w:rPr>
                <w:rFonts w:hint="eastAsia"/>
                <w:color w:val="auto"/>
                <w:highlight w:val="none"/>
              </w:rPr>
              <w:t>产品</w:t>
            </w:r>
          </w:p>
        </w:tc>
        <w:tc>
          <w:tcPr>
            <w:tcW w:w="6400" w:type="dxa"/>
            <w:vAlign w:val="center"/>
          </w:tcPr>
          <w:p w14:paraId="62D65200">
            <w:pPr>
              <w:pStyle w:val="52"/>
              <w:shd w:val="clear"/>
              <w:spacing w:line="480" w:lineRule="exact"/>
              <w:rPr>
                <w:color w:val="auto"/>
                <w:highlight w:val="none"/>
                <w:lang w:val="zh-CN"/>
              </w:rPr>
            </w:pPr>
            <w:r>
              <w:rPr>
                <w:rFonts w:hint="eastAsia"/>
                <w:color w:val="auto"/>
                <w:highlight w:val="none"/>
                <w:lang w:val="zh-CN"/>
              </w:rPr>
              <w:t>据《财政部 发展改革委 生态环境部 市场监管总局关于调整优化节能产品、环境标志产品政府采购执行机制的通知》（财库〔2019〕9号）相关要求，依据品目清单和认证证书实施政府优先采购和强制采购。本项目采购的产品属于品目清单范围的，依据国家确定的认证机构出具的、处于有效期之内的节能产品、环境标志产品认证证书，对获得证书的产品按照第七章《综合评分明细表》的规则进行加分。</w:t>
            </w:r>
          </w:p>
          <w:p w14:paraId="3FBEAF56">
            <w:pPr>
              <w:pStyle w:val="52"/>
              <w:shd w:val="clear"/>
              <w:spacing w:line="480" w:lineRule="exact"/>
              <w:rPr>
                <w:color w:val="auto"/>
                <w:highlight w:val="none"/>
                <w:lang w:val="zh-CN"/>
              </w:rPr>
            </w:pPr>
            <w:r>
              <w:rPr>
                <w:rFonts w:hint="eastAsia"/>
                <w:color w:val="auto"/>
                <w:highlight w:val="none"/>
                <w:lang w:val="zh-CN"/>
              </w:rPr>
              <w:t>本项目采购的产品属于品目清单范围内强制采购的，投标人应按上述要求提供产品认证证书复印件并加盖投标人单位公章（鲜章），否则投标无效。</w:t>
            </w:r>
          </w:p>
        </w:tc>
      </w:tr>
      <w:tr w14:paraId="18B1ABE9">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jc w:val="center"/>
        </w:trPr>
        <w:tc>
          <w:tcPr>
            <w:tcW w:w="671" w:type="dxa"/>
            <w:vAlign w:val="center"/>
          </w:tcPr>
          <w:p w14:paraId="0FB1D6E4">
            <w:pPr>
              <w:pStyle w:val="52"/>
              <w:shd w:val="clear"/>
              <w:spacing w:line="480" w:lineRule="exact"/>
              <w:ind w:left="9"/>
              <w:jc w:val="center"/>
              <w:rPr>
                <w:color w:val="auto"/>
                <w:kern w:val="2"/>
                <w:szCs w:val="28"/>
                <w:highlight w:val="none"/>
              </w:rPr>
            </w:pPr>
            <w:r>
              <w:rPr>
                <w:rFonts w:hint="eastAsia"/>
                <w:color w:val="auto"/>
                <w:kern w:val="2"/>
                <w:szCs w:val="28"/>
                <w:highlight w:val="none"/>
              </w:rPr>
              <w:t>9</w:t>
            </w:r>
          </w:p>
        </w:tc>
        <w:tc>
          <w:tcPr>
            <w:tcW w:w="2045" w:type="dxa"/>
            <w:vAlign w:val="center"/>
          </w:tcPr>
          <w:p w14:paraId="092C9784">
            <w:pPr>
              <w:pStyle w:val="52"/>
              <w:shd w:val="clear"/>
              <w:spacing w:line="480" w:lineRule="exact"/>
              <w:jc w:val="center"/>
              <w:rPr>
                <w:color w:val="auto"/>
                <w:highlight w:val="none"/>
                <w:lang w:val="zh-CN"/>
              </w:rPr>
            </w:pPr>
            <w:r>
              <w:rPr>
                <w:rFonts w:hint="eastAsia"/>
                <w:color w:val="auto"/>
                <w:highlight w:val="none"/>
                <w:lang w:val="zh-CN"/>
              </w:rPr>
              <w:t>国家关于政府采购</w:t>
            </w:r>
          </w:p>
          <w:p w14:paraId="71FDEE2B">
            <w:pPr>
              <w:pStyle w:val="52"/>
              <w:shd w:val="clear"/>
              <w:spacing w:line="480" w:lineRule="exact"/>
              <w:jc w:val="center"/>
              <w:rPr>
                <w:color w:val="auto"/>
                <w:kern w:val="2"/>
                <w:highlight w:val="none"/>
              </w:rPr>
            </w:pPr>
            <w:r>
              <w:rPr>
                <w:rFonts w:hint="eastAsia"/>
                <w:color w:val="auto"/>
                <w:highlight w:val="none"/>
                <w:lang w:val="zh-CN"/>
              </w:rPr>
              <w:t>进口产品的规定</w:t>
            </w:r>
          </w:p>
        </w:tc>
        <w:tc>
          <w:tcPr>
            <w:tcW w:w="6400" w:type="dxa"/>
            <w:vAlign w:val="center"/>
          </w:tcPr>
          <w:p w14:paraId="34600704">
            <w:pPr>
              <w:pStyle w:val="52"/>
              <w:shd w:val="clear"/>
              <w:spacing w:line="480" w:lineRule="exact"/>
              <w:jc w:val="center"/>
              <w:rPr>
                <w:color w:val="auto"/>
                <w:highlight w:val="none"/>
                <w:lang w:val="zh-CN"/>
              </w:rPr>
            </w:pPr>
            <w:r>
              <w:rPr>
                <w:rFonts w:hint="eastAsia"/>
                <w:color w:val="auto"/>
                <w:highlight w:val="none"/>
                <w:lang w:val="zh-CN"/>
              </w:rPr>
              <w:t>招标文件明确规定可以采购进口产品时，仍有满足需求的国</w:t>
            </w:r>
          </w:p>
          <w:p w14:paraId="40A0C1EF">
            <w:pPr>
              <w:pStyle w:val="52"/>
              <w:shd w:val="clear"/>
              <w:spacing w:line="480" w:lineRule="exact"/>
              <w:rPr>
                <w:color w:val="auto"/>
                <w:highlight w:val="none"/>
              </w:rPr>
            </w:pPr>
            <w:r>
              <w:rPr>
                <w:rFonts w:hint="eastAsia"/>
                <w:color w:val="auto"/>
                <w:highlight w:val="none"/>
                <w:lang w:val="zh-CN"/>
              </w:rPr>
              <w:t>内产品要求参与采购竞争的，不得对国内产品加以限制，应当按照公平竞争原则实施采购。招标文件未注明允许进口产品参与投标的，凡投标进口产品的一律投标无效。招标文件中载明“允许采购进口产品”的产品，允许国产产品参与投标竞争。</w:t>
            </w:r>
          </w:p>
        </w:tc>
      </w:tr>
      <w:tr w14:paraId="4AC2C864">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jc w:val="center"/>
        </w:trPr>
        <w:tc>
          <w:tcPr>
            <w:tcW w:w="671" w:type="dxa"/>
            <w:vAlign w:val="center"/>
          </w:tcPr>
          <w:p w14:paraId="7020A770">
            <w:pPr>
              <w:pStyle w:val="52"/>
              <w:shd w:val="clear"/>
              <w:spacing w:line="480" w:lineRule="exact"/>
              <w:ind w:left="9"/>
              <w:jc w:val="center"/>
              <w:rPr>
                <w:color w:val="auto"/>
                <w:kern w:val="2"/>
                <w:szCs w:val="28"/>
                <w:highlight w:val="none"/>
              </w:rPr>
            </w:pPr>
            <w:r>
              <w:rPr>
                <w:rFonts w:hint="eastAsia"/>
                <w:color w:val="auto"/>
                <w:kern w:val="2"/>
                <w:szCs w:val="28"/>
                <w:highlight w:val="none"/>
              </w:rPr>
              <w:t>10</w:t>
            </w:r>
          </w:p>
        </w:tc>
        <w:tc>
          <w:tcPr>
            <w:tcW w:w="2045" w:type="dxa"/>
            <w:vAlign w:val="center"/>
          </w:tcPr>
          <w:p w14:paraId="139BAD4D">
            <w:pPr>
              <w:shd w:val="clear"/>
              <w:spacing w:line="480" w:lineRule="exact"/>
              <w:ind w:left="170" w:leftChars="50" w:right="170" w:rightChars="50"/>
              <w:jc w:val="center"/>
              <w:rPr>
                <w:rFonts w:hAnsi="宋体" w:cs="宋体"/>
                <w:color w:val="auto"/>
                <w:sz w:val="24"/>
                <w:highlight w:val="none"/>
              </w:rPr>
            </w:pPr>
            <w:r>
              <w:rPr>
                <w:rFonts w:hint="eastAsia" w:hAnsi="宋体" w:cs="宋体"/>
                <w:color w:val="auto"/>
                <w:sz w:val="24"/>
                <w:highlight w:val="none"/>
              </w:rPr>
              <w:t>联合体投标</w:t>
            </w:r>
          </w:p>
          <w:p w14:paraId="43FA0B8E">
            <w:pPr>
              <w:shd w:val="clear"/>
              <w:spacing w:line="480" w:lineRule="exact"/>
              <w:ind w:left="170" w:leftChars="50" w:right="170" w:rightChars="50"/>
              <w:jc w:val="center"/>
              <w:rPr>
                <w:rFonts w:hAnsi="宋体" w:cs="宋体"/>
                <w:color w:val="auto"/>
                <w:sz w:val="24"/>
                <w:highlight w:val="none"/>
              </w:rPr>
            </w:pPr>
            <w:r>
              <w:rPr>
                <w:rFonts w:hint="eastAsia" w:hAnsi="宋体" w:cs="宋体"/>
                <w:color w:val="auto"/>
                <w:sz w:val="24"/>
                <w:highlight w:val="none"/>
              </w:rPr>
              <w:t>（实质性要求）</w:t>
            </w:r>
          </w:p>
        </w:tc>
        <w:tc>
          <w:tcPr>
            <w:tcW w:w="6400" w:type="dxa"/>
            <w:vAlign w:val="center"/>
          </w:tcPr>
          <w:p w14:paraId="2302272D">
            <w:pPr>
              <w:pStyle w:val="52"/>
              <w:shd w:val="clear"/>
              <w:spacing w:line="480" w:lineRule="exact"/>
              <w:jc w:val="both"/>
              <w:rPr>
                <w:color w:val="auto"/>
                <w:highlight w:val="none"/>
                <w:lang w:val="zh-CN"/>
              </w:rPr>
            </w:pPr>
            <w:r>
              <w:rPr>
                <w:rFonts w:hint="eastAsia"/>
                <w:color w:val="auto"/>
                <w:highlight w:val="none"/>
                <w:lang w:val="zh-CN"/>
              </w:rPr>
              <w:t>本项目不接受联合体投标。</w:t>
            </w:r>
          </w:p>
        </w:tc>
      </w:tr>
      <w:tr w14:paraId="2BBA977F">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jc w:val="center"/>
        </w:trPr>
        <w:tc>
          <w:tcPr>
            <w:tcW w:w="671" w:type="dxa"/>
            <w:vAlign w:val="center"/>
          </w:tcPr>
          <w:p w14:paraId="6F339663">
            <w:pPr>
              <w:pStyle w:val="52"/>
              <w:shd w:val="clear"/>
              <w:spacing w:line="480" w:lineRule="exact"/>
              <w:ind w:left="9"/>
              <w:jc w:val="center"/>
              <w:rPr>
                <w:color w:val="auto"/>
                <w:kern w:val="2"/>
                <w:szCs w:val="28"/>
                <w:highlight w:val="none"/>
              </w:rPr>
            </w:pPr>
            <w:r>
              <w:rPr>
                <w:rFonts w:hint="eastAsia"/>
                <w:color w:val="auto"/>
                <w:kern w:val="2"/>
                <w:szCs w:val="28"/>
                <w:highlight w:val="none"/>
              </w:rPr>
              <w:t>11</w:t>
            </w:r>
          </w:p>
        </w:tc>
        <w:tc>
          <w:tcPr>
            <w:tcW w:w="2045" w:type="dxa"/>
            <w:vAlign w:val="center"/>
          </w:tcPr>
          <w:p w14:paraId="0F256577">
            <w:pPr>
              <w:shd w:val="clear"/>
              <w:spacing w:line="480" w:lineRule="exact"/>
              <w:ind w:left="170" w:leftChars="50" w:right="170" w:rightChars="50"/>
              <w:jc w:val="center"/>
              <w:rPr>
                <w:rFonts w:hAnsi="宋体" w:cs="宋体"/>
                <w:color w:val="auto"/>
                <w:sz w:val="24"/>
                <w:highlight w:val="none"/>
              </w:rPr>
            </w:pPr>
            <w:r>
              <w:rPr>
                <w:rFonts w:hint="eastAsia" w:hAnsi="宋体" w:cs="宋体"/>
                <w:color w:val="auto"/>
                <w:sz w:val="24"/>
                <w:highlight w:val="none"/>
              </w:rPr>
              <w:t>采购人式</w:t>
            </w:r>
          </w:p>
        </w:tc>
        <w:tc>
          <w:tcPr>
            <w:tcW w:w="6400" w:type="dxa"/>
            <w:vAlign w:val="center"/>
          </w:tcPr>
          <w:p w14:paraId="493BCAC1">
            <w:pPr>
              <w:pStyle w:val="52"/>
              <w:shd w:val="clear"/>
              <w:spacing w:line="480" w:lineRule="exact"/>
              <w:jc w:val="both"/>
              <w:rPr>
                <w:color w:val="auto"/>
                <w:highlight w:val="none"/>
                <w:lang w:val="zh-CN"/>
              </w:rPr>
            </w:pPr>
            <w:r>
              <w:rPr>
                <w:rFonts w:hint="eastAsia"/>
                <w:color w:val="auto"/>
                <w:highlight w:val="none"/>
                <w:lang w:val="zh-CN"/>
              </w:rPr>
              <w:t>公开招标</w:t>
            </w:r>
          </w:p>
        </w:tc>
      </w:tr>
      <w:tr w14:paraId="3503C422">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jc w:val="center"/>
        </w:trPr>
        <w:tc>
          <w:tcPr>
            <w:tcW w:w="671" w:type="dxa"/>
            <w:vAlign w:val="center"/>
          </w:tcPr>
          <w:p w14:paraId="215A8502">
            <w:pPr>
              <w:pStyle w:val="52"/>
              <w:shd w:val="clear"/>
              <w:spacing w:line="480" w:lineRule="exact"/>
              <w:ind w:left="9"/>
              <w:jc w:val="center"/>
              <w:rPr>
                <w:color w:val="auto"/>
                <w:kern w:val="2"/>
                <w:szCs w:val="28"/>
                <w:highlight w:val="none"/>
              </w:rPr>
            </w:pPr>
            <w:r>
              <w:rPr>
                <w:rFonts w:hint="eastAsia"/>
                <w:color w:val="auto"/>
                <w:kern w:val="2"/>
                <w:szCs w:val="28"/>
                <w:highlight w:val="none"/>
              </w:rPr>
              <w:t>12</w:t>
            </w:r>
          </w:p>
        </w:tc>
        <w:tc>
          <w:tcPr>
            <w:tcW w:w="2045" w:type="dxa"/>
            <w:vAlign w:val="center"/>
          </w:tcPr>
          <w:p w14:paraId="4F459E4D">
            <w:pPr>
              <w:shd w:val="clear"/>
              <w:spacing w:line="480" w:lineRule="exact"/>
              <w:ind w:left="170" w:leftChars="50" w:right="170" w:rightChars="50"/>
              <w:jc w:val="center"/>
              <w:rPr>
                <w:rFonts w:hAnsi="宋体" w:cs="宋体"/>
                <w:color w:val="auto"/>
                <w:sz w:val="24"/>
                <w:highlight w:val="none"/>
              </w:rPr>
            </w:pPr>
            <w:r>
              <w:rPr>
                <w:rFonts w:hint="eastAsia" w:hAnsi="宋体" w:cs="宋体"/>
                <w:color w:val="auto"/>
                <w:sz w:val="24"/>
                <w:highlight w:val="none"/>
              </w:rPr>
              <w:t>构成招标文件的</w:t>
            </w:r>
          </w:p>
          <w:p w14:paraId="714A6440">
            <w:pPr>
              <w:shd w:val="clear"/>
              <w:spacing w:line="480" w:lineRule="exact"/>
              <w:ind w:left="170" w:leftChars="50" w:right="170" w:rightChars="50"/>
              <w:jc w:val="center"/>
              <w:rPr>
                <w:rFonts w:hAnsi="宋体" w:cs="宋体"/>
                <w:color w:val="auto"/>
                <w:sz w:val="24"/>
                <w:highlight w:val="none"/>
              </w:rPr>
            </w:pPr>
            <w:r>
              <w:rPr>
                <w:rFonts w:hint="eastAsia" w:hAnsi="宋体" w:cs="宋体"/>
                <w:color w:val="auto"/>
                <w:sz w:val="24"/>
                <w:highlight w:val="none"/>
              </w:rPr>
              <w:t>其他文件</w:t>
            </w:r>
          </w:p>
        </w:tc>
        <w:tc>
          <w:tcPr>
            <w:tcW w:w="6400" w:type="dxa"/>
            <w:vAlign w:val="center"/>
          </w:tcPr>
          <w:p w14:paraId="69D9892F">
            <w:pPr>
              <w:pStyle w:val="52"/>
              <w:shd w:val="clear"/>
              <w:spacing w:line="480" w:lineRule="exact"/>
              <w:jc w:val="both"/>
              <w:rPr>
                <w:color w:val="auto"/>
                <w:highlight w:val="none"/>
                <w:lang w:val="zh-CN"/>
              </w:rPr>
            </w:pPr>
            <w:r>
              <w:rPr>
                <w:rFonts w:hint="eastAsia"/>
                <w:color w:val="auto"/>
                <w:highlight w:val="none"/>
                <w:lang w:val="zh-CN"/>
              </w:rPr>
              <w:t>招标文件的澄清、修改书及有关补充通知为招标文件的有效组成部分。</w:t>
            </w:r>
          </w:p>
        </w:tc>
      </w:tr>
      <w:tr w14:paraId="5D6F8854">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jc w:val="center"/>
        </w:trPr>
        <w:tc>
          <w:tcPr>
            <w:tcW w:w="671" w:type="dxa"/>
            <w:vAlign w:val="center"/>
          </w:tcPr>
          <w:p w14:paraId="0712E469">
            <w:pPr>
              <w:pStyle w:val="52"/>
              <w:shd w:val="clear"/>
              <w:spacing w:line="480" w:lineRule="exact"/>
              <w:ind w:left="9"/>
              <w:jc w:val="center"/>
              <w:rPr>
                <w:color w:val="auto"/>
                <w:kern w:val="2"/>
                <w:szCs w:val="28"/>
                <w:highlight w:val="none"/>
              </w:rPr>
            </w:pPr>
            <w:r>
              <w:rPr>
                <w:rFonts w:hint="eastAsia"/>
                <w:color w:val="auto"/>
                <w:kern w:val="2"/>
                <w:szCs w:val="28"/>
                <w:highlight w:val="none"/>
              </w:rPr>
              <w:t>13</w:t>
            </w:r>
          </w:p>
        </w:tc>
        <w:tc>
          <w:tcPr>
            <w:tcW w:w="2045" w:type="dxa"/>
            <w:vAlign w:val="center"/>
          </w:tcPr>
          <w:p w14:paraId="2ED835D9">
            <w:pPr>
              <w:shd w:val="clear"/>
              <w:spacing w:line="480" w:lineRule="exact"/>
              <w:ind w:left="170" w:leftChars="50" w:right="170" w:rightChars="50"/>
              <w:jc w:val="center"/>
              <w:rPr>
                <w:rFonts w:hAnsi="宋体" w:cs="宋体"/>
                <w:color w:val="auto"/>
                <w:sz w:val="24"/>
                <w:highlight w:val="none"/>
              </w:rPr>
            </w:pPr>
            <w:r>
              <w:rPr>
                <w:rFonts w:hint="eastAsia" w:hAnsi="宋体" w:cs="宋体"/>
                <w:color w:val="auto"/>
                <w:sz w:val="24"/>
                <w:highlight w:val="none"/>
              </w:rPr>
              <w:t>考察现场标前答疑会</w:t>
            </w:r>
          </w:p>
        </w:tc>
        <w:tc>
          <w:tcPr>
            <w:tcW w:w="6400" w:type="dxa"/>
            <w:vAlign w:val="center"/>
          </w:tcPr>
          <w:p w14:paraId="1117AC22">
            <w:pPr>
              <w:pStyle w:val="52"/>
              <w:shd w:val="clear"/>
              <w:spacing w:line="480" w:lineRule="exact"/>
              <w:jc w:val="both"/>
              <w:rPr>
                <w:color w:val="auto"/>
                <w:highlight w:val="none"/>
                <w:lang w:val="zh-CN"/>
              </w:rPr>
            </w:pPr>
            <w:r>
              <w:rPr>
                <w:rFonts w:hint="eastAsia"/>
                <w:color w:val="auto"/>
                <w:highlight w:val="none"/>
                <w:lang w:val="zh-CN"/>
              </w:rPr>
              <w:t>无。</w:t>
            </w:r>
          </w:p>
        </w:tc>
      </w:tr>
      <w:tr w14:paraId="1B52FA41">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jc w:val="center"/>
        </w:trPr>
        <w:tc>
          <w:tcPr>
            <w:tcW w:w="671" w:type="dxa"/>
            <w:vAlign w:val="center"/>
          </w:tcPr>
          <w:p w14:paraId="200F328B">
            <w:pPr>
              <w:pStyle w:val="52"/>
              <w:shd w:val="clear"/>
              <w:spacing w:line="480" w:lineRule="exact"/>
              <w:ind w:left="9"/>
              <w:jc w:val="center"/>
              <w:rPr>
                <w:color w:val="auto"/>
                <w:kern w:val="2"/>
                <w:szCs w:val="28"/>
                <w:highlight w:val="none"/>
              </w:rPr>
            </w:pPr>
            <w:r>
              <w:rPr>
                <w:rFonts w:hint="eastAsia"/>
                <w:color w:val="auto"/>
                <w:kern w:val="2"/>
                <w:szCs w:val="28"/>
                <w:highlight w:val="none"/>
              </w:rPr>
              <w:t>14</w:t>
            </w:r>
          </w:p>
        </w:tc>
        <w:tc>
          <w:tcPr>
            <w:tcW w:w="2045" w:type="dxa"/>
            <w:vAlign w:val="center"/>
          </w:tcPr>
          <w:p w14:paraId="43A7C37C">
            <w:pPr>
              <w:pStyle w:val="52"/>
              <w:shd w:val="clear"/>
              <w:spacing w:line="480" w:lineRule="exact"/>
              <w:ind w:left="96"/>
              <w:jc w:val="center"/>
              <w:rPr>
                <w:color w:val="auto"/>
                <w:highlight w:val="none"/>
                <w:lang w:val="zh-CN"/>
              </w:rPr>
            </w:pPr>
            <w:r>
              <w:rPr>
                <w:rFonts w:hint="eastAsia"/>
                <w:color w:val="auto"/>
                <w:highlight w:val="none"/>
                <w:lang w:val="zh-CN"/>
              </w:rPr>
              <w:t>投标保证金</w:t>
            </w:r>
          </w:p>
        </w:tc>
        <w:tc>
          <w:tcPr>
            <w:tcW w:w="6400" w:type="dxa"/>
          </w:tcPr>
          <w:p w14:paraId="3956D785">
            <w:pPr>
              <w:pStyle w:val="10"/>
              <w:shd w:val="clear"/>
              <w:spacing w:line="480" w:lineRule="exact"/>
              <w:rPr>
                <w:rFonts w:hAnsi="宋体" w:cs="宋体"/>
                <w:color w:val="auto"/>
                <w:highlight w:val="none"/>
                <w:lang w:val="zh-CN"/>
              </w:rPr>
            </w:pPr>
            <w:r>
              <w:rPr>
                <w:rFonts w:hint="eastAsia" w:hAnsi="宋体" w:cs="宋体"/>
                <w:color w:val="auto"/>
                <w:sz w:val="24"/>
                <w:szCs w:val="24"/>
                <w:highlight w:val="none"/>
              </w:rPr>
              <w:t>根据《四川省财政厅关于进一步做好疫情防控期间政府采购工作有关事项的通知》（川财采[2020]28号）文件要求，本项目不收取投标保证金。</w:t>
            </w:r>
          </w:p>
        </w:tc>
      </w:tr>
      <w:tr w14:paraId="13AD2FF7">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jc w:val="center"/>
        </w:trPr>
        <w:tc>
          <w:tcPr>
            <w:tcW w:w="671" w:type="dxa"/>
            <w:vAlign w:val="center"/>
          </w:tcPr>
          <w:p w14:paraId="02649D12">
            <w:pPr>
              <w:pStyle w:val="52"/>
              <w:shd w:val="clear"/>
              <w:spacing w:line="480" w:lineRule="exact"/>
              <w:ind w:left="9"/>
              <w:jc w:val="center"/>
              <w:rPr>
                <w:color w:val="auto"/>
                <w:kern w:val="2"/>
                <w:szCs w:val="28"/>
                <w:highlight w:val="none"/>
              </w:rPr>
            </w:pPr>
            <w:r>
              <w:rPr>
                <w:rFonts w:hint="eastAsia"/>
                <w:color w:val="auto"/>
                <w:kern w:val="2"/>
                <w:szCs w:val="28"/>
                <w:highlight w:val="none"/>
              </w:rPr>
              <w:t>15</w:t>
            </w:r>
          </w:p>
        </w:tc>
        <w:tc>
          <w:tcPr>
            <w:tcW w:w="2045" w:type="dxa"/>
            <w:vAlign w:val="center"/>
          </w:tcPr>
          <w:p w14:paraId="01A441E1">
            <w:pPr>
              <w:pStyle w:val="52"/>
              <w:shd w:val="clear"/>
              <w:spacing w:line="480" w:lineRule="exact"/>
              <w:ind w:left="96"/>
              <w:jc w:val="center"/>
              <w:rPr>
                <w:color w:val="auto"/>
                <w:highlight w:val="none"/>
                <w:lang w:val="zh-CN"/>
              </w:rPr>
            </w:pPr>
            <w:r>
              <w:rPr>
                <w:rFonts w:hint="eastAsia"/>
                <w:color w:val="auto"/>
                <w:highlight w:val="none"/>
                <w:lang w:val="zh-CN"/>
              </w:rPr>
              <w:t>投标有效期</w:t>
            </w:r>
          </w:p>
          <w:p w14:paraId="737FAA9E">
            <w:pPr>
              <w:pStyle w:val="52"/>
              <w:shd w:val="clear"/>
              <w:spacing w:line="480" w:lineRule="exact"/>
              <w:ind w:left="96"/>
              <w:jc w:val="center"/>
              <w:rPr>
                <w:color w:val="auto"/>
                <w:highlight w:val="none"/>
                <w:lang w:val="zh-CN"/>
              </w:rPr>
            </w:pPr>
            <w:r>
              <w:rPr>
                <w:rFonts w:hint="eastAsia"/>
                <w:color w:val="auto"/>
                <w:highlight w:val="none"/>
                <w:lang w:val="zh-CN"/>
              </w:rPr>
              <w:t>（实质性要求）</w:t>
            </w:r>
          </w:p>
        </w:tc>
        <w:tc>
          <w:tcPr>
            <w:tcW w:w="6400" w:type="dxa"/>
            <w:vAlign w:val="center"/>
          </w:tcPr>
          <w:p w14:paraId="693D4783">
            <w:pPr>
              <w:pStyle w:val="52"/>
              <w:shd w:val="clear"/>
              <w:spacing w:line="480" w:lineRule="exact"/>
              <w:jc w:val="both"/>
              <w:rPr>
                <w:color w:val="auto"/>
                <w:highlight w:val="none"/>
                <w:lang w:val="zh-CN"/>
              </w:rPr>
            </w:pPr>
            <w:r>
              <w:rPr>
                <w:rFonts w:hint="eastAsia"/>
                <w:color w:val="auto"/>
                <w:highlight w:val="none"/>
                <w:lang w:val="zh-CN"/>
              </w:rPr>
              <w:t>从提交投标文件的截止之日起90天。</w:t>
            </w:r>
          </w:p>
        </w:tc>
      </w:tr>
      <w:tr w14:paraId="128E6C22">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jc w:val="center"/>
        </w:trPr>
        <w:tc>
          <w:tcPr>
            <w:tcW w:w="671" w:type="dxa"/>
            <w:vAlign w:val="center"/>
          </w:tcPr>
          <w:p w14:paraId="440877A9">
            <w:pPr>
              <w:pStyle w:val="52"/>
              <w:shd w:val="clear"/>
              <w:spacing w:line="480" w:lineRule="exact"/>
              <w:ind w:left="9"/>
              <w:jc w:val="center"/>
              <w:rPr>
                <w:color w:val="auto"/>
                <w:kern w:val="2"/>
                <w:szCs w:val="28"/>
                <w:highlight w:val="none"/>
              </w:rPr>
            </w:pPr>
            <w:r>
              <w:rPr>
                <w:rFonts w:hint="eastAsia"/>
                <w:color w:val="auto"/>
                <w:kern w:val="2"/>
                <w:szCs w:val="28"/>
                <w:highlight w:val="none"/>
              </w:rPr>
              <w:t>16</w:t>
            </w:r>
          </w:p>
        </w:tc>
        <w:tc>
          <w:tcPr>
            <w:tcW w:w="2045" w:type="dxa"/>
            <w:vAlign w:val="center"/>
          </w:tcPr>
          <w:p w14:paraId="54527F70">
            <w:pPr>
              <w:pStyle w:val="52"/>
              <w:shd w:val="clear"/>
              <w:spacing w:line="480" w:lineRule="exact"/>
              <w:ind w:left="96"/>
              <w:jc w:val="center"/>
              <w:rPr>
                <w:color w:val="auto"/>
                <w:highlight w:val="none"/>
                <w:lang w:val="zh-CN"/>
              </w:rPr>
            </w:pPr>
            <w:r>
              <w:rPr>
                <w:rFonts w:hint="eastAsia"/>
                <w:color w:val="auto"/>
                <w:highlight w:val="none"/>
                <w:lang w:val="zh-CN"/>
              </w:rPr>
              <w:t>备选投标方案和报</w:t>
            </w:r>
          </w:p>
          <w:p w14:paraId="34A56E5A">
            <w:pPr>
              <w:pStyle w:val="52"/>
              <w:shd w:val="clear"/>
              <w:spacing w:line="480" w:lineRule="exact"/>
              <w:ind w:left="96"/>
              <w:jc w:val="center"/>
              <w:rPr>
                <w:color w:val="auto"/>
                <w:highlight w:val="none"/>
                <w:lang w:val="zh-CN"/>
              </w:rPr>
            </w:pPr>
            <w:r>
              <w:rPr>
                <w:rFonts w:hint="eastAsia"/>
                <w:color w:val="auto"/>
                <w:highlight w:val="none"/>
                <w:lang w:val="zh-CN"/>
              </w:rPr>
              <w:t>价（实质性要求）</w:t>
            </w:r>
          </w:p>
        </w:tc>
        <w:tc>
          <w:tcPr>
            <w:tcW w:w="6400" w:type="dxa"/>
            <w:vAlign w:val="center"/>
          </w:tcPr>
          <w:p w14:paraId="5A910286">
            <w:pPr>
              <w:pStyle w:val="52"/>
              <w:shd w:val="clear"/>
              <w:spacing w:line="480" w:lineRule="exact"/>
              <w:jc w:val="both"/>
              <w:rPr>
                <w:color w:val="auto"/>
                <w:highlight w:val="none"/>
                <w:lang w:val="zh-CN"/>
              </w:rPr>
            </w:pPr>
            <w:r>
              <w:rPr>
                <w:rFonts w:hint="eastAsia"/>
                <w:color w:val="auto"/>
                <w:highlight w:val="none"/>
                <w:lang w:val="zh-CN"/>
              </w:rPr>
              <w:t>不接受备选投标方案和多个报价。</w:t>
            </w:r>
          </w:p>
        </w:tc>
      </w:tr>
      <w:tr w14:paraId="2C1C332E">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jc w:val="center"/>
        </w:trPr>
        <w:tc>
          <w:tcPr>
            <w:tcW w:w="671" w:type="dxa"/>
            <w:vAlign w:val="center"/>
          </w:tcPr>
          <w:p w14:paraId="19F185ED">
            <w:pPr>
              <w:pStyle w:val="52"/>
              <w:shd w:val="clear"/>
              <w:spacing w:line="480" w:lineRule="exact"/>
              <w:ind w:left="9"/>
              <w:jc w:val="center"/>
              <w:rPr>
                <w:color w:val="auto"/>
                <w:kern w:val="2"/>
                <w:szCs w:val="28"/>
                <w:highlight w:val="none"/>
              </w:rPr>
            </w:pPr>
            <w:r>
              <w:rPr>
                <w:rFonts w:hint="eastAsia"/>
                <w:color w:val="auto"/>
                <w:kern w:val="2"/>
                <w:szCs w:val="28"/>
                <w:highlight w:val="none"/>
              </w:rPr>
              <w:t>17</w:t>
            </w:r>
          </w:p>
        </w:tc>
        <w:tc>
          <w:tcPr>
            <w:tcW w:w="2045" w:type="dxa"/>
            <w:vAlign w:val="center"/>
          </w:tcPr>
          <w:p w14:paraId="13CD10FB">
            <w:pPr>
              <w:pStyle w:val="52"/>
              <w:shd w:val="clear"/>
              <w:spacing w:line="480" w:lineRule="exact"/>
              <w:ind w:left="96"/>
              <w:jc w:val="center"/>
              <w:rPr>
                <w:color w:val="auto"/>
                <w:highlight w:val="none"/>
                <w:lang w:val="zh-CN"/>
              </w:rPr>
            </w:pPr>
            <w:r>
              <w:rPr>
                <w:rFonts w:hint="eastAsia"/>
                <w:color w:val="auto"/>
                <w:highlight w:val="none"/>
                <w:lang w:val="zh-CN"/>
              </w:rPr>
              <w:t>投标文件装订方式</w:t>
            </w:r>
          </w:p>
        </w:tc>
        <w:tc>
          <w:tcPr>
            <w:tcW w:w="6400" w:type="dxa"/>
            <w:vAlign w:val="center"/>
          </w:tcPr>
          <w:p w14:paraId="6D4BCD0E">
            <w:pPr>
              <w:pStyle w:val="52"/>
              <w:shd w:val="clear"/>
              <w:spacing w:line="480" w:lineRule="exact"/>
              <w:ind w:left="96"/>
              <w:rPr>
                <w:color w:val="auto"/>
                <w:highlight w:val="none"/>
                <w:lang w:val="zh-CN"/>
              </w:rPr>
            </w:pPr>
            <w:r>
              <w:rPr>
                <w:rFonts w:hint="eastAsia"/>
                <w:color w:val="auto"/>
                <w:highlight w:val="none"/>
                <w:lang w:val="zh-CN"/>
              </w:rPr>
              <w:t>左侧胶装方式装订成册(单独密封提交的开标一览表及电子文档除外)。</w:t>
            </w:r>
          </w:p>
        </w:tc>
      </w:tr>
      <w:tr w14:paraId="0D2E0275">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jc w:val="center"/>
        </w:trPr>
        <w:tc>
          <w:tcPr>
            <w:tcW w:w="671" w:type="dxa"/>
            <w:vAlign w:val="center"/>
          </w:tcPr>
          <w:p w14:paraId="7CF418FC">
            <w:pPr>
              <w:pStyle w:val="52"/>
              <w:shd w:val="clear"/>
              <w:spacing w:line="480" w:lineRule="exact"/>
              <w:ind w:left="9"/>
              <w:jc w:val="center"/>
              <w:rPr>
                <w:color w:val="auto"/>
                <w:kern w:val="2"/>
                <w:szCs w:val="28"/>
                <w:highlight w:val="none"/>
              </w:rPr>
            </w:pPr>
            <w:r>
              <w:rPr>
                <w:rFonts w:hint="eastAsia"/>
                <w:color w:val="auto"/>
                <w:kern w:val="2"/>
                <w:szCs w:val="28"/>
                <w:highlight w:val="none"/>
              </w:rPr>
              <w:t>18</w:t>
            </w:r>
          </w:p>
        </w:tc>
        <w:tc>
          <w:tcPr>
            <w:tcW w:w="2045" w:type="dxa"/>
            <w:vAlign w:val="center"/>
          </w:tcPr>
          <w:p w14:paraId="151EBB64">
            <w:pPr>
              <w:pStyle w:val="52"/>
              <w:shd w:val="clear"/>
              <w:spacing w:line="480" w:lineRule="exact"/>
              <w:ind w:left="96"/>
              <w:jc w:val="center"/>
              <w:rPr>
                <w:color w:val="auto"/>
                <w:highlight w:val="none"/>
              </w:rPr>
            </w:pPr>
            <w:r>
              <w:rPr>
                <w:rFonts w:hint="eastAsia"/>
                <w:color w:val="auto"/>
                <w:highlight w:val="none"/>
              </w:rPr>
              <w:t>投标文件份数</w:t>
            </w:r>
          </w:p>
          <w:p w14:paraId="1964D1BC">
            <w:pPr>
              <w:pStyle w:val="52"/>
              <w:shd w:val="clear"/>
              <w:spacing w:line="480" w:lineRule="exact"/>
              <w:ind w:left="96"/>
              <w:jc w:val="center"/>
              <w:rPr>
                <w:color w:val="auto"/>
                <w:highlight w:val="none"/>
                <w:lang w:val="zh-CN"/>
              </w:rPr>
            </w:pPr>
            <w:r>
              <w:rPr>
                <w:rFonts w:hint="eastAsia"/>
                <w:color w:val="auto"/>
                <w:highlight w:val="none"/>
              </w:rPr>
              <w:t>（实质性要求）</w:t>
            </w:r>
          </w:p>
        </w:tc>
        <w:tc>
          <w:tcPr>
            <w:tcW w:w="6400" w:type="dxa"/>
            <w:vAlign w:val="center"/>
          </w:tcPr>
          <w:p w14:paraId="20F21A57">
            <w:pPr>
              <w:pStyle w:val="52"/>
              <w:shd w:val="clear"/>
              <w:spacing w:line="480" w:lineRule="exact"/>
              <w:ind w:left="96"/>
              <w:rPr>
                <w:color w:val="auto"/>
                <w:highlight w:val="none"/>
              </w:rPr>
            </w:pPr>
            <w:r>
              <w:rPr>
                <w:rFonts w:hint="eastAsia"/>
                <w:color w:val="auto"/>
                <w:highlight w:val="none"/>
              </w:rPr>
              <w:t>资格性投标文件正本1份，副本2份。</w:t>
            </w:r>
          </w:p>
          <w:p w14:paraId="03560DD6">
            <w:pPr>
              <w:pStyle w:val="52"/>
              <w:shd w:val="clear"/>
              <w:spacing w:line="480" w:lineRule="exact"/>
              <w:ind w:left="96"/>
              <w:rPr>
                <w:color w:val="auto"/>
                <w:highlight w:val="none"/>
              </w:rPr>
            </w:pPr>
            <w:r>
              <w:rPr>
                <w:rFonts w:hint="eastAsia"/>
                <w:color w:val="auto"/>
                <w:highlight w:val="none"/>
              </w:rPr>
              <w:t>其他投标文件正本1份，副本4份。</w:t>
            </w:r>
          </w:p>
          <w:p w14:paraId="519BADE9">
            <w:pPr>
              <w:pStyle w:val="52"/>
              <w:shd w:val="clear"/>
              <w:spacing w:line="480" w:lineRule="exact"/>
              <w:ind w:left="96"/>
              <w:rPr>
                <w:color w:val="auto"/>
                <w:highlight w:val="none"/>
              </w:rPr>
            </w:pPr>
            <w:r>
              <w:rPr>
                <w:rFonts w:hint="eastAsia"/>
                <w:color w:val="auto"/>
                <w:highlight w:val="none"/>
              </w:rPr>
              <w:t>用于唱标的开标一览表一式2份。</w:t>
            </w:r>
          </w:p>
          <w:p w14:paraId="46282BDB">
            <w:pPr>
              <w:pStyle w:val="52"/>
              <w:shd w:val="clear"/>
              <w:spacing w:line="480" w:lineRule="exact"/>
              <w:ind w:left="96"/>
              <w:rPr>
                <w:color w:val="auto"/>
                <w:highlight w:val="none"/>
              </w:rPr>
            </w:pPr>
            <w:r>
              <w:rPr>
                <w:rFonts w:hint="eastAsia"/>
                <w:color w:val="auto"/>
                <w:highlight w:val="none"/>
              </w:rPr>
              <w:t>电子文档1份（电子文档为正本加盖公章后的PDF扫描件）。</w:t>
            </w:r>
          </w:p>
        </w:tc>
      </w:tr>
      <w:tr w14:paraId="293E7FC9">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jc w:val="center"/>
        </w:trPr>
        <w:tc>
          <w:tcPr>
            <w:tcW w:w="671" w:type="dxa"/>
            <w:vAlign w:val="center"/>
          </w:tcPr>
          <w:p w14:paraId="4DCFCDBB">
            <w:pPr>
              <w:pStyle w:val="52"/>
              <w:shd w:val="clear"/>
              <w:spacing w:line="480" w:lineRule="exact"/>
              <w:ind w:left="9"/>
              <w:jc w:val="center"/>
              <w:rPr>
                <w:color w:val="auto"/>
                <w:kern w:val="2"/>
                <w:szCs w:val="28"/>
                <w:highlight w:val="none"/>
              </w:rPr>
            </w:pPr>
            <w:r>
              <w:rPr>
                <w:rFonts w:hint="eastAsia"/>
                <w:color w:val="auto"/>
                <w:kern w:val="2"/>
                <w:szCs w:val="28"/>
                <w:highlight w:val="none"/>
              </w:rPr>
              <w:t>19</w:t>
            </w:r>
          </w:p>
        </w:tc>
        <w:tc>
          <w:tcPr>
            <w:tcW w:w="2045" w:type="dxa"/>
            <w:vAlign w:val="center"/>
          </w:tcPr>
          <w:p w14:paraId="675A1652">
            <w:pPr>
              <w:pStyle w:val="52"/>
              <w:shd w:val="clear"/>
              <w:spacing w:line="480" w:lineRule="exact"/>
              <w:jc w:val="center"/>
              <w:rPr>
                <w:color w:val="auto"/>
                <w:highlight w:val="none"/>
                <w:lang w:val="zh-CN"/>
              </w:rPr>
            </w:pPr>
            <w:r>
              <w:rPr>
                <w:rFonts w:hint="eastAsia"/>
                <w:color w:val="auto"/>
                <w:kern w:val="2"/>
                <w:highlight w:val="none"/>
              </w:rPr>
              <w:t>投标人询问</w:t>
            </w:r>
          </w:p>
        </w:tc>
        <w:tc>
          <w:tcPr>
            <w:tcW w:w="6400" w:type="dxa"/>
          </w:tcPr>
          <w:p w14:paraId="3742B201">
            <w:pPr>
              <w:pStyle w:val="52"/>
              <w:shd w:val="clear"/>
              <w:spacing w:line="480" w:lineRule="exact"/>
              <w:jc w:val="both"/>
              <w:rPr>
                <w:color w:val="auto"/>
                <w:highlight w:val="none"/>
                <w:lang w:val="zh-CN"/>
              </w:rPr>
            </w:pPr>
            <w:r>
              <w:rPr>
                <w:rFonts w:hint="eastAsia"/>
                <w:color w:val="auto"/>
                <w:highlight w:val="none"/>
                <w:lang w:val="zh-CN"/>
              </w:rPr>
              <w:t>根据委托代理协议约定，投标人询问由四川标源招标代理有限公司负责答复。</w:t>
            </w:r>
          </w:p>
          <w:p w14:paraId="7ECBD1C1">
            <w:pPr>
              <w:pStyle w:val="52"/>
              <w:shd w:val="clear"/>
              <w:spacing w:line="480" w:lineRule="exact"/>
              <w:jc w:val="both"/>
              <w:rPr>
                <w:color w:val="auto"/>
                <w:highlight w:val="none"/>
                <w:lang w:val="zh-CN"/>
              </w:rPr>
            </w:pPr>
            <w:r>
              <w:rPr>
                <w:rFonts w:hint="eastAsia"/>
                <w:color w:val="auto"/>
                <w:highlight w:val="none"/>
                <w:lang w:val="zh-CN"/>
              </w:rPr>
              <w:t>联系人：谢</w:t>
            </w:r>
            <w:r>
              <w:rPr>
                <w:rFonts w:hint="eastAsia"/>
                <w:color w:val="auto"/>
                <w:highlight w:val="none"/>
              </w:rPr>
              <w:t>女士</w:t>
            </w:r>
            <w:r>
              <w:rPr>
                <w:rFonts w:hint="eastAsia"/>
                <w:color w:val="auto"/>
                <w:highlight w:val="none"/>
                <w:lang w:val="zh-CN"/>
              </w:rPr>
              <w:t>。</w:t>
            </w:r>
          </w:p>
          <w:p w14:paraId="0EB98647">
            <w:pPr>
              <w:pStyle w:val="52"/>
              <w:shd w:val="clear"/>
              <w:spacing w:line="480" w:lineRule="exact"/>
              <w:jc w:val="both"/>
              <w:rPr>
                <w:color w:val="auto"/>
                <w:highlight w:val="none"/>
                <w:lang w:val="zh-CN"/>
              </w:rPr>
            </w:pPr>
            <w:r>
              <w:rPr>
                <w:rFonts w:hint="eastAsia"/>
                <w:color w:val="auto"/>
                <w:highlight w:val="none"/>
                <w:lang w:val="zh-CN"/>
              </w:rPr>
              <w:t>联系电话：</w:t>
            </w:r>
            <w:r>
              <w:rPr>
                <w:rFonts w:hint="eastAsia"/>
                <w:color w:val="auto"/>
                <w:szCs w:val="22"/>
                <w:highlight w:val="none"/>
              </w:rPr>
              <w:t>0816-2390739</w:t>
            </w:r>
            <w:r>
              <w:rPr>
                <w:rFonts w:hint="eastAsia"/>
                <w:color w:val="auto"/>
                <w:highlight w:val="none"/>
                <w:lang w:val="zh-CN"/>
              </w:rPr>
              <w:t>。</w:t>
            </w:r>
          </w:p>
          <w:p w14:paraId="5182B376">
            <w:pPr>
              <w:pStyle w:val="52"/>
              <w:shd w:val="clear"/>
              <w:spacing w:line="480" w:lineRule="exact"/>
              <w:jc w:val="both"/>
              <w:rPr>
                <w:color w:val="auto"/>
                <w:highlight w:val="none"/>
                <w:lang w:val="zh-CN"/>
              </w:rPr>
            </w:pPr>
            <w:r>
              <w:rPr>
                <w:rFonts w:hint="eastAsia"/>
                <w:color w:val="auto"/>
                <w:highlight w:val="none"/>
                <w:lang w:val="zh-CN"/>
              </w:rPr>
              <w:t>地址：</w:t>
            </w:r>
            <w:r>
              <w:rPr>
                <w:rFonts w:hint="eastAsia"/>
                <w:color w:val="auto"/>
                <w:highlight w:val="none"/>
              </w:rPr>
              <w:t>四川省绵阳市经开区富临桃花岛假日公寓2单元7楼</w:t>
            </w:r>
            <w:r>
              <w:rPr>
                <w:rFonts w:hint="eastAsia"/>
                <w:color w:val="auto"/>
                <w:highlight w:val="none"/>
                <w:lang w:val="zh-CN"/>
              </w:rPr>
              <w:t>。</w:t>
            </w:r>
          </w:p>
        </w:tc>
      </w:tr>
      <w:tr w14:paraId="793B7F6B">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jc w:val="center"/>
        </w:trPr>
        <w:tc>
          <w:tcPr>
            <w:tcW w:w="671" w:type="dxa"/>
            <w:vAlign w:val="center"/>
          </w:tcPr>
          <w:p w14:paraId="7CF07A57">
            <w:pPr>
              <w:pStyle w:val="52"/>
              <w:shd w:val="clear"/>
              <w:spacing w:line="480" w:lineRule="exact"/>
              <w:ind w:left="9"/>
              <w:jc w:val="center"/>
              <w:rPr>
                <w:color w:val="auto"/>
                <w:kern w:val="2"/>
                <w:szCs w:val="28"/>
                <w:highlight w:val="none"/>
              </w:rPr>
            </w:pPr>
            <w:r>
              <w:rPr>
                <w:rFonts w:hint="eastAsia"/>
                <w:color w:val="auto"/>
                <w:kern w:val="2"/>
                <w:szCs w:val="28"/>
                <w:highlight w:val="none"/>
              </w:rPr>
              <w:t>20</w:t>
            </w:r>
          </w:p>
        </w:tc>
        <w:tc>
          <w:tcPr>
            <w:tcW w:w="2045" w:type="dxa"/>
            <w:vAlign w:val="center"/>
          </w:tcPr>
          <w:p w14:paraId="0AE1C9FC">
            <w:pPr>
              <w:pStyle w:val="52"/>
              <w:shd w:val="clear"/>
              <w:spacing w:line="480" w:lineRule="exact"/>
              <w:ind w:left="96"/>
              <w:jc w:val="center"/>
              <w:rPr>
                <w:color w:val="auto"/>
                <w:highlight w:val="none"/>
                <w:lang w:val="zh-CN"/>
              </w:rPr>
            </w:pPr>
            <w:r>
              <w:rPr>
                <w:rFonts w:hint="eastAsia"/>
                <w:color w:val="auto"/>
                <w:kern w:val="2"/>
                <w:highlight w:val="none"/>
              </w:rPr>
              <w:t>投标人</w:t>
            </w:r>
            <w:r>
              <w:rPr>
                <w:rFonts w:hint="eastAsia"/>
                <w:color w:val="auto"/>
                <w:highlight w:val="none"/>
                <w:lang w:val="zh-CN"/>
              </w:rPr>
              <w:t>质疑</w:t>
            </w:r>
          </w:p>
        </w:tc>
        <w:tc>
          <w:tcPr>
            <w:tcW w:w="6400" w:type="dxa"/>
            <w:vAlign w:val="center"/>
          </w:tcPr>
          <w:p w14:paraId="1F1756AD">
            <w:pPr>
              <w:pStyle w:val="52"/>
              <w:shd w:val="clear"/>
              <w:spacing w:line="480" w:lineRule="exact"/>
              <w:rPr>
                <w:color w:val="auto"/>
                <w:highlight w:val="none"/>
                <w:lang w:val="zh-CN"/>
              </w:rPr>
            </w:pPr>
            <w:r>
              <w:rPr>
                <w:rFonts w:hint="eastAsia"/>
                <w:color w:val="auto"/>
                <w:highlight w:val="none"/>
                <w:lang w:val="zh-CN"/>
              </w:rPr>
              <w:t>1.对招标文件技术参数、评分办法的质疑：</w:t>
            </w:r>
          </w:p>
          <w:p w14:paraId="6AE3816E">
            <w:pPr>
              <w:pStyle w:val="52"/>
              <w:shd w:val="clear"/>
              <w:spacing w:line="480" w:lineRule="exact"/>
              <w:rPr>
                <w:color w:val="auto"/>
                <w:highlight w:val="none"/>
                <w:lang w:val="zh-CN"/>
              </w:rPr>
            </w:pPr>
            <w:r>
              <w:rPr>
                <w:rFonts w:hint="eastAsia"/>
                <w:color w:val="auto"/>
                <w:highlight w:val="none"/>
                <w:lang w:val="zh-CN"/>
              </w:rPr>
              <w:t>向采购人提出，并由采购人按相关规定作出答复。</w:t>
            </w:r>
          </w:p>
          <w:p w14:paraId="1F535337">
            <w:pPr>
              <w:pStyle w:val="52"/>
              <w:shd w:val="clear"/>
              <w:spacing w:line="480" w:lineRule="exact"/>
              <w:rPr>
                <w:color w:val="auto"/>
                <w:highlight w:val="none"/>
                <w:lang w:val="zh-CN"/>
              </w:rPr>
            </w:pPr>
            <w:r>
              <w:rPr>
                <w:rFonts w:hint="eastAsia"/>
                <w:color w:val="auto"/>
                <w:highlight w:val="none"/>
                <w:lang w:val="zh-CN"/>
              </w:rPr>
              <w:t>质疑时间：购买招标文件之日起七个工作日内。</w:t>
            </w:r>
          </w:p>
          <w:p w14:paraId="7193F8BD">
            <w:pPr>
              <w:pStyle w:val="52"/>
              <w:shd w:val="clear"/>
              <w:spacing w:line="480" w:lineRule="exact"/>
              <w:rPr>
                <w:color w:val="auto"/>
                <w:highlight w:val="none"/>
                <w:lang w:val="zh-CN"/>
              </w:rPr>
            </w:pPr>
            <w:r>
              <w:rPr>
                <w:rFonts w:hint="eastAsia"/>
                <w:color w:val="auto"/>
                <w:highlight w:val="none"/>
                <w:lang w:val="zh-CN"/>
              </w:rPr>
              <w:t>联系人、联系电话、联系地址：详见第1章投标邀请中的采购人联系方式。</w:t>
            </w:r>
          </w:p>
          <w:p w14:paraId="5394085D">
            <w:pPr>
              <w:pStyle w:val="52"/>
              <w:shd w:val="clear"/>
              <w:spacing w:line="480" w:lineRule="exact"/>
              <w:rPr>
                <w:color w:val="auto"/>
                <w:highlight w:val="none"/>
                <w:lang w:val="zh-CN"/>
              </w:rPr>
            </w:pPr>
            <w:r>
              <w:rPr>
                <w:rFonts w:hint="eastAsia"/>
                <w:color w:val="auto"/>
                <w:highlight w:val="none"/>
                <w:lang w:val="zh-CN"/>
              </w:rPr>
              <w:t>2.对采购过程和采购结果的质疑：</w:t>
            </w:r>
          </w:p>
          <w:p w14:paraId="539A6481">
            <w:pPr>
              <w:pStyle w:val="52"/>
              <w:shd w:val="clear"/>
              <w:spacing w:line="480" w:lineRule="exact"/>
              <w:rPr>
                <w:color w:val="auto"/>
                <w:highlight w:val="none"/>
                <w:lang w:val="zh-CN"/>
              </w:rPr>
            </w:pPr>
            <w:r>
              <w:rPr>
                <w:rFonts w:hint="eastAsia"/>
                <w:color w:val="auto"/>
                <w:highlight w:val="none"/>
                <w:lang w:val="zh-CN"/>
              </w:rPr>
              <w:t>（</w:t>
            </w:r>
            <w:r>
              <w:rPr>
                <w:rFonts w:hint="eastAsia"/>
                <w:color w:val="auto"/>
                <w:highlight w:val="none"/>
              </w:rPr>
              <w:t>1</w:t>
            </w:r>
            <w:r>
              <w:rPr>
                <w:rFonts w:hint="eastAsia"/>
                <w:color w:val="auto"/>
                <w:highlight w:val="none"/>
                <w:lang w:val="zh-CN"/>
              </w:rPr>
              <w:t>）向采购代理机构提出，并由采购代理机构按相关规定作出答复。</w:t>
            </w:r>
          </w:p>
          <w:p w14:paraId="09E1E0A4">
            <w:pPr>
              <w:pStyle w:val="52"/>
              <w:shd w:val="clear"/>
              <w:spacing w:line="480" w:lineRule="exact"/>
              <w:rPr>
                <w:color w:val="auto"/>
                <w:highlight w:val="none"/>
                <w:lang w:val="zh-CN"/>
              </w:rPr>
            </w:pPr>
            <w:r>
              <w:rPr>
                <w:rFonts w:hint="eastAsia"/>
                <w:color w:val="auto"/>
                <w:highlight w:val="none"/>
                <w:lang w:val="zh-CN"/>
              </w:rPr>
              <w:t>（</w:t>
            </w:r>
            <w:r>
              <w:rPr>
                <w:rFonts w:hint="eastAsia"/>
                <w:color w:val="auto"/>
                <w:highlight w:val="none"/>
              </w:rPr>
              <w:t>2</w:t>
            </w:r>
            <w:r>
              <w:rPr>
                <w:rFonts w:hint="eastAsia"/>
                <w:color w:val="auto"/>
                <w:highlight w:val="none"/>
                <w:lang w:val="zh-CN"/>
              </w:rPr>
              <w:t>）对采购过程质疑时间：为各采购程序环节结束之日起七个工作日内。</w:t>
            </w:r>
          </w:p>
          <w:p w14:paraId="6DCBEDB0">
            <w:pPr>
              <w:pStyle w:val="52"/>
              <w:shd w:val="clear"/>
              <w:spacing w:line="480" w:lineRule="exact"/>
              <w:rPr>
                <w:color w:val="auto"/>
                <w:highlight w:val="none"/>
                <w:lang w:val="zh-CN"/>
              </w:rPr>
            </w:pPr>
            <w:r>
              <w:rPr>
                <w:rFonts w:hint="eastAsia"/>
                <w:color w:val="auto"/>
                <w:highlight w:val="none"/>
                <w:lang w:val="zh-CN"/>
              </w:rPr>
              <w:t>联系人、联系电话、联系地址：详见第1章投标邀请中的采购</w:t>
            </w:r>
          </w:p>
          <w:p w14:paraId="0DE7D818">
            <w:pPr>
              <w:pStyle w:val="52"/>
              <w:shd w:val="clear"/>
              <w:spacing w:line="480" w:lineRule="exact"/>
              <w:rPr>
                <w:color w:val="auto"/>
                <w:highlight w:val="none"/>
                <w:lang w:val="zh-CN"/>
              </w:rPr>
            </w:pPr>
            <w:r>
              <w:rPr>
                <w:rFonts w:hint="eastAsia"/>
                <w:color w:val="auto"/>
                <w:highlight w:val="none"/>
                <w:lang w:val="zh-CN"/>
              </w:rPr>
              <w:t>代理机构联系方式。</w:t>
            </w:r>
          </w:p>
          <w:p w14:paraId="3C8B5117">
            <w:pPr>
              <w:pStyle w:val="52"/>
              <w:shd w:val="clear"/>
              <w:spacing w:line="480" w:lineRule="exact"/>
              <w:rPr>
                <w:color w:val="auto"/>
                <w:highlight w:val="none"/>
                <w:lang w:val="zh-CN"/>
              </w:rPr>
            </w:pPr>
            <w:r>
              <w:rPr>
                <w:rFonts w:hint="eastAsia"/>
                <w:color w:val="auto"/>
                <w:highlight w:val="none"/>
              </w:rPr>
              <w:t>3.项目</w:t>
            </w:r>
            <w:r>
              <w:rPr>
                <w:rFonts w:hint="eastAsia"/>
                <w:color w:val="auto"/>
                <w:highlight w:val="none"/>
                <w:lang w:val="zh-CN"/>
              </w:rPr>
              <w:t>质疑的接收方式必须以书面形式(原件)提出，并附质疑书WORD电子文档U盘一份，以当面提交或者快递邮寄形式且收到为准，以其他形式提出的质疑均不接受和回复。</w:t>
            </w:r>
          </w:p>
          <w:p w14:paraId="15349CAB">
            <w:pPr>
              <w:pStyle w:val="52"/>
              <w:shd w:val="clear"/>
              <w:spacing w:line="480" w:lineRule="exact"/>
              <w:rPr>
                <w:color w:val="auto"/>
                <w:highlight w:val="none"/>
                <w:lang w:val="zh-CN"/>
              </w:rPr>
            </w:pPr>
            <w:r>
              <w:rPr>
                <w:rFonts w:hint="eastAsia"/>
                <w:color w:val="auto"/>
                <w:highlight w:val="none"/>
                <w:lang w:val="zh-CN"/>
              </w:rPr>
              <w:t>注：投标人按要求报名成功并购买招标文件的，为依法获取招标文件的投标人，可以对该文件提出质疑。投标人质疑不得超出招标文件、招标过程、招标结果的范围，投标人在法定质疑期内一次性提出针对同一采购程序环节的质疑。</w:t>
            </w:r>
          </w:p>
        </w:tc>
      </w:tr>
      <w:tr w14:paraId="63A5CAFC">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jc w:val="center"/>
        </w:trPr>
        <w:tc>
          <w:tcPr>
            <w:tcW w:w="671" w:type="dxa"/>
            <w:vAlign w:val="center"/>
          </w:tcPr>
          <w:p w14:paraId="06714FC9">
            <w:pPr>
              <w:pStyle w:val="52"/>
              <w:shd w:val="clear"/>
              <w:spacing w:line="480" w:lineRule="exact"/>
              <w:ind w:left="9"/>
              <w:jc w:val="center"/>
              <w:rPr>
                <w:color w:val="auto"/>
                <w:kern w:val="2"/>
                <w:szCs w:val="28"/>
                <w:highlight w:val="none"/>
              </w:rPr>
            </w:pPr>
            <w:r>
              <w:rPr>
                <w:rFonts w:hint="eastAsia"/>
                <w:color w:val="auto"/>
                <w:kern w:val="2"/>
                <w:szCs w:val="28"/>
                <w:highlight w:val="none"/>
              </w:rPr>
              <w:t>21</w:t>
            </w:r>
          </w:p>
        </w:tc>
        <w:tc>
          <w:tcPr>
            <w:tcW w:w="2045" w:type="dxa"/>
            <w:vAlign w:val="center"/>
          </w:tcPr>
          <w:p w14:paraId="6608AD23">
            <w:pPr>
              <w:pStyle w:val="52"/>
              <w:shd w:val="clear"/>
              <w:spacing w:line="480" w:lineRule="exact"/>
              <w:ind w:left="96"/>
              <w:jc w:val="center"/>
              <w:rPr>
                <w:color w:val="auto"/>
                <w:highlight w:val="none"/>
                <w:lang w:val="zh-CN"/>
              </w:rPr>
            </w:pPr>
            <w:r>
              <w:rPr>
                <w:rFonts w:hint="eastAsia"/>
                <w:color w:val="auto"/>
                <w:kern w:val="2"/>
                <w:highlight w:val="none"/>
              </w:rPr>
              <w:t>投标人</w:t>
            </w:r>
            <w:r>
              <w:rPr>
                <w:rFonts w:hint="eastAsia"/>
                <w:color w:val="auto"/>
                <w:highlight w:val="none"/>
                <w:lang w:val="zh-CN"/>
              </w:rPr>
              <w:t>投诉</w:t>
            </w:r>
          </w:p>
        </w:tc>
        <w:tc>
          <w:tcPr>
            <w:tcW w:w="6400" w:type="dxa"/>
            <w:vAlign w:val="center"/>
          </w:tcPr>
          <w:p w14:paraId="11A30173">
            <w:pPr>
              <w:shd w:val="clear"/>
              <w:snapToGrid w:val="0"/>
              <w:spacing w:line="480" w:lineRule="exact"/>
              <w:ind w:right="170" w:rightChars="50" w:firstLine="0" w:firstLineChars="0"/>
              <w:rPr>
                <w:rFonts w:hAnsi="宋体" w:cs="宋体"/>
                <w:bCs/>
                <w:color w:val="auto"/>
                <w:sz w:val="24"/>
                <w:szCs w:val="24"/>
                <w:highlight w:val="none"/>
                <w:lang w:val="zh-CN"/>
              </w:rPr>
            </w:pPr>
            <w:r>
              <w:rPr>
                <w:rFonts w:hint="eastAsia" w:hAnsi="宋体" w:cs="宋体"/>
                <w:bCs/>
                <w:color w:val="auto"/>
                <w:sz w:val="24"/>
                <w:szCs w:val="24"/>
                <w:highlight w:val="none"/>
                <w:lang w:val="en-US" w:eastAsia="zh-CN"/>
              </w:rPr>
              <w:t>投诉</w:t>
            </w:r>
            <w:r>
              <w:rPr>
                <w:rFonts w:hint="eastAsia" w:hAnsi="宋体" w:cs="宋体"/>
                <w:bCs/>
                <w:color w:val="auto"/>
                <w:sz w:val="24"/>
                <w:szCs w:val="24"/>
                <w:highlight w:val="none"/>
                <w:lang w:val="zh-CN"/>
              </w:rPr>
              <w:t>受理单位：本项目同级财政部门，即四川省财政厅。</w:t>
            </w:r>
          </w:p>
          <w:p w14:paraId="6426B96C">
            <w:pPr>
              <w:shd w:val="clear"/>
              <w:snapToGrid w:val="0"/>
              <w:spacing w:line="480" w:lineRule="exact"/>
              <w:ind w:right="170" w:rightChars="50"/>
              <w:rPr>
                <w:rFonts w:hAnsi="宋体" w:cs="宋体"/>
                <w:bCs/>
                <w:color w:val="auto"/>
                <w:sz w:val="24"/>
                <w:szCs w:val="24"/>
                <w:highlight w:val="none"/>
                <w:lang w:val="zh-CN"/>
              </w:rPr>
            </w:pPr>
            <w:r>
              <w:rPr>
                <w:rFonts w:hint="eastAsia" w:hAnsi="宋体" w:cs="宋体"/>
                <w:bCs/>
                <w:color w:val="auto"/>
                <w:sz w:val="24"/>
                <w:szCs w:val="24"/>
                <w:highlight w:val="none"/>
                <w:lang w:val="zh-CN"/>
              </w:rPr>
              <w:t>联系电话：028-86723581。</w:t>
            </w:r>
          </w:p>
          <w:p w14:paraId="0E4F18C0">
            <w:pPr>
              <w:shd w:val="clear"/>
              <w:snapToGrid w:val="0"/>
              <w:spacing w:line="480" w:lineRule="exact"/>
              <w:ind w:right="170" w:rightChars="50"/>
              <w:rPr>
                <w:rFonts w:hAnsi="宋体" w:cs="宋体"/>
                <w:bCs/>
                <w:color w:val="auto"/>
                <w:sz w:val="24"/>
                <w:szCs w:val="24"/>
                <w:highlight w:val="none"/>
                <w:lang w:val="zh-CN"/>
              </w:rPr>
            </w:pPr>
            <w:r>
              <w:rPr>
                <w:rFonts w:hint="eastAsia" w:hAnsi="宋体" w:cs="宋体"/>
                <w:bCs/>
                <w:color w:val="auto"/>
                <w:sz w:val="24"/>
                <w:szCs w:val="24"/>
                <w:highlight w:val="none"/>
                <w:lang w:val="zh-CN"/>
              </w:rPr>
              <w:t>地址：四川省成都市锦江区学道街26号</w:t>
            </w:r>
          </w:p>
          <w:p w14:paraId="23F6026D">
            <w:pPr>
              <w:shd w:val="clear"/>
              <w:snapToGrid w:val="0"/>
              <w:spacing w:line="480" w:lineRule="exact"/>
              <w:ind w:right="170" w:rightChars="50"/>
              <w:rPr>
                <w:rFonts w:hAnsi="宋体" w:cs="宋体"/>
                <w:bCs/>
                <w:color w:val="auto"/>
                <w:sz w:val="24"/>
                <w:szCs w:val="24"/>
                <w:highlight w:val="none"/>
                <w:lang w:val="zh-CN"/>
              </w:rPr>
            </w:pPr>
            <w:r>
              <w:rPr>
                <w:rFonts w:hint="eastAsia" w:hAnsi="宋体" w:cs="宋体"/>
                <w:bCs/>
                <w:color w:val="auto"/>
                <w:sz w:val="24"/>
                <w:szCs w:val="24"/>
                <w:highlight w:val="none"/>
                <w:lang w:val="zh-CN"/>
              </w:rPr>
              <w:t>邮编：610000。</w:t>
            </w:r>
          </w:p>
          <w:p w14:paraId="5E1740BD">
            <w:pPr>
              <w:pStyle w:val="52"/>
              <w:shd w:val="clear"/>
              <w:spacing w:line="480" w:lineRule="exact"/>
              <w:rPr>
                <w:color w:val="auto"/>
                <w:highlight w:val="none"/>
                <w:lang w:val="zh-CN"/>
              </w:rPr>
            </w:pPr>
            <w:r>
              <w:rPr>
                <w:rFonts w:hint="eastAsia"/>
                <w:bCs/>
                <w:color w:val="auto"/>
                <w:highlight w:val="none"/>
                <w:lang w:val="zh-CN"/>
              </w:rPr>
              <w:t>注：根据《中华人民共和国政府采购法实施条例》的规定，供应商投诉事项不得超出已质疑事项的范围</w:t>
            </w:r>
            <w:r>
              <w:rPr>
                <w:rFonts w:hint="eastAsia"/>
                <w:color w:val="auto"/>
                <w:highlight w:val="none"/>
                <w:lang w:val="zh-CN"/>
              </w:rPr>
              <w:t>。</w:t>
            </w:r>
          </w:p>
        </w:tc>
      </w:tr>
      <w:tr w14:paraId="130A5B37">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jc w:val="center"/>
        </w:trPr>
        <w:tc>
          <w:tcPr>
            <w:tcW w:w="671" w:type="dxa"/>
            <w:vAlign w:val="center"/>
          </w:tcPr>
          <w:p w14:paraId="305BF5FE">
            <w:pPr>
              <w:pStyle w:val="52"/>
              <w:shd w:val="clear"/>
              <w:spacing w:line="480" w:lineRule="exact"/>
              <w:ind w:left="9"/>
              <w:jc w:val="center"/>
              <w:rPr>
                <w:color w:val="auto"/>
                <w:kern w:val="2"/>
                <w:szCs w:val="28"/>
                <w:highlight w:val="none"/>
              </w:rPr>
            </w:pPr>
            <w:r>
              <w:rPr>
                <w:rFonts w:hint="eastAsia"/>
                <w:color w:val="auto"/>
                <w:kern w:val="2"/>
                <w:szCs w:val="28"/>
                <w:highlight w:val="none"/>
              </w:rPr>
              <w:t>22</w:t>
            </w:r>
          </w:p>
        </w:tc>
        <w:tc>
          <w:tcPr>
            <w:tcW w:w="2045" w:type="dxa"/>
            <w:vAlign w:val="center"/>
          </w:tcPr>
          <w:p w14:paraId="7C9A97E4">
            <w:pPr>
              <w:pStyle w:val="52"/>
              <w:shd w:val="clear"/>
              <w:spacing w:line="480" w:lineRule="exact"/>
              <w:ind w:left="96"/>
              <w:jc w:val="center"/>
              <w:rPr>
                <w:color w:val="auto"/>
                <w:highlight w:val="none"/>
                <w:lang w:val="zh-CN"/>
              </w:rPr>
            </w:pPr>
            <w:r>
              <w:rPr>
                <w:rFonts w:hint="eastAsia"/>
                <w:color w:val="auto"/>
                <w:highlight w:val="none"/>
                <w:lang w:val="zh-CN"/>
              </w:rPr>
              <w:t>招标代理服务费（实质性要求）</w:t>
            </w:r>
          </w:p>
        </w:tc>
        <w:tc>
          <w:tcPr>
            <w:tcW w:w="6400" w:type="dxa"/>
            <w:vAlign w:val="center"/>
          </w:tcPr>
          <w:p w14:paraId="13884BC3">
            <w:pPr>
              <w:pStyle w:val="52"/>
              <w:shd w:val="clear"/>
              <w:spacing w:line="480" w:lineRule="exact"/>
              <w:rPr>
                <w:color w:val="auto"/>
                <w:highlight w:val="none"/>
                <w:lang w:val="zh-CN"/>
              </w:rPr>
            </w:pPr>
            <w:r>
              <w:rPr>
                <w:rFonts w:hint="eastAsia"/>
                <w:color w:val="auto"/>
                <w:highlight w:val="none"/>
                <w:lang w:val="zh-CN"/>
              </w:rPr>
              <w:t>采购代理机构按照成本加合理利润原则，参照国家发改委计价格〔2002〕1980号文、发改办价格〔2003〕857号文、发改价格〔2011〕534号文件规定的工程、服务及货物类收费标准为依据，以</w:t>
            </w:r>
            <w:r>
              <w:rPr>
                <w:rFonts w:hint="eastAsia"/>
                <w:color w:val="auto"/>
                <w:highlight w:val="none"/>
              </w:rPr>
              <w:t>本项目</w:t>
            </w:r>
            <w:r>
              <w:rPr>
                <w:rFonts w:hint="eastAsia"/>
                <w:color w:val="auto"/>
                <w:highlight w:val="none"/>
                <w:lang w:val="zh-CN"/>
              </w:rPr>
              <w:t>中标价为计费基数，按照折扣率75%计算收取本项目招标代理服务费，由中标人在领取中标通知书前向采购代理机构交纳。</w:t>
            </w:r>
          </w:p>
          <w:p w14:paraId="7122F955">
            <w:pPr>
              <w:shd w:val="clear"/>
              <w:spacing w:line="480" w:lineRule="exact"/>
              <w:rPr>
                <w:rFonts w:ascii="宋体" w:hAnsi="宋体" w:cs="宋体"/>
                <w:color w:val="auto"/>
                <w:sz w:val="24"/>
                <w:highlight w:val="none"/>
              </w:rPr>
            </w:pPr>
            <w:r>
              <w:rPr>
                <w:rFonts w:hint="eastAsia" w:ascii="宋体" w:hAnsi="宋体" w:cs="宋体"/>
                <w:color w:val="auto"/>
                <w:sz w:val="24"/>
                <w:highlight w:val="none"/>
              </w:rPr>
              <w:t>收款单位：四川标源招标代理有限公司。</w:t>
            </w:r>
          </w:p>
          <w:p w14:paraId="7729FBCE">
            <w:pPr>
              <w:shd w:val="clear"/>
              <w:spacing w:line="480" w:lineRule="exact"/>
              <w:rPr>
                <w:rFonts w:hint="eastAsia" w:ascii="宋体" w:hAnsi="宋体" w:cs="宋体"/>
                <w:color w:val="auto"/>
                <w:sz w:val="24"/>
                <w:highlight w:val="none"/>
              </w:rPr>
            </w:pPr>
            <w:r>
              <w:rPr>
                <w:rFonts w:hint="eastAsia" w:ascii="宋体" w:hAnsi="宋体" w:cs="宋体"/>
                <w:color w:val="auto"/>
                <w:sz w:val="24"/>
                <w:highlight w:val="none"/>
              </w:rPr>
              <w:t>开户行：中国农业银行成都迎宾大道支行。</w:t>
            </w:r>
          </w:p>
          <w:p w14:paraId="0D3B185A">
            <w:pPr>
              <w:shd w:val="clear"/>
              <w:spacing w:line="480" w:lineRule="exact"/>
              <w:rPr>
                <w:rFonts w:hint="eastAsia" w:ascii="宋体" w:hAnsi="宋体" w:cs="宋体"/>
                <w:color w:val="auto"/>
                <w:sz w:val="24"/>
                <w:highlight w:val="none"/>
              </w:rPr>
            </w:pPr>
            <w:r>
              <w:rPr>
                <w:rFonts w:hint="eastAsia" w:ascii="宋体" w:hAnsi="宋体" w:cs="宋体"/>
                <w:color w:val="auto"/>
                <w:sz w:val="24"/>
                <w:highlight w:val="none"/>
              </w:rPr>
              <w:t>银行账号：22814801040011204。</w:t>
            </w:r>
          </w:p>
          <w:p w14:paraId="6D36B6CC">
            <w:pPr>
              <w:pStyle w:val="52"/>
              <w:shd w:val="clear"/>
              <w:spacing w:line="480" w:lineRule="exact"/>
              <w:rPr>
                <w:color w:val="auto"/>
                <w:highlight w:val="none"/>
                <w:lang w:val="zh-CN"/>
              </w:rPr>
            </w:pPr>
            <w:r>
              <w:rPr>
                <w:rFonts w:hint="eastAsia" w:ascii="宋体" w:hAnsi="宋体" w:cs="宋体"/>
                <w:color w:val="auto"/>
                <w:sz w:val="24"/>
                <w:highlight w:val="none"/>
              </w:rPr>
              <w:t>联行号：103651089186</w:t>
            </w:r>
            <w:r>
              <w:rPr>
                <w:rFonts w:hint="eastAsia" w:ascii="宋体" w:hAnsi="宋体" w:cs="宋体"/>
                <w:color w:val="auto"/>
                <w:sz w:val="24"/>
                <w:highlight w:val="none"/>
                <w:lang w:eastAsia="zh-CN"/>
              </w:rPr>
              <w:t>。</w:t>
            </w:r>
          </w:p>
        </w:tc>
      </w:tr>
      <w:tr w14:paraId="7C271FA9">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jc w:val="center"/>
        </w:trPr>
        <w:tc>
          <w:tcPr>
            <w:tcW w:w="671" w:type="dxa"/>
            <w:vAlign w:val="center"/>
          </w:tcPr>
          <w:p w14:paraId="2BB6450E">
            <w:pPr>
              <w:pStyle w:val="52"/>
              <w:shd w:val="clear"/>
              <w:spacing w:line="480" w:lineRule="exact"/>
              <w:ind w:left="9"/>
              <w:jc w:val="center"/>
              <w:rPr>
                <w:color w:val="auto"/>
                <w:kern w:val="2"/>
                <w:szCs w:val="28"/>
                <w:highlight w:val="none"/>
              </w:rPr>
            </w:pPr>
            <w:r>
              <w:rPr>
                <w:rFonts w:hint="eastAsia"/>
                <w:color w:val="auto"/>
                <w:kern w:val="2"/>
                <w:szCs w:val="28"/>
                <w:highlight w:val="none"/>
              </w:rPr>
              <w:t>23</w:t>
            </w:r>
          </w:p>
        </w:tc>
        <w:tc>
          <w:tcPr>
            <w:tcW w:w="2045" w:type="dxa"/>
            <w:vAlign w:val="center"/>
          </w:tcPr>
          <w:p w14:paraId="6FBD03C0">
            <w:pPr>
              <w:pStyle w:val="52"/>
              <w:shd w:val="clear"/>
              <w:spacing w:line="480" w:lineRule="exact"/>
              <w:ind w:left="96"/>
              <w:jc w:val="center"/>
              <w:rPr>
                <w:color w:val="auto"/>
                <w:highlight w:val="none"/>
                <w:lang w:val="zh-CN"/>
              </w:rPr>
            </w:pPr>
            <w:r>
              <w:rPr>
                <w:rFonts w:hint="eastAsia"/>
                <w:color w:val="auto"/>
                <w:highlight w:val="none"/>
                <w:lang w:val="zh-CN"/>
              </w:rPr>
              <w:t>履约保证金</w:t>
            </w:r>
          </w:p>
        </w:tc>
        <w:tc>
          <w:tcPr>
            <w:tcW w:w="6400" w:type="dxa"/>
            <w:vAlign w:val="center"/>
          </w:tcPr>
          <w:p w14:paraId="759D36B0">
            <w:pPr>
              <w:pStyle w:val="52"/>
              <w:shd w:val="clear"/>
              <w:adjustRightInd/>
              <w:spacing w:line="480" w:lineRule="exact"/>
              <w:rPr>
                <w:rFonts w:hint="eastAsia" w:ascii="宋体" w:hAnsi="宋体" w:eastAsia="宋体" w:cs="宋体"/>
                <w:bCs/>
                <w:color w:val="auto"/>
                <w:sz w:val="24"/>
                <w:highlight w:val="none"/>
              </w:rPr>
            </w:pPr>
            <w:r>
              <w:rPr>
                <w:rFonts w:hint="eastAsia" w:ascii="宋体" w:hAnsi="宋体" w:cs="宋体"/>
                <w:bCs/>
                <w:color w:val="auto"/>
                <w:sz w:val="24"/>
                <w:highlight w:val="none"/>
                <w:lang w:val="en-US" w:eastAsia="zh-CN"/>
              </w:rPr>
              <w:t>1、</w:t>
            </w:r>
            <w:r>
              <w:rPr>
                <w:rFonts w:hint="eastAsia" w:ascii="宋体" w:hAnsi="宋体" w:cs="宋体"/>
                <w:bCs/>
                <w:color w:val="auto"/>
                <w:sz w:val="24"/>
                <w:highlight w:val="none"/>
              </w:rPr>
              <w:t>金额：合同金额（</w:t>
            </w:r>
            <w:r>
              <w:rPr>
                <w:rFonts w:hint="eastAsia" w:cs="宋体"/>
                <w:bCs/>
                <w:color w:val="auto"/>
                <w:sz w:val="24"/>
                <w:highlight w:val="none"/>
                <w:lang w:val="en-US" w:eastAsia="zh-CN"/>
              </w:rPr>
              <w:t>即</w:t>
            </w:r>
            <w:r>
              <w:rPr>
                <w:rFonts w:hint="eastAsia" w:ascii="宋体" w:hAnsi="宋体" w:cs="宋体"/>
                <w:bCs/>
                <w:color w:val="auto"/>
                <w:sz w:val="24"/>
                <w:highlight w:val="none"/>
              </w:rPr>
              <w:t>中标金额）的</w:t>
            </w:r>
            <w:r>
              <w:rPr>
                <w:rFonts w:hint="eastAsia" w:ascii="宋体" w:hAnsi="宋体" w:cs="宋体"/>
                <w:bCs/>
                <w:color w:val="auto"/>
                <w:sz w:val="24"/>
                <w:highlight w:val="none"/>
                <w:lang w:val="en-US" w:eastAsia="zh-CN"/>
              </w:rPr>
              <w:t>5</w:t>
            </w:r>
            <w:r>
              <w:rPr>
                <w:rFonts w:hint="eastAsia" w:ascii="宋体" w:hAnsi="宋体" w:cs="宋体"/>
                <w:bCs/>
                <w:color w:val="auto"/>
                <w:sz w:val="24"/>
                <w:highlight w:val="none"/>
              </w:rPr>
              <w:t>%</w:t>
            </w:r>
            <w:r>
              <w:rPr>
                <w:rFonts w:hint="eastAsia" w:ascii="宋体" w:hAnsi="宋体" w:eastAsia="宋体" w:cs="宋体"/>
                <w:bCs/>
                <w:color w:val="auto"/>
                <w:sz w:val="24"/>
                <w:highlight w:val="none"/>
              </w:rPr>
              <w:t>。</w:t>
            </w:r>
          </w:p>
          <w:p w14:paraId="523E7B74">
            <w:pPr>
              <w:pStyle w:val="2"/>
              <w:keepNext w:val="0"/>
              <w:keepLines w:val="0"/>
              <w:pageBreakBefore w:val="0"/>
              <w:widowControl w:val="0"/>
              <w:shd w:val="clear"/>
              <w:kinsoku/>
              <w:wordWrap/>
              <w:overflowPunct/>
              <w:topLinePunct w:val="0"/>
              <w:bidi w:val="0"/>
              <w:adjustRightInd/>
              <w:snapToGrid/>
              <w:spacing w:line="480" w:lineRule="exact"/>
              <w:textAlignment w:val="auto"/>
              <w:rPr>
                <w:rFonts w:ascii="宋体" w:hAnsi="宋体" w:cs="宋体"/>
                <w:bCs/>
                <w:color w:val="auto"/>
                <w:sz w:val="24"/>
                <w:highlight w:val="none"/>
              </w:rPr>
            </w:pPr>
            <w:r>
              <w:rPr>
                <w:rFonts w:hint="eastAsia" w:ascii="宋体" w:hAnsi="宋体" w:cs="宋体"/>
                <w:bCs/>
                <w:color w:val="auto"/>
                <w:sz w:val="24"/>
                <w:highlight w:val="none"/>
                <w:lang w:val="en-US" w:eastAsia="zh-CN"/>
              </w:rPr>
              <w:t>2、</w:t>
            </w:r>
            <w:r>
              <w:rPr>
                <w:rFonts w:hint="eastAsia" w:ascii="宋体" w:hAnsi="宋体" w:cs="宋体"/>
                <w:bCs/>
                <w:color w:val="auto"/>
                <w:sz w:val="24"/>
                <w:highlight w:val="none"/>
              </w:rPr>
              <w:t>交款方式：网银转账、支票、汇票、本票、金融机构或担保机构出具的保函等非现金方式缴纳至采购人。</w:t>
            </w:r>
          </w:p>
          <w:p w14:paraId="1FFA9F1B">
            <w:pPr>
              <w:pStyle w:val="2"/>
              <w:keepNext w:val="0"/>
              <w:keepLines w:val="0"/>
              <w:pageBreakBefore w:val="0"/>
              <w:widowControl w:val="0"/>
              <w:shd w:val="clear"/>
              <w:kinsoku/>
              <w:wordWrap/>
              <w:overflowPunct/>
              <w:topLinePunct w:val="0"/>
              <w:bidi w:val="0"/>
              <w:adjustRightInd/>
              <w:snapToGrid/>
              <w:spacing w:line="480" w:lineRule="exact"/>
              <w:textAlignment w:val="auto"/>
              <w:rPr>
                <w:rFonts w:ascii="宋体" w:hAnsi="宋体" w:cs="宋体"/>
                <w:bCs/>
                <w:color w:val="auto"/>
                <w:sz w:val="24"/>
                <w:highlight w:val="none"/>
              </w:rPr>
            </w:pPr>
            <w:r>
              <w:rPr>
                <w:rFonts w:hint="eastAsia" w:ascii="宋体" w:hAnsi="宋体" w:cs="宋体"/>
                <w:bCs/>
                <w:color w:val="auto"/>
                <w:sz w:val="24"/>
                <w:highlight w:val="none"/>
                <w:lang w:val="en-US" w:eastAsia="zh-CN"/>
              </w:rPr>
              <w:t>3、</w:t>
            </w:r>
            <w:r>
              <w:rPr>
                <w:rFonts w:hint="eastAsia" w:ascii="宋体" w:hAnsi="宋体" w:cs="宋体"/>
                <w:bCs/>
                <w:color w:val="auto"/>
                <w:sz w:val="24"/>
                <w:highlight w:val="none"/>
              </w:rPr>
              <w:t>收款单位：西南科技大学。</w:t>
            </w:r>
          </w:p>
          <w:p w14:paraId="77F7AA8B">
            <w:pPr>
              <w:pStyle w:val="2"/>
              <w:keepNext w:val="0"/>
              <w:keepLines w:val="0"/>
              <w:pageBreakBefore w:val="0"/>
              <w:widowControl w:val="0"/>
              <w:shd w:val="clear"/>
              <w:kinsoku/>
              <w:wordWrap/>
              <w:overflowPunct/>
              <w:topLinePunct w:val="0"/>
              <w:bidi w:val="0"/>
              <w:adjustRightInd/>
              <w:snapToGrid/>
              <w:spacing w:line="480" w:lineRule="exact"/>
              <w:ind w:firstLine="480" w:firstLineChars="200"/>
              <w:textAlignment w:val="auto"/>
              <w:rPr>
                <w:rFonts w:ascii="宋体" w:hAnsi="宋体" w:cs="宋体"/>
                <w:bCs/>
                <w:color w:val="auto"/>
                <w:sz w:val="24"/>
                <w:highlight w:val="none"/>
              </w:rPr>
            </w:pPr>
            <w:r>
              <w:rPr>
                <w:rFonts w:hint="eastAsia" w:ascii="宋体" w:hAnsi="宋体" w:cs="宋体"/>
                <w:bCs/>
                <w:color w:val="auto"/>
                <w:sz w:val="24"/>
                <w:highlight w:val="none"/>
              </w:rPr>
              <w:t>开户银行：</w:t>
            </w:r>
            <w:r>
              <w:rPr>
                <w:rFonts w:hint="eastAsia"/>
                <w:color w:val="auto"/>
                <w:sz w:val="24"/>
                <w:highlight w:val="none"/>
              </w:rPr>
              <w:t>中国农业银行</w:t>
            </w:r>
            <w:r>
              <w:rPr>
                <w:rFonts w:hint="eastAsia"/>
                <w:color w:val="auto"/>
                <w:sz w:val="24"/>
                <w:highlight w:val="none"/>
                <w:lang w:val="zh-CN"/>
              </w:rPr>
              <w:t>绵阳西南科技大学支行</w:t>
            </w:r>
          </w:p>
          <w:p w14:paraId="2EFBC7BB">
            <w:pPr>
              <w:pStyle w:val="2"/>
              <w:keepNext w:val="0"/>
              <w:keepLines w:val="0"/>
              <w:pageBreakBefore w:val="0"/>
              <w:widowControl w:val="0"/>
              <w:shd w:val="clear"/>
              <w:kinsoku/>
              <w:wordWrap/>
              <w:overflowPunct/>
              <w:topLinePunct w:val="0"/>
              <w:bidi w:val="0"/>
              <w:adjustRightInd/>
              <w:snapToGrid/>
              <w:spacing w:line="480" w:lineRule="exact"/>
              <w:ind w:firstLine="480" w:firstLineChars="200"/>
              <w:textAlignment w:val="auto"/>
              <w:rPr>
                <w:rFonts w:ascii="宋体" w:hAnsi="宋体" w:cs="宋体"/>
                <w:bCs/>
                <w:color w:val="auto"/>
                <w:sz w:val="24"/>
                <w:highlight w:val="none"/>
              </w:rPr>
            </w:pPr>
            <w:r>
              <w:rPr>
                <w:rFonts w:hint="eastAsia" w:ascii="宋体" w:hAnsi="宋体" w:cs="宋体"/>
                <w:bCs/>
                <w:color w:val="auto"/>
                <w:sz w:val="24"/>
                <w:highlight w:val="none"/>
              </w:rPr>
              <w:t>账号：22-240901040000456</w:t>
            </w:r>
          </w:p>
          <w:p w14:paraId="4266CC0D">
            <w:pPr>
              <w:pStyle w:val="2"/>
              <w:keepNext w:val="0"/>
              <w:keepLines w:val="0"/>
              <w:pageBreakBefore w:val="0"/>
              <w:widowControl w:val="0"/>
              <w:shd w:val="clear"/>
              <w:kinsoku/>
              <w:wordWrap/>
              <w:overflowPunct/>
              <w:topLinePunct w:val="0"/>
              <w:bidi w:val="0"/>
              <w:adjustRightInd/>
              <w:snapToGrid/>
              <w:spacing w:line="480" w:lineRule="exact"/>
              <w:textAlignment w:val="auto"/>
              <w:rPr>
                <w:rFonts w:ascii="宋体" w:hAnsi="宋体" w:cs="宋体"/>
                <w:bCs/>
                <w:color w:val="auto"/>
                <w:sz w:val="24"/>
                <w:highlight w:val="none"/>
              </w:rPr>
            </w:pPr>
            <w:r>
              <w:rPr>
                <w:rFonts w:hint="eastAsia" w:ascii="宋体" w:hAnsi="宋体" w:cs="宋体"/>
                <w:bCs/>
                <w:color w:val="auto"/>
                <w:sz w:val="24"/>
                <w:highlight w:val="none"/>
                <w:lang w:val="en-US" w:eastAsia="zh-CN"/>
              </w:rPr>
              <w:t>4、</w:t>
            </w:r>
            <w:r>
              <w:rPr>
                <w:rFonts w:hint="eastAsia" w:ascii="宋体" w:hAnsi="宋体" w:cs="宋体"/>
                <w:bCs/>
                <w:color w:val="auto"/>
                <w:sz w:val="24"/>
                <w:highlight w:val="none"/>
              </w:rPr>
              <w:t>交款时间：中标通知书发放后，采购合同签订前。</w:t>
            </w:r>
          </w:p>
          <w:p w14:paraId="63F351AE">
            <w:pPr>
              <w:keepNext w:val="0"/>
              <w:keepLines w:val="0"/>
              <w:pageBreakBefore w:val="0"/>
              <w:widowControl w:val="0"/>
              <w:shd w:val="clear"/>
              <w:kinsoku/>
              <w:wordWrap/>
              <w:overflowPunct/>
              <w:topLinePunct w:val="0"/>
              <w:bidi w:val="0"/>
              <w:adjustRightInd/>
              <w:snapToGrid/>
              <w:spacing w:line="480" w:lineRule="exact"/>
              <w:textAlignment w:val="auto"/>
              <w:rPr>
                <w:rFonts w:hint="eastAsia" w:ascii="宋体" w:hAnsi="宋体" w:cs="宋体"/>
                <w:bCs/>
                <w:color w:val="auto"/>
                <w:sz w:val="24"/>
                <w:highlight w:val="none"/>
                <w:lang w:val="zh-CN"/>
              </w:rPr>
            </w:pPr>
            <w:r>
              <w:rPr>
                <w:rFonts w:hint="eastAsia" w:ascii="宋体" w:hAnsi="宋体" w:cs="宋体"/>
                <w:bCs/>
                <w:color w:val="auto"/>
                <w:sz w:val="24"/>
                <w:highlight w:val="none"/>
                <w:lang w:val="en-US" w:eastAsia="zh-CN"/>
              </w:rPr>
              <w:t>5、</w:t>
            </w:r>
            <w:r>
              <w:rPr>
                <w:rFonts w:hint="eastAsia" w:ascii="宋体" w:hAnsi="宋体" w:cs="宋体"/>
                <w:bCs/>
                <w:color w:val="auto"/>
                <w:sz w:val="24"/>
                <w:highlight w:val="none"/>
              </w:rPr>
              <w:t>退款时间和方式：本项目履约保证金自采购人自行验收合格之日</w:t>
            </w:r>
            <w:r>
              <w:rPr>
                <w:rFonts w:hint="eastAsia" w:ascii="宋体" w:hAnsi="宋体" w:cs="宋体"/>
                <w:bCs/>
                <w:color w:val="auto"/>
                <w:sz w:val="24"/>
                <w:highlight w:val="none"/>
                <w:lang w:val="en-US" w:eastAsia="zh-CN"/>
              </w:rPr>
              <w:t>起1年后</w:t>
            </w:r>
            <w:r>
              <w:rPr>
                <w:rFonts w:hint="eastAsia" w:ascii="宋体" w:hAnsi="宋体" w:cs="宋体"/>
                <w:bCs/>
                <w:color w:val="auto"/>
                <w:sz w:val="24"/>
                <w:highlight w:val="none"/>
              </w:rPr>
              <w:t>，由中标人向采购人提出申请，采购人根据中标人实际履约情况（无息）退还。履约保证金不予退还情形应包括履约验收结果不合格或中标人未按合同履约或其他违反国家相关法律法规的情形。</w:t>
            </w:r>
            <w:r>
              <w:rPr>
                <w:rFonts w:hint="eastAsia" w:ascii="宋体" w:hAnsi="宋体" w:cs="宋体"/>
                <w:bCs/>
                <w:color w:val="auto"/>
                <w:sz w:val="24"/>
                <w:highlight w:val="none"/>
                <w:lang w:val="zh-CN"/>
              </w:rPr>
              <w:t>履约保证金不予退还的，将按照有关规定上缴</w:t>
            </w:r>
            <w:r>
              <w:rPr>
                <w:rFonts w:hint="eastAsia" w:ascii="宋体" w:hAnsi="宋体" w:cs="宋体"/>
                <w:bCs/>
                <w:color w:val="auto"/>
                <w:sz w:val="24"/>
                <w:highlight w:val="none"/>
              </w:rPr>
              <w:t>同级财政部门</w:t>
            </w:r>
            <w:r>
              <w:rPr>
                <w:rFonts w:hint="eastAsia" w:ascii="宋体" w:hAnsi="宋体" w:cs="宋体"/>
                <w:bCs/>
                <w:color w:val="auto"/>
                <w:sz w:val="24"/>
                <w:highlight w:val="none"/>
                <w:lang w:val="zh-CN"/>
              </w:rPr>
              <w:t>。</w:t>
            </w:r>
          </w:p>
          <w:p w14:paraId="49A517D5">
            <w:pPr>
              <w:pStyle w:val="52"/>
              <w:keepNext w:val="0"/>
              <w:keepLines w:val="0"/>
              <w:pageBreakBefore w:val="0"/>
              <w:widowControl w:val="0"/>
              <w:shd w:val="clear"/>
              <w:kinsoku/>
              <w:wordWrap/>
              <w:overflowPunct/>
              <w:topLinePunct w:val="0"/>
              <w:bidi w:val="0"/>
              <w:adjustRightInd/>
              <w:snapToGrid/>
              <w:spacing w:line="480" w:lineRule="exact"/>
              <w:textAlignment w:val="auto"/>
              <w:rPr>
                <w:rFonts w:hint="eastAsia"/>
                <w:color w:val="auto"/>
                <w:highlight w:val="none"/>
                <w:lang w:val="zh-CN"/>
              </w:rPr>
            </w:pPr>
            <w:r>
              <w:rPr>
                <w:rFonts w:hint="eastAsia" w:ascii="宋体" w:hAnsi="宋体" w:cs="宋体"/>
                <w:bCs/>
                <w:color w:val="auto"/>
                <w:sz w:val="24"/>
                <w:highlight w:val="none"/>
                <w:lang w:val="zh-CN"/>
              </w:rPr>
              <w:t>注：</w:t>
            </w:r>
            <w:r>
              <w:rPr>
                <w:rFonts w:hint="eastAsia" w:ascii="宋体" w:hAnsi="宋体" w:cs="宋体"/>
                <w:bCs/>
                <w:color w:val="auto"/>
                <w:kern w:val="2"/>
                <w:sz w:val="24"/>
                <w:szCs w:val="24"/>
                <w:highlight w:val="none"/>
                <w:lang w:val="en-US" w:eastAsia="zh-CN" w:bidi="ar-SA"/>
              </w:rPr>
              <w:t>提供保函的的担保机构必须是依法成立的具有相关资质和偿付能力的担保机构。保函是银行等金融机构出具的，保函必须要在中国人民银行征信系统能够进行查询，否则视为</w:t>
            </w:r>
            <w:r>
              <w:rPr>
                <w:rFonts w:hint="eastAsia" w:cs="宋体"/>
                <w:bCs/>
                <w:color w:val="auto"/>
                <w:kern w:val="2"/>
                <w:sz w:val="24"/>
                <w:szCs w:val="24"/>
                <w:highlight w:val="none"/>
                <w:lang w:val="en-US" w:eastAsia="zh-CN" w:bidi="ar-SA"/>
              </w:rPr>
              <w:t>中标人</w:t>
            </w:r>
            <w:r>
              <w:rPr>
                <w:rFonts w:hint="eastAsia" w:ascii="宋体" w:hAnsi="宋体" w:cs="宋体"/>
                <w:bCs/>
                <w:color w:val="auto"/>
                <w:kern w:val="2"/>
                <w:sz w:val="24"/>
                <w:szCs w:val="24"/>
                <w:highlight w:val="none"/>
                <w:lang w:val="en-US" w:eastAsia="zh-CN" w:bidi="ar-SA"/>
              </w:rPr>
              <w:t>未有效缴纳履约保证金；若</w:t>
            </w:r>
            <w:r>
              <w:rPr>
                <w:rFonts w:hint="eastAsia" w:cs="宋体"/>
                <w:bCs/>
                <w:color w:val="auto"/>
                <w:kern w:val="2"/>
                <w:sz w:val="24"/>
                <w:szCs w:val="24"/>
                <w:highlight w:val="none"/>
                <w:lang w:val="en-US" w:eastAsia="zh-CN" w:bidi="ar-SA"/>
              </w:rPr>
              <w:t>中标人</w:t>
            </w:r>
            <w:r>
              <w:rPr>
                <w:rFonts w:hint="eastAsia" w:ascii="宋体" w:hAnsi="宋体" w:cs="宋体"/>
                <w:bCs/>
                <w:color w:val="auto"/>
                <w:kern w:val="2"/>
                <w:sz w:val="24"/>
                <w:szCs w:val="24"/>
                <w:highlight w:val="none"/>
                <w:lang w:val="en-US" w:eastAsia="zh-CN" w:bidi="ar-SA"/>
              </w:rPr>
              <w:t>逾期仍未有效缴纳</w:t>
            </w:r>
            <w:r>
              <w:rPr>
                <w:rFonts w:hint="eastAsia" w:cs="宋体"/>
                <w:bCs/>
                <w:color w:val="auto"/>
                <w:kern w:val="2"/>
                <w:sz w:val="24"/>
                <w:szCs w:val="24"/>
                <w:highlight w:val="none"/>
                <w:lang w:val="en-US" w:eastAsia="zh-CN" w:bidi="ar-SA"/>
              </w:rPr>
              <w:t>履约保证金</w:t>
            </w:r>
            <w:r>
              <w:rPr>
                <w:rFonts w:hint="eastAsia" w:ascii="宋体" w:hAnsi="宋体" w:cs="宋体"/>
                <w:bCs/>
                <w:color w:val="auto"/>
                <w:kern w:val="2"/>
                <w:sz w:val="24"/>
                <w:szCs w:val="24"/>
                <w:highlight w:val="none"/>
                <w:lang w:val="en-US" w:eastAsia="zh-CN" w:bidi="ar-SA"/>
              </w:rPr>
              <w:t>的，将视</w:t>
            </w:r>
            <w:r>
              <w:rPr>
                <w:rFonts w:hint="eastAsia" w:cs="宋体"/>
                <w:bCs/>
                <w:color w:val="auto"/>
                <w:kern w:val="2"/>
                <w:sz w:val="24"/>
                <w:szCs w:val="24"/>
                <w:highlight w:val="none"/>
                <w:lang w:val="en-US" w:eastAsia="zh-CN" w:bidi="ar-SA"/>
              </w:rPr>
              <w:t>中标人</w:t>
            </w:r>
            <w:r>
              <w:rPr>
                <w:rFonts w:hint="eastAsia" w:ascii="宋体" w:hAnsi="宋体" w:cs="宋体"/>
                <w:bCs/>
                <w:color w:val="auto"/>
                <w:kern w:val="2"/>
                <w:sz w:val="24"/>
                <w:szCs w:val="24"/>
                <w:highlight w:val="none"/>
                <w:lang w:val="en-US" w:eastAsia="zh-CN" w:bidi="ar-SA"/>
              </w:rPr>
              <w:t>放弃中标资格，采购人将重新确定</w:t>
            </w:r>
            <w:r>
              <w:rPr>
                <w:rFonts w:hint="eastAsia" w:cs="宋体"/>
                <w:bCs/>
                <w:color w:val="auto"/>
                <w:kern w:val="2"/>
                <w:sz w:val="24"/>
                <w:szCs w:val="24"/>
                <w:highlight w:val="none"/>
                <w:lang w:val="en-US" w:eastAsia="zh-CN" w:bidi="ar-SA"/>
              </w:rPr>
              <w:t>中标人</w:t>
            </w:r>
            <w:r>
              <w:rPr>
                <w:rFonts w:hint="eastAsia" w:ascii="宋体" w:hAnsi="宋体" w:cs="宋体" w:eastAsiaTheme="minorEastAsia"/>
                <w:bCs/>
                <w:color w:val="auto"/>
                <w:kern w:val="2"/>
                <w:sz w:val="24"/>
                <w:szCs w:val="24"/>
                <w:highlight w:val="none"/>
                <w:lang w:val="zh-CN" w:eastAsia="zh-CN" w:bidi="ar-SA"/>
              </w:rPr>
              <w:t>。</w:t>
            </w:r>
          </w:p>
        </w:tc>
      </w:tr>
      <w:tr w14:paraId="3EFBAEFF">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jc w:val="center"/>
        </w:trPr>
        <w:tc>
          <w:tcPr>
            <w:tcW w:w="671" w:type="dxa"/>
            <w:tcBorders>
              <w:top w:val="single" w:color="auto" w:sz="4" w:space="0"/>
            </w:tcBorders>
            <w:vAlign w:val="center"/>
          </w:tcPr>
          <w:p w14:paraId="0E8BD0D1">
            <w:pPr>
              <w:pStyle w:val="52"/>
              <w:shd w:val="clear"/>
              <w:spacing w:line="480" w:lineRule="exact"/>
              <w:ind w:left="9"/>
              <w:jc w:val="center"/>
              <w:rPr>
                <w:color w:val="auto"/>
                <w:kern w:val="2"/>
                <w:szCs w:val="28"/>
                <w:highlight w:val="none"/>
              </w:rPr>
            </w:pPr>
            <w:r>
              <w:rPr>
                <w:rFonts w:hint="eastAsia"/>
                <w:color w:val="auto"/>
                <w:kern w:val="2"/>
                <w:szCs w:val="28"/>
                <w:highlight w:val="none"/>
              </w:rPr>
              <w:t>24</w:t>
            </w:r>
          </w:p>
        </w:tc>
        <w:tc>
          <w:tcPr>
            <w:tcW w:w="2045" w:type="dxa"/>
            <w:tcBorders>
              <w:top w:val="single" w:color="auto" w:sz="4" w:space="0"/>
            </w:tcBorders>
            <w:vAlign w:val="center"/>
          </w:tcPr>
          <w:p w14:paraId="552498A6">
            <w:pPr>
              <w:pStyle w:val="52"/>
              <w:shd w:val="clear"/>
              <w:spacing w:line="480" w:lineRule="exact"/>
              <w:ind w:left="96"/>
              <w:jc w:val="center"/>
              <w:rPr>
                <w:color w:val="auto"/>
                <w:highlight w:val="none"/>
                <w:lang w:val="zh-CN"/>
              </w:rPr>
            </w:pPr>
            <w:r>
              <w:rPr>
                <w:rFonts w:hint="eastAsia"/>
                <w:color w:val="auto"/>
                <w:highlight w:val="none"/>
                <w:lang w:val="zh-CN"/>
              </w:rPr>
              <w:t>中标通知书领取</w:t>
            </w:r>
          </w:p>
        </w:tc>
        <w:tc>
          <w:tcPr>
            <w:tcW w:w="6400" w:type="dxa"/>
            <w:tcBorders>
              <w:top w:val="single" w:color="auto" w:sz="4" w:space="0"/>
            </w:tcBorders>
          </w:tcPr>
          <w:p w14:paraId="001C43B8">
            <w:pPr>
              <w:pStyle w:val="52"/>
              <w:shd w:val="clear"/>
              <w:spacing w:line="480" w:lineRule="exact"/>
              <w:jc w:val="both"/>
              <w:rPr>
                <w:color w:val="auto"/>
                <w:highlight w:val="none"/>
                <w:lang w:val="zh-CN"/>
              </w:rPr>
            </w:pPr>
            <w:r>
              <w:rPr>
                <w:rFonts w:hint="eastAsia"/>
                <w:color w:val="auto"/>
                <w:highlight w:val="none"/>
                <w:lang w:val="zh-CN"/>
              </w:rPr>
              <w:t>中标公告在四川政府采购网上公告后，请中标人凭有效身份证明证件到四川标源招标代理有限公司领取中标通知书。</w:t>
            </w:r>
          </w:p>
          <w:p w14:paraId="630E221A">
            <w:pPr>
              <w:pStyle w:val="52"/>
              <w:shd w:val="clear"/>
              <w:spacing w:line="480" w:lineRule="exact"/>
              <w:jc w:val="both"/>
              <w:rPr>
                <w:color w:val="auto"/>
                <w:highlight w:val="none"/>
                <w:lang w:val="zh-CN"/>
              </w:rPr>
            </w:pPr>
            <w:r>
              <w:rPr>
                <w:rFonts w:hint="eastAsia"/>
                <w:color w:val="auto"/>
                <w:highlight w:val="none"/>
                <w:lang w:val="zh-CN"/>
              </w:rPr>
              <w:t>联系人：樊女士。</w:t>
            </w:r>
          </w:p>
          <w:p w14:paraId="4AF445C2">
            <w:pPr>
              <w:pStyle w:val="52"/>
              <w:shd w:val="clear"/>
              <w:spacing w:line="480" w:lineRule="exact"/>
              <w:jc w:val="both"/>
              <w:rPr>
                <w:color w:val="auto"/>
                <w:highlight w:val="none"/>
                <w:lang w:val="zh-CN"/>
              </w:rPr>
            </w:pPr>
            <w:r>
              <w:rPr>
                <w:rFonts w:hint="eastAsia"/>
                <w:color w:val="auto"/>
                <w:highlight w:val="none"/>
                <w:lang w:val="zh-CN"/>
              </w:rPr>
              <w:t>联系电话：</w:t>
            </w:r>
            <w:r>
              <w:rPr>
                <w:rStyle w:val="40"/>
                <w:rFonts w:hint="eastAsia"/>
                <w:color w:val="auto"/>
                <w:highlight w:val="none"/>
              </w:rPr>
              <w:t>18180671505</w:t>
            </w:r>
            <w:r>
              <w:rPr>
                <w:rFonts w:hint="eastAsia"/>
                <w:color w:val="auto"/>
                <w:highlight w:val="none"/>
                <w:lang w:val="zh-CN"/>
              </w:rPr>
              <w:t>。</w:t>
            </w:r>
          </w:p>
          <w:p w14:paraId="32DEBCA0">
            <w:pPr>
              <w:pStyle w:val="52"/>
              <w:shd w:val="clear"/>
              <w:spacing w:line="480" w:lineRule="exact"/>
              <w:jc w:val="both"/>
              <w:rPr>
                <w:color w:val="auto"/>
                <w:highlight w:val="none"/>
                <w:lang w:val="zh-CN"/>
              </w:rPr>
            </w:pPr>
            <w:r>
              <w:rPr>
                <w:rFonts w:hint="eastAsia"/>
                <w:color w:val="auto"/>
                <w:highlight w:val="none"/>
                <w:lang w:val="zh-CN"/>
              </w:rPr>
              <w:t>地址：四川省绵阳市经开区富临桃花岛假日公寓2单元7楼。</w:t>
            </w:r>
          </w:p>
          <w:p w14:paraId="2B4C6486">
            <w:pPr>
              <w:pStyle w:val="52"/>
              <w:shd w:val="clear"/>
              <w:spacing w:line="480" w:lineRule="exact"/>
              <w:jc w:val="both"/>
              <w:rPr>
                <w:color w:val="auto"/>
                <w:highlight w:val="none"/>
                <w:lang w:val="zh-CN"/>
              </w:rPr>
            </w:pPr>
            <w:r>
              <w:rPr>
                <w:rFonts w:hint="eastAsia"/>
                <w:color w:val="auto"/>
                <w:highlight w:val="none"/>
              </w:rPr>
              <w:t>注：领取中标通知书时，根据四川省财政厅关于推进四川省政府采购供应商信用融资工作的通知（川财采[2018]123号）的要求，符合通知要求、有融资需求的供应商可根据四川政府采购网公示的银行及其“政采贷”产品，自行选择符合自身情况的“政采贷”银行及其产品，选择“政采贷”银行及其产品的需向代理机构进行登记。</w:t>
            </w:r>
          </w:p>
        </w:tc>
      </w:tr>
      <w:tr w14:paraId="55DE8C8C">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jc w:val="center"/>
        </w:trPr>
        <w:tc>
          <w:tcPr>
            <w:tcW w:w="671" w:type="dxa"/>
            <w:tcBorders>
              <w:top w:val="single" w:color="auto" w:sz="4" w:space="0"/>
              <w:bottom w:val="single" w:color="auto" w:sz="4" w:space="0"/>
            </w:tcBorders>
            <w:vAlign w:val="center"/>
          </w:tcPr>
          <w:p w14:paraId="1F4CF357">
            <w:pPr>
              <w:pStyle w:val="52"/>
              <w:shd w:val="clear"/>
              <w:spacing w:line="480" w:lineRule="exact"/>
              <w:ind w:left="9"/>
              <w:jc w:val="center"/>
              <w:rPr>
                <w:color w:val="auto"/>
                <w:kern w:val="2"/>
                <w:szCs w:val="28"/>
                <w:highlight w:val="none"/>
              </w:rPr>
            </w:pPr>
            <w:r>
              <w:rPr>
                <w:rFonts w:hint="eastAsia"/>
                <w:color w:val="auto"/>
                <w:kern w:val="2"/>
                <w:szCs w:val="28"/>
                <w:highlight w:val="none"/>
              </w:rPr>
              <w:t>25</w:t>
            </w:r>
          </w:p>
        </w:tc>
        <w:tc>
          <w:tcPr>
            <w:tcW w:w="2045" w:type="dxa"/>
            <w:tcBorders>
              <w:top w:val="single" w:color="auto" w:sz="4" w:space="0"/>
              <w:bottom w:val="single" w:color="auto" w:sz="4" w:space="0"/>
            </w:tcBorders>
            <w:vAlign w:val="center"/>
          </w:tcPr>
          <w:p w14:paraId="5E8E74BF">
            <w:pPr>
              <w:pStyle w:val="52"/>
              <w:shd w:val="clear"/>
              <w:spacing w:line="480" w:lineRule="exact"/>
              <w:ind w:right="264"/>
              <w:jc w:val="center"/>
              <w:rPr>
                <w:color w:val="auto"/>
                <w:kern w:val="2"/>
                <w:szCs w:val="28"/>
                <w:highlight w:val="none"/>
              </w:rPr>
            </w:pPr>
            <w:r>
              <w:rPr>
                <w:rFonts w:hint="eastAsia"/>
                <w:color w:val="auto"/>
                <w:kern w:val="2"/>
                <w:szCs w:val="28"/>
                <w:highlight w:val="none"/>
              </w:rPr>
              <w:t>政府采购合同</w:t>
            </w:r>
          </w:p>
          <w:p w14:paraId="2F4D5C4F">
            <w:pPr>
              <w:pStyle w:val="52"/>
              <w:shd w:val="clear"/>
              <w:spacing w:line="480" w:lineRule="exact"/>
              <w:ind w:right="264"/>
              <w:jc w:val="center"/>
              <w:rPr>
                <w:color w:val="auto"/>
                <w:kern w:val="2"/>
                <w:highlight w:val="none"/>
              </w:rPr>
            </w:pPr>
            <w:r>
              <w:rPr>
                <w:rFonts w:hint="eastAsia"/>
                <w:color w:val="auto"/>
                <w:kern w:val="2"/>
                <w:szCs w:val="28"/>
                <w:highlight w:val="none"/>
              </w:rPr>
              <w:t>公告备案</w:t>
            </w:r>
          </w:p>
        </w:tc>
        <w:tc>
          <w:tcPr>
            <w:tcW w:w="6400" w:type="dxa"/>
            <w:tcBorders>
              <w:top w:val="single" w:color="auto" w:sz="4" w:space="0"/>
              <w:bottom w:val="single" w:color="auto" w:sz="4" w:space="0"/>
            </w:tcBorders>
            <w:vAlign w:val="center"/>
          </w:tcPr>
          <w:p w14:paraId="72CEC888">
            <w:pPr>
              <w:pStyle w:val="52"/>
              <w:shd w:val="clear"/>
              <w:spacing w:line="480" w:lineRule="exact"/>
              <w:rPr>
                <w:color w:val="auto"/>
                <w:highlight w:val="none"/>
                <w:lang w:val="zh-CN"/>
              </w:rPr>
            </w:pPr>
            <w:r>
              <w:rPr>
                <w:rFonts w:hint="eastAsia"/>
                <w:color w:val="auto"/>
                <w:highlight w:val="none"/>
                <w:lang w:val="zh-CN"/>
              </w:rPr>
              <w:t>政府采购合同签订之日起2个工作日内，政府采购合同将在四川政府采购网公告；政府采购合同签订之日起</w:t>
            </w:r>
            <w:r>
              <w:rPr>
                <w:rFonts w:hint="eastAsia"/>
                <w:color w:val="auto"/>
                <w:highlight w:val="none"/>
              </w:rPr>
              <w:t>7</w:t>
            </w:r>
            <w:r>
              <w:rPr>
                <w:rFonts w:hint="eastAsia"/>
                <w:color w:val="auto"/>
                <w:highlight w:val="none"/>
                <w:lang w:val="zh-CN"/>
              </w:rPr>
              <w:t>个工作日内，政府采购合同将向本采购项目同级财政部门备案。</w:t>
            </w:r>
          </w:p>
        </w:tc>
      </w:tr>
      <w:tr w14:paraId="632119C2">
        <w:tblPrEx>
          <w:tblBorders>
            <w:top w:val="single" w:color="auto" w:sz="18" w:space="0"/>
            <w:left w:val="single" w:color="auto" w:sz="18" w:space="0"/>
            <w:bottom w:val="single" w:color="auto" w:sz="18" w:space="0"/>
            <w:right w:val="single" w:color="auto" w:sz="18" w:space="0"/>
            <w:insideH w:val="single" w:color="auto" w:sz="8" w:space="0"/>
            <w:insideV w:val="single" w:color="auto" w:sz="8" w:space="0"/>
          </w:tblBorders>
          <w:tblCellMar>
            <w:top w:w="0" w:type="dxa"/>
            <w:left w:w="0" w:type="dxa"/>
            <w:bottom w:w="0" w:type="dxa"/>
            <w:right w:w="0" w:type="dxa"/>
          </w:tblCellMar>
        </w:tblPrEx>
        <w:trPr>
          <w:jc w:val="center"/>
        </w:trPr>
        <w:tc>
          <w:tcPr>
            <w:tcW w:w="671" w:type="dxa"/>
            <w:tcBorders>
              <w:top w:val="single" w:color="auto" w:sz="4" w:space="0"/>
            </w:tcBorders>
            <w:vAlign w:val="center"/>
          </w:tcPr>
          <w:p w14:paraId="6CC34E5A">
            <w:pPr>
              <w:pStyle w:val="52"/>
              <w:shd w:val="clear"/>
              <w:spacing w:line="480" w:lineRule="exact"/>
              <w:ind w:left="9"/>
              <w:jc w:val="center"/>
              <w:rPr>
                <w:color w:val="auto"/>
                <w:kern w:val="2"/>
                <w:szCs w:val="28"/>
                <w:highlight w:val="none"/>
              </w:rPr>
            </w:pPr>
            <w:r>
              <w:rPr>
                <w:rFonts w:hint="eastAsia"/>
                <w:color w:val="auto"/>
                <w:kern w:val="2"/>
                <w:szCs w:val="28"/>
                <w:highlight w:val="none"/>
              </w:rPr>
              <w:t>26</w:t>
            </w:r>
          </w:p>
        </w:tc>
        <w:tc>
          <w:tcPr>
            <w:tcW w:w="2045" w:type="dxa"/>
            <w:tcBorders>
              <w:top w:val="single" w:color="auto" w:sz="4" w:space="0"/>
            </w:tcBorders>
            <w:vAlign w:val="center"/>
          </w:tcPr>
          <w:p w14:paraId="3174C998">
            <w:pPr>
              <w:pStyle w:val="52"/>
              <w:shd w:val="clear"/>
              <w:spacing w:line="480" w:lineRule="exact"/>
              <w:ind w:right="264"/>
              <w:jc w:val="center"/>
              <w:rPr>
                <w:color w:val="auto"/>
                <w:kern w:val="2"/>
                <w:szCs w:val="28"/>
                <w:highlight w:val="none"/>
              </w:rPr>
            </w:pPr>
            <w:r>
              <w:rPr>
                <w:rFonts w:hint="eastAsia"/>
                <w:color w:val="auto"/>
                <w:kern w:val="2"/>
                <w:szCs w:val="28"/>
                <w:highlight w:val="none"/>
              </w:rPr>
              <w:t>其他</w:t>
            </w:r>
          </w:p>
        </w:tc>
        <w:tc>
          <w:tcPr>
            <w:tcW w:w="6400" w:type="dxa"/>
            <w:tcBorders>
              <w:top w:val="single" w:color="auto" w:sz="4" w:space="0"/>
            </w:tcBorders>
            <w:vAlign w:val="center"/>
          </w:tcPr>
          <w:p w14:paraId="74E97EA4">
            <w:pPr>
              <w:pStyle w:val="52"/>
              <w:shd w:val="clear"/>
              <w:spacing w:line="480" w:lineRule="exact"/>
              <w:jc w:val="both"/>
              <w:rPr>
                <w:color w:val="auto"/>
                <w:highlight w:val="none"/>
                <w:lang w:val="zh-CN"/>
              </w:rPr>
            </w:pPr>
            <w:r>
              <w:rPr>
                <w:rFonts w:hint="eastAsia"/>
                <w:color w:val="auto"/>
                <w:highlight w:val="none"/>
                <w:lang w:val="zh-CN"/>
              </w:rPr>
              <w:t>投标人须知附表与招标文件其他描述不一致时，以投标人须知附表为准。</w:t>
            </w:r>
          </w:p>
        </w:tc>
      </w:tr>
    </w:tbl>
    <w:p w14:paraId="499B551D">
      <w:pPr>
        <w:pStyle w:val="4"/>
        <w:shd w:val="clear"/>
        <w:spacing w:line="500" w:lineRule="exact"/>
        <w:jc w:val="center"/>
        <w:rPr>
          <w:rFonts w:ascii="宋体" w:hAnsi="宋体" w:eastAsia="宋体" w:cs="宋体"/>
          <w:bCs w:val="0"/>
          <w:color w:val="auto"/>
          <w:highlight w:val="none"/>
        </w:rPr>
      </w:pPr>
      <w:r>
        <w:rPr>
          <w:rFonts w:hint="eastAsia" w:ascii="宋体" w:hAnsi="宋体" w:eastAsia="宋体" w:cs="宋体"/>
          <w:bCs w:val="0"/>
          <w:color w:val="auto"/>
          <w:highlight w:val="none"/>
        </w:rPr>
        <w:t>二、总  则</w:t>
      </w:r>
    </w:p>
    <w:p w14:paraId="67FD4171">
      <w:pPr>
        <w:pStyle w:val="5"/>
        <w:shd w:val="clear"/>
        <w:spacing w:line="500" w:lineRule="exact"/>
        <w:ind w:firstLine="482" w:firstLineChars="200"/>
        <w:rPr>
          <w:rFonts w:hAnsi="宋体" w:cs="宋体"/>
          <w:color w:val="auto"/>
          <w:sz w:val="24"/>
          <w:highlight w:val="none"/>
        </w:rPr>
      </w:pPr>
      <w:bookmarkStart w:id="7" w:name="_Toc183582205"/>
      <w:bookmarkStart w:id="8" w:name="_Toc183682342"/>
      <w:bookmarkStart w:id="9" w:name="_Toc217446034"/>
      <w:r>
        <w:rPr>
          <w:rFonts w:hint="eastAsia" w:hAnsi="宋体" w:cs="宋体"/>
          <w:color w:val="auto"/>
          <w:sz w:val="24"/>
          <w:highlight w:val="none"/>
        </w:rPr>
        <w:t>1.</w:t>
      </w:r>
      <w:bookmarkEnd w:id="7"/>
      <w:bookmarkEnd w:id="8"/>
      <w:r>
        <w:rPr>
          <w:rFonts w:hint="eastAsia" w:hAnsi="宋体" w:cs="宋体"/>
          <w:color w:val="auto"/>
          <w:sz w:val="24"/>
          <w:szCs w:val="24"/>
          <w:highlight w:val="none"/>
        </w:rPr>
        <w:t>适用范围</w:t>
      </w:r>
      <w:bookmarkEnd w:id="9"/>
    </w:p>
    <w:p w14:paraId="11B133C5">
      <w:pPr>
        <w:shd w:val="clear"/>
        <w:tabs>
          <w:tab w:val="left" w:pos="7665"/>
        </w:tabs>
        <w:spacing w:line="500" w:lineRule="exact"/>
        <w:ind w:firstLine="480" w:firstLineChars="200"/>
        <w:rPr>
          <w:rFonts w:hAnsi="宋体" w:cs="宋体"/>
          <w:color w:val="auto"/>
          <w:sz w:val="24"/>
          <w:highlight w:val="none"/>
        </w:rPr>
      </w:pPr>
      <w:r>
        <w:rPr>
          <w:rFonts w:hint="eastAsia" w:hAnsi="宋体" w:cs="宋体"/>
          <w:color w:val="auto"/>
          <w:sz w:val="24"/>
          <w:highlight w:val="none"/>
        </w:rPr>
        <w:t>1.1 本招标文件仅适用于本次招标采购项目。</w:t>
      </w:r>
    </w:p>
    <w:p w14:paraId="78DCF153">
      <w:pPr>
        <w:pStyle w:val="5"/>
        <w:shd w:val="clear"/>
        <w:spacing w:line="500" w:lineRule="exact"/>
        <w:ind w:firstLine="482" w:firstLineChars="200"/>
        <w:rPr>
          <w:rFonts w:hAnsi="宋体" w:cs="宋体"/>
          <w:color w:val="auto"/>
          <w:sz w:val="24"/>
          <w:highlight w:val="none"/>
        </w:rPr>
      </w:pPr>
      <w:bookmarkStart w:id="10" w:name="_Toc183682343"/>
      <w:bookmarkStart w:id="11" w:name="_Toc183582206"/>
      <w:bookmarkStart w:id="12" w:name="_Toc217446035"/>
      <w:r>
        <w:rPr>
          <w:rFonts w:hint="eastAsia" w:hAnsi="宋体" w:cs="宋体"/>
          <w:color w:val="auto"/>
          <w:sz w:val="24"/>
          <w:highlight w:val="none"/>
        </w:rPr>
        <w:t xml:space="preserve">2. </w:t>
      </w:r>
      <w:bookmarkEnd w:id="10"/>
      <w:bookmarkEnd w:id="11"/>
      <w:r>
        <w:rPr>
          <w:rFonts w:hint="eastAsia" w:hAnsi="宋体" w:cs="宋体"/>
          <w:color w:val="auto"/>
          <w:sz w:val="24"/>
          <w:highlight w:val="none"/>
        </w:rPr>
        <w:t>有关</w:t>
      </w:r>
      <w:r>
        <w:rPr>
          <w:rFonts w:hint="eastAsia" w:hAnsi="宋体" w:cs="宋体"/>
          <w:color w:val="auto"/>
          <w:sz w:val="24"/>
          <w:szCs w:val="24"/>
          <w:highlight w:val="none"/>
        </w:rPr>
        <w:t>定义</w:t>
      </w:r>
      <w:bookmarkEnd w:id="12"/>
    </w:p>
    <w:p w14:paraId="0D2FE968">
      <w:pPr>
        <w:shd w:val="clear"/>
        <w:tabs>
          <w:tab w:val="left" w:pos="7665"/>
        </w:tabs>
        <w:spacing w:line="500" w:lineRule="exact"/>
        <w:ind w:firstLine="480" w:firstLineChars="200"/>
        <w:rPr>
          <w:rFonts w:hAnsi="宋体" w:cs="宋体"/>
          <w:color w:val="auto"/>
          <w:sz w:val="24"/>
          <w:highlight w:val="none"/>
        </w:rPr>
      </w:pPr>
      <w:r>
        <w:rPr>
          <w:rFonts w:hint="eastAsia" w:hAnsi="宋体" w:cs="宋体"/>
          <w:color w:val="auto"/>
          <w:sz w:val="24"/>
          <w:highlight w:val="none"/>
        </w:rPr>
        <w:t>2.1 “采购人”和“甲方”系指依法进行政府采购的国家机关、事业单位、团体组织。本项目的采购人是</w:t>
      </w:r>
      <w:r>
        <w:rPr>
          <w:rFonts w:hint="eastAsia" w:hAnsi="宋体" w:cs="宋体"/>
          <w:color w:val="auto"/>
          <w:sz w:val="24"/>
          <w:highlight w:val="none"/>
          <w:u w:val="single"/>
        </w:rPr>
        <w:t>西南科技大学</w:t>
      </w:r>
      <w:r>
        <w:rPr>
          <w:rFonts w:hint="eastAsia" w:hAnsi="宋体" w:cs="宋体"/>
          <w:color w:val="auto"/>
          <w:sz w:val="24"/>
          <w:highlight w:val="none"/>
        </w:rPr>
        <w:t>。</w:t>
      </w:r>
    </w:p>
    <w:p w14:paraId="6FE08E8B">
      <w:pPr>
        <w:shd w:val="clear"/>
        <w:tabs>
          <w:tab w:val="left" w:pos="7665"/>
        </w:tabs>
        <w:spacing w:line="500" w:lineRule="exact"/>
        <w:ind w:firstLine="480" w:firstLineChars="200"/>
        <w:rPr>
          <w:rFonts w:hAnsi="宋体" w:cs="宋体"/>
          <w:color w:val="auto"/>
          <w:sz w:val="24"/>
          <w:highlight w:val="none"/>
        </w:rPr>
      </w:pPr>
      <w:r>
        <w:rPr>
          <w:rFonts w:hint="eastAsia" w:hAnsi="宋体" w:cs="宋体"/>
          <w:color w:val="auto"/>
          <w:sz w:val="24"/>
          <w:highlight w:val="none"/>
        </w:rPr>
        <w:t>2.2 “采购代理机构” 系指根据采购人的委托依法办理招标事宜的采购机构。本次招标的采购代理机构是</w:t>
      </w:r>
      <w:r>
        <w:rPr>
          <w:rFonts w:hint="eastAsia" w:hAnsi="宋体" w:cs="宋体"/>
          <w:color w:val="auto"/>
          <w:sz w:val="24"/>
          <w:highlight w:val="none"/>
          <w:u w:val="single"/>
        </w:rPr>
        <w:t xml:space="preserve"> 四川标源招标代理有限公司 </w:t>
      </w:r>
      <w:r>
        <w:rPr>
          <w:rFonts w:hint="eastAsia" w:hAnsi="宋体" w:cs="宋体"/>
          <w:color w:val="auto"/>
          <w:sz w:val="24"/>
          <w:highlight w:val="none"/>
        </w:rPr>
        <w:t xml:space="preserve"> 。</w:t>
      </w:r>
    </w:p>
    <w:p w14:paraId="3A693242">
      <w:pPr>
        <w:shd w:val="clear"/>
        <w:tabs>
          <w:tab w:val="left" w:pos="7665"/>
        </w:tabs>
        <w:spacing w:line="500" w:lineRule="exact"/>
        <w:ind w:firstLine="480" w:firstLineChars="200"/>
        <w:rPr>
          <w:rFonts w:hAnsi="宋体" w:cs="宋体"/>
          <w:color w:val="auto"/>
          <w:sz w:val="24"/>
          <w:highlight w:val="none"/>
        </w:rPr>
      </w:pPr>
      <w:r>
        <w:rPr>
          <w:rFonts w:hint="eastAsia" w:hAnsi="宋体" w:cs="宋体"/>
          <w:color w:val="auto"/>
          <w:sz w:val="24"/>
          <w:highlight w:val="none"/>
        </w:rPr>
        <w:t>2.3 “招标采购单位”系指“采购人”和“采购代理机构”的统称。</w:t>
      </w:r>
    </w:p>
    <w:p w14:paraId="061FE7FA">
      <w:pPr>
        <w:shd w:val="clear"/>
        <w:tabs>
          <w:tab w:val="left" w:pos="7665"/>
        </w:tabs>
        <w:spacing w:line="500" w:lineRule="exact"/>
        <w:ind w:firstLine="480" w:firstLineChars="200"/>
        <w:rPr>
          <w:rFonts w:hAnsi="宋体" w:cs="宋体"/>
          <w:color w:val="auto"/>
          <w:sz w:val="24"/>
          <w:highlight w:val="none"/>
        </w:rPr>
      </w:pPr>
      <w:r>
        <w:rPr>
          <w:rFonts w:hint="eastAsia" w:hAnsi="宋体" w:cs="宋体"/>
          <w:color w:val="auto"/>
          <w:sz w:val="24"/>
          <w:highlight w:val="none"/>
        </w:rPr>
        <w:t>2.4 “投标人”系指购买了招标文件拟参加投标和向采购人提供货物及相应服务的投标人。</w:t>
      </w:r>
    </w:p>
    <w:p w14:paraId="1A9990FD">
      <w:pPr>
        <w:shd w:val="clear"/>
        <w:tabs>
          <w:tab w:val="left" w:pos="7665"/>
        </w:tabs>
        <w:spacing w:line="500" w:lineRule="exact"/>
        <w:ind w:firstLine="480" w:firstLineChars="200"/>
        <w:rPr>
          <w:rFonts w:hAnsi="宋体" w:cs="宋体"/>
          <w:color w:val="auto"/>
          <w:sz w:val="24"/>
          <w:szCs w:val="22"/>
          <w:highlight w:val="none"/>
        </w:rPr>
      </w:pPr>
      <w:r>
        <w:rPr>
          <w:rFonts w:hint="eastAsia" w:hAnsi="宋体" w:cs="宋体"/>
          <w:color w:val="auto"/>
          <w:sz w:val="24"/>
          <w:szCs w:val="22"/>
          <w:highlight w:val="none"/>
        </w:rPr>
        <w:t>2.5本招标文件按日计算期间的，开始当天不计入，从次日开始计算。期限的最后一日是国家法定节假日的，顺延到节假日后的次日为期限的最后一日。</w:t>
      </w:r>
    </w:p>
    <w:p w14:paraId="6A16F1FA">
      <w:pPr>
        <w:shd w:val="clear"/>
        <w:tabs>
          <w:tab w:val="left" w:pos="7665"/>
        </w:tabs>
        <w:spacing w:line="500" w:lineRule="exact"/>
        <w:ind w:firstLine="480" w:firstLineChars="200"/>
        <w:rPr>
          <w:rFonts w:hAnsi="宋体" w:cs="宋体"/>
          <w:color w:val="auto"/>
          <w:sz w:val="24"/>
          <w:szCs w:val="22"/>
          <w:highlight w:val="none"/>
        </w:rPr>
      </w:pPr>
      <w:r>
        <w:rPr>
          <w:rFonts w:hint="eastAsia" w:hAnsi="宋体" w:cs="宋体"/>
          <w:color w:val="auto"/>
          <w:sz w:val="24"/>
          <w:szCs w:val="22"/>
          <w:highlight w:val="none"/>
        </w:rPr>
        <w:t>2.6本招标文件所称“投标文件”系指投标人响应招标文件要求提供的所有文件资料，为</w:t>
      </w:r>
      <w:r>
        <w:rPr>
          <w:rFonts w:hint="eastAsia" w:hAnsi="宋体" w:cs="宋体"/>
          <w:color w:val="auto"/>
          <w:sz w:val="24"/>
          <w:highlight w:val="none"/>
        </w:rPr>
        <w:t>资格性投标文件及其他投标文件的统称。</w:t>
      </w:r>
    </w:p>
    <w:p w14:paraId="099AB3A7">
      <w:pPr>
        <w:pStyle w:val="5"/>
        <w:shd w:val="clear"/>
        <w:spacing w:line="500" w:lineRule="exact"/>
        <w:ind w:firstLine="482" w:firstLineChars="200"/>
        <w:rPr>
          <w:rFonts w:hAnsi="宋体" w:cs="宋体"/>
          <w:color w:val="auto"/>
          <w:sz w:val="24"/>
          <w:highlight w:val="none"/>
        </w:rPr>
      </w:pPr>
      <w:bookmarkStart w:id="13" w:name="_Toc183582207"/>
      <w:bookmarkStart w:id="14" w:name="_Toc183682344"/>
      <w:bookmarkStart w:id="15" w:name="_Toc217390843"/>
      <w:bookmarkStart w:id="16" w:name="_Toc217446036"/>
      <w:r>
        <w:rPr>
          <w:rFonts w:hint="eastAsia" w:hAnsi="宋体" w:cs="宋体"/>
          <w:color w:val="auto"/>
          <w:sz w:val="24"/>
          <w:highlight w:val="none"/>
        </w:rPr>
        <w:t>3. 合格的投标人</w:t>
      </w:r>
      <w:bookmarkEnd w:id="13"/>
      <w:bookmarkEnd w:id="14"/>
      <w:bookmarkEnd w:id="15"/>
      <w:bookmarkEnd w:id="16"/>
      <w:r>
        <w:rPr>
          <w:rFonts w:hint="eastAsia" w:hAnsi="宋体" w:cs="宋体"/>
          <w:color w:val="auto"/>
          <w:sz w:val="24"/>
          <w:szCs w:val="24"/>
          <w:highlight w:val="none"/>
        </w:rPr>
        <w:t>（实质性要求）</w:t>
      </w:r>
    </w:p>
    <w:p w14:paraId="17C0BBE4">
      <w:pPr>
        <w:shd w:val="clear"/>
        <w:tabs>
          <w:tab w:val="left" w:pos="7665"/>
        </w:tabs>
        <w:spacing w:line="500" w:lineRule="exact"/>
        <w:ind w:firstLine="480" w:firstLineChars="200"/>
        <w:rPr>
          <w:rFonts w:hAnsi="宋体" w:cs="宋体"/>
          <w:color w:val="auto"/>
          <w:sz w:val="24"/>
          <w:highlight w:val="none"/>
        </w:rPr>
      </w:pPr>
      <w:r>
        <w:rPr>
          <w:rFonts w:hint="eastAsia" w:hAnsi="宋体" w:cs="宋体"/>
          <w:color w:val="auto"/>
          <w:sz w:val="24"/>
          <w:highlight w:val="none"/>
        </w:rPr>
        <w:t>合格的投标人应具备以下条件：</w:t>
      </w:r>
    </w:p>
    <w:p w14:paraId="422C6843">
      <w:pPr>
        <w:shd w:val="clear"/>
        <w:tabs>
          <w:tab w:val="left" w:pos="7665"/>
        </w:tabs>
        <w:spacing w:line="500" w:lineRule="exact"/>
        <w:ind w:firstLine="480" w:firstLineChars="200"/>
        <w:rPr>
          <w:rFonts w:hAnsi="宋体" w:cs="宋体"/>
          <w:color w:val="auto"/>
          <w:sz w:val="24"/>
          <w:highlight w:val="none"/>
        </w:rPr>
      </w:pPr>
      <w:r>
        <w:rPr>
          <w:rFonts w:hint="eastAsia" w:hAnsi="宋体" w:cs="宋体"/>
          <w:color w:val="auto"/>
          <w:sz w:val="24"/>
          <w:highlight w:val="none"/>
        </w:rPr>
        <w:t>（1）本招标文件规定的投标人资格条件；</w:t>
      </w:r>
    </w:p>
    <w:p w14:paraId="433F7A2C">
      <w:pPr>
        <w:shd w:val="clear"/>
        <w:tabs>
          <w:tab w:val="left" w:pos="7665"/>
        </w:tabs>
        <w:spacing w:line="500" w:lineRule="exact"/>
        <w:ind w:firstLine="480" w:firstLineChars="200"/>
        <w:rPr>
          <w:rFonts w:hAnsi="宋体" w:cs="宋体"/>
          <w:color w:val="auto"/>
          <w:sz w:val="24"/>
          <w:highlight w:val="none"/>
        </w:rPr>
      </w:pPr>
      <w:r>
        <w:rPr>
          <w:rFonts w:hint="eastAsia" w:hAnsi="宋体" w:cs="宋体"/>
          <w:color w:val="auto"/>
          <w:sz w:val="24"/>
          <w:highlight w:val="none"/>
        </w:rPr>
        <w:t>（2）遵守国家有关的法律、法规、规章和其他政策制度；</w:t>
      </w:r>
    </w:p>
    <w:p w14:paraId="2FD390A7">
      <w:pPr>
        <w:shd w:val="clear"/>
        <w:tabs>
          <w:tab w:val="left" w:pos="7665"/>
        </w:tabs>
        <w:spacing w:line="500" w:lineRule="exact"/>
        <w:ind w:firstLine="480" w:firstLineChars="200"/>
        <w:rPr>
          <w:rFonts w:hAnsi="宋体" w:cs="宋体"/>
          <w:color w:val="auto"/>
          <w:sz w:val="24"/>
          <w:highlight w:val="none"/>
        </w:rPr>
      </w:pPr>
      <w:r>
        <w:rPr>
          <w:rFonts w:hint="eastAsia" w:hAnsi="宋体" w:cs="宋体"/>
          <w:color w:val="auto"/>
          <w:sz w:val="24"/>
          <w:highlight w:val="none"/>
        </w:rPr>
        <w:t>（3）向采购代理机构购买了招标文件。</w:t>
      </w:r>
    </w:p>
    <w:p w14:paraId="491B6FD8">
      <w:pPr>
        <w:pStyle w:val="5"/>
        <w:shd w:val="clear"/>
        <w:spacing w:line="500" w:lineRule="exact"/>
        <w:ind w:firstLine="482" w:firstLineChars="200"/>
        <w:rPr>
          <w:rFonts w:hAnsi="宋体" w:cs="宋体"/>
          <w:color w:val="auto"/>
          <w:sz w:val="24"/>
          <w:highlight w:val="none"/>
        </w:rPr>
      </w:pPr>
      <w:bookmarkStart w:id="17" w:name="_Toc183582208"/>
      <w:bookmarkStart w:id="18" w:name="_Toc183682345"/>
      <w:bookmarkStart w:id="19" w:name="_Toc217446037"/>
      <w:r>
        <w:rPr>
          <w:rFonts w:hint="eastAsia" w:hAnsi="宋体" w:cs="宋体"/>
          <w:color w:val="auto"/>
          <w:sz w:val="24"/>
          <w:highlight w:val="none"/>
        </w:rPr>
        <w:t>4. 投标费用</w:t>
      </w:r>
      <w:bookmarkEnd w:id="17"/>
      <w:bookmarkEnd w:id="18"/>
      <w:bookmarkEnd w:id="19"/>
      <w:r>
        <w:rPr>
          <w:rFonts w:hint="eastAsia" w:hAnsi="宋体" w:cs="宋体"/>
          <w:color w:val="auto"/>
          <w:sz w:val="24"/>
          <w:szCs w:val="24"/>
          <w:highlight w:val="none"/>
        </w:rPr>
        <w:t>（实质性要求）</w:t>
      </w:r>
    </w:p>
    <w:p w14:paraId="0436449E">
      <w:pPr>
        <w:shd w:val="clear"/>
        <w:tabs>
          <w:tab w:val="left" w:pos="7665"/>
        </w:tabs>
        <w:spacing w:line="500" w:lineRule="exact"/>
        <w:ind w:firstLine="480"/>
        <w:rPr>
          <w:rFonts w:hAnsi="宋体" w:cs="宋体"/>
          <w:color w:val="auto"/>
          <w:sz w:val="24"/>
          <w:highlight w:val="none"/>
        </w:rPr>
      </w:pPr>
      <w:r>
        <w:rPr>
          <w:rFonts w:hint="eastAsia" w:hAnsi="宋体" w:cs="宋体"/>
          <w:color w:val="auto"/>
          <w:sz w:val="24"/>
          <w:highlight w:val="none"/>
        </w:rPr>
        <w:t>投标人参加投标的有关费用由投标人自行承担。</w:t>
      </w:r>
    </w:p>
    <w:p w14:paraId="3B012B0B">
      <w:pPr>
        <w:pStyle w:val="5"/>
        <w:shd w:val="clear"/>
        <w:spacing w:line="500" w:lineRule="exact"/>
        <w:ind w:firstLine="482" w:firstLineChars="200"/>
        <w:rPr>
          <w:rFonts w:hAnsi="宋体" w:cs="宋体"/>
          <w:color w:val="auto"/>
          <w:sz w:val="24"/>
          <w:highlight w:val="none"/>
        </w:rPr>
      </w:pPr>
      <w:r>
        <w:rPr>
          <w:rFonts w:hint="eastAsia" w:hAnsi="宋体" w:cs="宋体"/>
          <w:color w:val="auto"/>
          <w:sz w:val="24"/>
          <w:highlight w:val="none"/>
        </w:rPr>
        <w:t>5. 充分、公平竞争保障措施</w:t>
      </w:r>
      <w:r>
        <w:rPr>
          <w:rFonts w:hint="eastAsia" w:hAnsi="宋体" w:cs="宋体"/>
          <w:color w:val="auto"/>
          <w:sz w:val="24"/>
          <w:szCs w:val="24"/>
          <w:highlight w:val="none"/>
        </w:rPr>
        <w:t>（实质性要求）</w:t>
      </w:r>
    </w:p>
    <w:p w14:paraId="7D1EC9E4">
      <w:pPr>
        <w:pStyle w:val="51"/>
        <w:shd w:val="clear"/>
        <w:spacing w:line="460" w:lineRule="exact"/>
        <w:ind w:left="1" w:firstLine="482"/>
        <w:rPr>
          <w:rFonts w:hAnsi="宋体" w:cs="宋体"/>
          <w:b/>
          <w:color w:val="auto"/>
          <w:sz w:val="24"/>
          <w:szCs w:val="24"/>
          <w:highlight w:val="none"/>
        </w:rPr>
      </w:pPr>
      <w:r>
        <w:rPr>
          <w:rFonts w:hint="eastAsia" w:hAnsi="宋体" w:cs="宋体"/>
          <w:b/>
          <w:color w:val="auto"/>
          <w:sz w:val="24"/>
          <w:highlight w:val="none"/>
        </w:rPr>
        <w:t>5.1 提供相同品牌产品处理</w:t>
      </w:r>
      <w:r>
        <w:rPr>
          <w:rFonts w:hint="eastAsia" w:hAnsi="宋体" w:cs="宋体"/>
          <w:b/>
          <w:color w:val="auto"/>
          <w:sz w:val="24"/>
          <w:szCs w:val="24"/>
          <w:highlight w:val="none"/>
        </w:rPr>
        <w:t>。</w:t>
      </w:r>
    </w:p>
    <w:p w14:paraId="19FF8D84">
      <w:pPr>
        <w:pStyle w:val="51"/>
        <w:shd w:val="clear"/>
        <w:spacing w:line="460" w:lineRule="exact"/>
        <w:ind w:left="1" w:firstLine="482"/>
        <w:rPr>
          <w:rFonts w:hAnsi="宋体" w:cs="宋体"/>
          <w:bCs/>
          <w:color w:val="auto"/>
          <w:sz w:val="24"/>
          <w:szCs w:val="24"/>
          <w:highlight w:val="none"/>
        </w:rPr>
      </w:pPr>
      <w:r>
        <w:rPr>
          <w:rFonts w:hint="eastAsia" w:hAnsi="宋体" w:cs="宋体"/>
          <w:b/>
          <w:color w:val="auto"/>
          <w:sz w:val="24"/>
          <w:szCs w:val="24"/>
          <w:highlight w:val="none"/>
        </w:rPr>
        <w:t xml:space="preserve">5.1.1 </w:t>
      </w:r>
      <w:r>
        <w:rPr>
          <w:rFonts w:hint="eastAsia" w:hAnsi="宋体" w:cs="宋体"/>
          <w:bCs/>
          <w:color w:val="auto"/>
          <w:sz w:val="24"/>
          <w:szCs w:val="24"/>
          <w:highlight w:val="none"/>
        </w:rPr>
        <w:t>提供相同品牌产品且通过资格审查、符合性审查的不同投标人参加同一合同项下投标的，按一家投标人计算，评审后得分最高的同品牌投标人获得中标人推荐资格；评审得分相同的，由采购人或者采购人委托评标委员会按照招标文件规定的方式确定一个投标人获得中标人推荐资格，招标文件未规定的采取随机抽取方式确定，其他同品牌投标人不作为中标候选人。</w:t>
      </w:r>
    </w:p>
    <w:p w14:paraId="6A20EA26">
      <w:pPr>
        <w:pStyle w:val="51"/>
        <w:shd w:val="clear"/>
        <w:spacing w:line="460" w:lineRule="exact"/>
        <w:ind w:left="1" w:firstLine="480"/>
        <w:rPr>
          <w:rFonts w:hAnsi="宋体" w:cs="宋体"/>
          <w:b/>
          <w:color w:val="auto"/>
          <w:sz w:val="24"/>
          <w:szCs w:val="24"/>
          <w:highlight w:val="none"/>
        </w:rPr>
      </w:pPr>
      <w:r>
        <w:rPr>
          <w:rFonts w:hint="eastAsia" w:hAnsi="宋体" w:cs="宋体"/>
          <w:bCs/>
          <w:color w:val="auto"/>
          <w:sz w:val="24"/>
          <w:szCs w:val="24"/>
          <w:highlight w:val="none"/>
        </w:rPr>
        <w:t>非单一产品采购项目中，采购人根据采购项目技术构成、产品价格比重等合理确定核心产品，并在招标文件中载明。多家投标人提供的任一核心产品品牌相同的，视为提供相同品牌产品。</w:t>
      </w:r>
      <w:r>
        <w:rPr>
          <w:rFonts w:hint="eastAsia" w:hAnsi="宋体" w:cs="宋体"/>
          <w:b/>
          <w:color w:val="auto"/>
          <w:sz w:val="24"/>
          <w:szCs w:val="24"/>
          <w:highlight w:val="none"/>
        </w:rPr>
        <w:t>本项目核心产品为：LED平板柔光灯。</w:t>
      </w:r>
    </w:p>
    <w:p w14:paraId="3F0CF01A">
      <w:pPr>
        <w:pStyle w:val="51"/>
        <w:shd w:val="clear"/>
        <w:spacing w:line="460" w:lineRule="exact"/>
        <w:ind w:left="1" w:firstLine="480"/>
        <w:rPr>
          <w:rFonts w:hAnsi="宋体" w:cs="宋体"/>
          <w:bCs/>
          <w:color w:val="auto"/>
          <w:sz w:val="24"/>
          <w:szCs w:val="24"/>
          <w:highlight w:val="none"/>
        </w:rPr>
      </w:pPr>
      <w:r>
        <w:rPr>
          <w:rFonts w:hint="eastAsia" w:hAnsi="宋体" w:cs="宋体"/>
          <w:bCs/>
          <w:color w:val="auto"/>
          <w:sz w:val="24"/>
          <w:szCs w:val="24"/>
          <w:highlight w:val="none"/>
        </w:rPr>
        <w:t>5.1.2利害关系投标人处理—禁止投标情形。</w:t>
      </w:r>
    </w:p>
    <w:p w14:paraId="70C0E7E9">
      <w:pPr>
        <w:pStyle w:val="51"/>
        <w:shd w:val="clear"/>
        <w:spacing w:line="460" w:lineRule="exact"/>
        <w:ind w:left="1" w:firstLine="480"/>
        <w:rPr>
          <w:rFonts w:hAnsi="宋体" w:cs="宋体"/>
          <w:bCs/>
          <w:color w:val="auto"/>
          <w:sz w:val="24"/>
          <w:szCs w:val="24"/>
          <w:highlight w:val="none"/>
        </w:rPr>
      </w:pPr>
      <w:r>
        <w:rPr>
          <w:rFonts w:hint="eastAsia" w:hAnsi="宋体" w:cs="宋体"/>
          <w:bCs/>
          <w:color w:val="auto"/>
          <w:sz w:val="24"/>
          <w:szCs w:val="24"/>
          <w:highlight w:val="none"/>
        </w:rPr>
        <w:t>单位负责人为同一人或者存在直接控股、管理关系的不同投标人不得参加同一合同项下的政府采购活动。</w:t>
      </w:r>
    </w:p>
    <w:p w14:paraId="5CE46D01">
      <w:pPr>
        <w:pStyle w:val="51"/>
        <w:shd w:val="clear"/>
        <w:spacing w:line="460" w:lineRule="exact"/>
        <w:ind w:left="1" w:firstLine="480"/>
        <w:rPr>
          <w:rFonts w:hAnsi="宋体" w:cs="宋体"/>
          <w:bCs/>
          <w:color w:val="auto"/>
          <w:sz w:val="24"/>
          <w:szCs w:val="24"/>
          <w:highlight w:val="none"/>
        </w:rPr>
      </w:pPr>
      <w:r>
        <w:rPr>
          <w:rFonts w:hint="eastAsia" w:hAnsi="宋体" w:cs="宋体"/>
          <w:bCs/>
          <w:color w:val="auto"/>
          <w:sz w:val="24"/>
          <w:szCs w:val="24"/>
          <w:highlight w:val="none"/>
        </w:rPr>
        <w:t>5.1.3前期参与投标人处理—禁止投标情形。</w:t>
      </w:r>
    </w:p>
    <w:p w14:paraId="7A5F97E1">
      <w:pPr>
        <w:pStyle w:val="51"/>
        <w:shd w:val="clear"/>
        <w:spacing w:line="460" w:lineRule="exact"/>
        <w:ind w:left="1" w:firstLine="480"/>
        <w:rPr>
          <w:rFonts w:hAnsi="宋体" w:cs="宋体"/>
          <w:bCs/>
          <w:color w:val="auto"/>
          <w:sz w:val="24"/>
          <w:szCs w:val="24"/>
          <w:highlight w:val="none"/>
        </w:rPr>
      </w:pPr>
      <w:r>
        <w:rPr>
          <w:rFonts w:hint="eastAsia" w:hAnsi="宋体" w:cs="宋体"/>
          <w:bCs/>
          <w:color w:val="auto"/>
          <w:sz w:val="24"/>
          <w:szCs w:val="24"/>
          <w:highlight w:val="none"/>
        </w:rPr>
        <w:t>为采购项目提供整体设计、规范编制或者项目管理、监理、检测等服务的投标人，不得再参加该采购项目的其他采购活动。投标人为采购人、采购代理机构在确定采购需求、编制招标文件过程中提供咨询论证，其提供的咨询论证意见成为招标文件中规定的投标人资格条件、技术服务商务要求、评标因素和标准、政府采购合同等实质性内容条款的，视同为采购项目提供规范编制。</w:t>
      </w:r>
    </w:p>
    <w:p w14:paraId="64B35BAB">
      <w:pPr>
        <w:pStyle w:val="51"/>
        <w:shd w:val="clear"/>
        <w:spacing w:line="460" w:lineRule="exact"/>
        <w:ind w:left="1" w:firstLine="480"/>
        <w:rPr>
          <w:rFonts w:hAnsi="宋体" w:cs="宋体"/>
          <w:bCs/>
          <w:color w:val="auto"/>
          <w:sz w:val="24"/>
          <w:szCs w:val="24"/>
          <w:highlight w:val="none"/>
        </w:rPr>
      </w:pPr>
      <w:r>
        <w:rPr>
          <w:rFonts w:hint="eastAsia" w:hAnsi="宋体" w:cs="宋体"/>
          <w:bCs/>
          <w:color w:val="auto"/>
          <w:sz w:val="24"/>
          <w:szCs w:val="24"/>
          <w:highlight w:val="none"/>
        </w:rPr>
        <w:t>5.1.4利害关系代理人处理—禁止投标情形。</w:t>
      </w:r>
    </w:p>
    <w:p w14:paraId="0FC66E29">
      <w:pPr>
        <w:pStyle w:val="51"/>
        <w:shd w:val="clear"/>
        <w:spacing w:line="460" w:lineRule="exact"/>
        <w:ind w:left="1" w:firstLine="480"/>
        <w:rPr>
          <w:rFonts w:hAnsi="宋体" w:cs="宋体"/>
          <w:bCs/>
          <w:color w:val="auto"/>
          <w:sz w:val="24"/>
          <w:szCs w:val="24"/>
          <w:highlight w:val="none"/>
        </w:rPr>
      </w:pPr>
      <w:r>
        <w:rPr>
          <w:rFonts w:hint="eastAsia" w:hAnsi="宋体" w:cs="宋体"/>
          <w:bCs/>
          <w:color w:val="auto"/>
          <w:sz w:val="24"/>
          <w:szCs w:val="24"/>
          <w:highlight w:val="none"/>
        </w:rPr>
        <w:t>2家以上的投标人不得在同一合同项下的采购项目中，同时委托同一个自然人、同一家庭的人员、同一单位的人员作为其代理人，否则，其投标文件作为无效处理。</w:t>
      </w:r>
    </w:p>
    <w:p w14:paraId="514343FE">
      <w:pPr>
        <w:pStyle w:val="4"/>
        <w:shd w:val="clear"/>
        <w:spacing w:line="500" w:lineRule="exact"/>
        <w:jc w:val="center"/>
        <w:rPr>
          <w:rFonts w:ascii="宋体" w:hAnsi="宋体" w:eastAsia="宋体" w:cs="宋体"/>
          <w:bCs w:val="0"/>
          <w:color w:val="auto"/>
          <w:highlight w:val="none"/>
        </w:rPr>
      </w:pPr>
      <w:bookmarkStart w:id="20" w:name="_Toc77400779"/>
      <w:bookmarkStart w:id="21" w:name="_Toc217446038"/>
      <w:bookmarkStart w:id="22" w:name="_Toc183582209"/>
      <w:bookmarkStart w:id="23" w:name="_Toc89075875"/>
      <w:bookmarkStart w:id="24" w:name="_Toc183682346"/>
      <w:r>
        <w:rPr>
          <w:rFonts w:hint="eastAsia" w:ascii="宋体" w:hAnsi="宋体" w:eastAsia="宋体" w:cs="宋体"/>
          <w:bCs w:val="0"/>
          <w:color w:val="auto"/>
          <w:highlight w:val="none"/>
        </w:rPr>
        <w:t>三、招标文件</w:t>
      </w:r>
      <w:bookmarkEnd w:id="20"/>
      <w:bookmarkEnd w:id="21"/>
      <w:bookmarkEnd w:id="22"/>
      <w:bookmarkEnd w:id="23"/>
      <w:bookmarkEnd w:id="24"/>
    </w:p>
    <w:p w14:paraId="751DAAED">
      <w:pPr>
        <w:pStyle w:val="5"/>
        <w:shd w:val="clear"/>
        <w:spacing w:line="500" w:lineRule="exact"/>
        <w:ind w:firstLine="482" w:firstLineChars="200"/>
        <w:rPr>
          <w:rFonts w:hAnsi="宋体" w:cs="宋体"/>
          <w:color w:val="auto"/>
          <w:sz w:val="24"/>
          <w:highlight w:val="none"/>
        </w:rPr>
      </w:pPr>
      <w:bookmarkStart w:id="25" w:name="_Toc183582210"/>
      <w:bookmarkStart w:id="26" w:name="_Toc183682347"/>
      <w:bookmarkStart w:id="27" w:name="_Toc217446039"/>
      <w:r>
        <w:rPr>
          <w:rFonts w:hint="eastAsia" w:hAnsi="宋体" w:cs="宋体"/>
          <w:color w:val="auto"/>
          <w:sz w:val="24"/>
          <w:highlight w:val="none"/>
        </w:rPr>
        <w:t>6．招标文件的构成</w:t>
      </w:r>
      <w:bookmarkEnd w:id="25"/>
      <w:bookmarkEnd w:id="26"/>
      <w:bookmarkEnd w:id="27"/>
    </w:p>
    <w:p w14:paraId="6C774B73">
      <w:pPr>
        <w:shd w:val="clear"/>
        <w:tabs>
          <w:tab w:val="left" w:pos="7665"/>
        </w:tabs>
        <w:spacing w:line="500" w:lineRule="exact"/>
        <w:rPr>
          <w:rFonts w:hAnsi="宋体" w:cs="宋体"/>
          <w:color w:val="auto"/>
          <w:sz w:val="24"/>
          <w:highlight w:val="none"/>
        </w:rPr>
      </w:pPr>
      <w:r>
        <w:rPr>
          <w:rFonts w:hint="eastAsia" w:hAnsi="宋体" w:cs="宋体"/>
          <w:color w:val="auto"/>
          <w:sz w:val="24"/>
          <w:highlight w:val="none"/>
        </w:rPr>
        <w:t xml:space="preserve">   招标文件是投标人准备投标文件和参加投标的依据，同时也是评标的重要依据，具有准法律文件性质。招标文件用以阐明招标项目所需的资质、技术、服务及报价等要求、招标投标程序、有关规定和注意事项以及合同主要条款等。本招标文件包括以下内容：</w:t>
      </w:r>
    </w:p>
    <w:p w14:paraId="2F7E9706">
      <w:pPr>
        <w:shd w:val="clear"/>
        <w:tabs>
          <w:tab w:val="left" w:pos="720"/>
        </w:tabs>
        <w:spacing w:line="500" w:lineRule="exact"/>
        <w:ind w:firstLine="480" w:firstLineChars="200"/>
        <w:rPr>
          <w:rFonts w:hAnsi="宋体" w:cs="宋体"/>
          <w:color w:val="auto"/>
          <w:sz w:val="24"/>
          <w:highlight w:val="none"/>
        </w:rPr>
      </w:pPr>
      <w:r>
        <w:rPr>
          <w:rFonts w:hint="eastAsia" w:hAnsi="宋体" w:cs="宋体"/>
          <w:color w:val="auto"/>
          <w:sz w:val="24"/>
          <w:highlight w:val="none"/>
        </w:rPr>
        <w:t>（一）投标邀请；</w:t>
      </w:r>
    </w:p>
    <w:p w14:paraId="5A544F50">
      <w:pPr>
        <w:shd w:val="clear"/>
        <w:tabs>
          <w:tab w:val="left" w:pos="720"/>
        </w:tabs>
        <w:spacing w:line="500" w:lineRule="exact"/>
        <w:ind w:firstLine="480" w:firstLineChars="200"/>
        <w:rPr>
          <w:rFonts w:hAnsi="宋体" w:cs="宋体"/>
          <w:color w:val="auto"/>
          <w:sz w:val="24"/>
          <w:highlight w:val="none"/>
        </w:rPr>
      </w:pPr>
      <w:r>
        <w:rPr>
          <w:rFonts w:hint="eastAsia" w:hAnsi="宋体" w:cs="宋体"/>
          <w:color w:val="auto"/>
          <w:sz w:val="24"/>
          <w:highlight w:val="none"/>
        </w:rPr>
        <w:t>（二）投标人须知；</w:t>
      </w:r>
    </w:p>
    <w:p w14:paraId="779C750C">
      <w:pPr>
        <w:shd w:val="clear"/>
        <w:tabs>
          <w:tab w:val="left" w:pos="720"/>
        </w:tabs>
        <w:spacing w:line="500" w:lineRule="exact"/>
        <w:ind w:firstLine="480" w:firstLineChars="200"/>
        <w:rPr>
          <w:rFonts w:hAnsi="宋体" w:cs="宋体"/>
          <w:color w:val="auto"/>
          <w:sz w:val="24"/>
          <w:highlight w:val="none"/>
        </w:rPr>
      </w:pPr>
      <w:r>
        <w:rPr>
          <w:rFonts w:hint="eastAsia" w:hAnsi="宋体" w:cs="宋体"/>
          <w:color w:val="auto"/>
          <w:sz w:val="24"/>
          <w:highlight w:val="none"/>
        </w:rPr>
        <w:t>（三）投标文件格式；</w:t>
      </w:r>
    </w:p>
    <w:p w14:paraId="2F828F49">
      <w:pPr>
        <w:shd w:val="clear"/>
        <w:tabs>
          <w:tab w:val="left" w:pos="720"/>
        </w:tabs>
        <w:spacing w:line="500" w:lineRule="exact"/>
        <w:ind w:firstLine="480" w:firstLineChars="200"/>
        <w:rPr>
          <w:rFonts w:hAnsi="宋体" w:cs="宋体"/>
          <w:color w:val="auto"/>
          <w:sz w:val="24"/>
          <w:highlight w:val="none"/>
        </w:rPr>
      </w:pPr>
      <w:r>
        <w:rPr>
          <w:rFonts w:hint="eastAsia" w:hAnsi="宋体" w:cs="宋体"/>
          <w:color w:val="auto"/>
          <w:sz w:val="24"/>
          <w:highlight w:val="none"/>
        </w:rPr>
        <w:t>（四）投标人和投标产品的资格、资质性及其他类似效力要求；</w:t>
      </w:r>
    </w:p>
    <w:p w14:paraId="261B7473">
      <w:pPr>
        <w:shd w:val="clear"/>
        <w:tabs>
          <w:tab w:val="left" w:pos="720"/>
        </w:tabs>
        <w:spacing w:line="500" w:lineRule="exact"/>
        <w:ind w:firstLine="480" w:firstLineChars="200"/>
        <w:rPr>
          <w:rFonts w:hAnsi="宋体" w:cs="宋体"/>
          <w:color w:val="auto"/>
          <w:sz w:val="24"/>
          <w:highlight w:val="none"/>
        </w:rPr>
      </w:pPr>
      <w:r>
        <w:rPr>
          <w:rFonts w:hint="eastAsia" w:hAnsi="宋体" w:cs="宋体"/>
          <w:color w:val="auto"/>
          <w:sz w:val="24"/>
          <w:highlight w:val="none"/>
        </w:rPr>
        <w:t>（五）投标人应当提供的资格、资质性及其他类似效力要求的相关证明材料；</w:t>
      </w:r>
    </w:p>
    <w:p w14:paraId="2661C7C3">
      <w:pPr>
        <w:shd w:val="clear"/>
        <w:tabs>
          <w:tab w:val="left" w:pos="720"/>
        </w:tabs>
        <w:spacing w:line="500" w:lineRule="exact"/>
        <w:ind w:firstLine="480" w:firstLineChars="200"/>
        <w:rPr>
          <w:rFonts w:hAnsi="宋体" w:cs="宋体"/>
          <w:color w:val="auto"/>
          <w:sz w:val="24"/>
          <w:highlight w:val="none"/>
        </w:rPr>
      </w:pPr>
      <w:r>
        <w:rPr>
          <w:rFonts w:hint="eastAsia" w:hAnsi="宋体" w:cs="宋体"/>
          <w:color w:val="auto"/>
          <w:sz w:val="24"/>
          <w:highlight w:val="none"/>
        </w:rPr>
        <w:t>（六）招标项目技术、服务及其他商务要求；</w:t>
      </w:r>
    </w:p>
    <w:p w14:paraId="550D6B22">
      <w:pPr>
        <w:shd w:val="clear"/>
        <w:tabs>
          <w:tab w:val="left" w:pos="720"/>
        </w:tabs>
        <w:spacing w:line="500" w:lineRule="exact"/>
        <w:ind w:firstLine="480" w:firstLineChars="200"/>
        <w:rPr>
          <w:rFonts w:hAnsi="宋体" w:cs="宋体"/>
          <w:color w:val="auto"/>
          <w:sz w:val="24"/>
          <w:highlight w:val="none"/>
        </w:rPr>
      </w:pPr>
      <w:r>
        <w:rPr>
          <w:rFonts w:hint="eastAsia" w:hAnsi="宋体" w:cs="宋体"/>
          <w:color w:val="auto"/>
          <w:sz w:val="24"/>
          <w:highlight w:val="none"/>
        </w:rPr>
        <w:t>（七）评标办法；</w:t>
      </w:r>
    </w:p>
    <w:p w14:paraId="554F89F7">
      <w:pPr>
        <w:shd w:val="clear"/>
        <w:tabs>
          <w:tab w:val="left" w:pos="720"/>
        </w:tabs>
        <w:spacing w:line="500" w:lineRule="exact"/>
        <w:ind w:firstLine="480" w:firstLineChars="200"/>
        <w:rPr>
          <w:rFonts w:hAnsi="宋体" w:cs="宋体"/>
          <w:color w:val="auto"/>
          <w:sz w:val="24"/>
          <w:highlight w:val="none"/>
        </w:rPr>
      </w:pPr>
      <w:r>
        <w:rPr>
          <w:rFonts w:hint="eastAsia" w:hAnsi="宋体" w:cs="宋体"/>
          <w:color w:val="auto"/>
          <w:sz w:val="24"/>
          <w:highlight w:val="none"/>
        </w:rPr>
        <w:t>（八）政府采购合同（样例）。</w:t>
      </w:r>
    </w:p>
    <w:p w14:paraId="41BB51DB">
      <w:pPr>
        <w:pStyle w:val="5"/>
        <w:shd w:val="clear"/>
        <w:spacing w:line="500" w:lineRule="exact"/>
        <w:ind w:firstLine="482" w:firstLineChars="200"/>
        <w:rPr>
          <w:rFonts w:hAnsi="宋体" w:cs="宋体"/>
          <w:color w:val="auto"/>
          <w:sz w:val="24"/>
          <w:highlight w:val="none"/>
        </w:rPr>
      </w:pPr>
      <w:bookmarkStart w:id="28" w:name="_Toc183582211"/>
      <w:bookmarkStart w:id="29" w:name="_Toc183682348"/>
      <w:bookmarkStart w:id="30" w:name="_Toc217446040"/>
      <w:r>
        <w:rPr>
          <w:rFonts w:hint="eastAsia" w:hAnsi="宋体" w:cs="宋体"/>
          <w:color w:val="auto"/>
          <w:sz w:val="24"/>
          <w:highlight w:val="none"/>
        </w:rPr>
        <w:t>7. 招标文件的澄清</w:t>
      </w:r>
      <w:bookmarkEnd w:id="28"/>
      <w:bookmarkEnd w:id="29"/>
      <w:r>
        <w:rPr>
          <w:rFonts w:hint="eastAsia" w:hAnsi="宋体" w:cs="宋体"/>
          <w:color w:val="auto"/>
          <w:sz w:val="24"/>
          <w:highlight w:val="none"/>
        </w:rPr>
        <w:t>和修改</w:t>
      </w:r>
      <w:bookmarkEnd w:id="30"/>
    </w:p>
    <w:p w14:paraId="716363CE">
      <w:pPr>
        <w:shd w:val="clear"/>
        <w:tabs>
          <w:tab w:val="left" w:pos="7665"/>
        </w:tabs>
        <w:spacing w:line="500" w:lineRule="exact"/>
        <w:ind w:firstLine="480" w:firstLineChars="200"/>
        <w:rPr>
          <w:rFonts w:hAnsi="宋体" w:cs="宋体"/>
          <w:color w:val="auto"/>
          <w:sz w:val="24"/>
          <w:highlight w:val="none"/>
        </w:rPr>
      </w:pPr>
      <w:r>
        <w:rPr>
          <w:rFonts w:hint="eastAsia" w:hAnsi="宋体" w:cs="宋体"/>
          <w:color w:val="auto"/>
          <w:sz w:val="24"/>
          <w:highlight w:val="none"/>
        </w:rPr>
        <w:t>7.1招标采购单位可以依法对招标文件进行澄清或者修改。</w:t>
      </w:r>
    </w:p>
    <w:p w14:paraId="76554588">
      <w:pPr>
        <w:shd w:val="clear"/>
        <w:tabs>
          <w:tab w:val="left" w:pos="7665"/>
        </w:tabs>
        <w:spacing w:line="500" w:lineRule="exact"/>
        <w:ind w:firstLine="480" w:firstLineChars="200"/>
        <w:rPr>
          <w:rFonts w:hAnsi="宋体" w:cs="宋体"/>
          <w:color w:val="auto"/>
          <w:sz w:val="24"/>
          <w:highlight w:val="none"/>
        </w:rPr>
      </w:pPr>
      <w:r>
        <w:rPr>
          <w:rFonts w:hint="eastAsia" w:hAnsi="宋体" w:cs="宋体"/>
          <w:color w:val="auto"/>
          <w:sz w:val="24"/>
          <w:highlight w:val="none"/>
        </w:rPr>
        <w:t xml:space="preserve">7.2 </w:t>
      </w:r>
      <w:r>
        <w:rPr>
          <w:rFonts w:hint="eastAsia" w:hAnsi="宋体" w:cs="宋体"/>
          <w:color w:val="auto"/>
          <w:sz w:val="24"/>
          <w:szCs w:val="22"/>
          <w:highlight w:val="none"/>
        </w:rPr>
        <w:t>采购人或者采购代理机构可以对已发出的招标文件进行必要的澄清或者修改，但不得改变采购标的和资格条件。澄清或者修改将在招标文件要求的提交投标文件截止时间15日前进行，并以书面形式将澄清或者修改的内容通知所有购买了招标文件的投标人，</w:t>
      </w:r>
      <w:r>
        <w:rPr>
          <w:rFonts w:hint="eastAsia" w:hAnsi="宋体" w:cs="宋体"/>
          <w:color w:val="auto"/>
          <w:sz w:val="24"/>
          <w:highlight w:val="none"/>
        </w:rPr>
        <w:t>同时在四川政府采购网上发布更正公告。该澄清或者修改的内容为招标文件的组成部分，澄清或者修改的内容可能影响投标文件、资格预审申请文件编制的，采购人或者采购代理机构发布公告并书面通知投标人的时间，应当在投标截止时间至少15日前、提交资格预审申请文件截止时间至少3日前；不足上述时间的，应当顺延提交投标文件、资格预审申请文件的截止时间。</w:t>
      </w:r>
    </w:p>
    <w:p w14:paraId="44FBCB22">
      <w:pPr>
        <w:shd w:val="clear"/>
        <w:tabs>
          <w:tab w:val="left" w:pos="7665"/>
        </w:tabs>
        <w:spacing w:line="500" w:lineRule="exact"/>
        <w:ind w:firstLine="480" w:firstLineChars="200"/>
        <w:rPr>
          <w:rFonts w:hAnsi="宋体" w:cs="宋体"/>
          <w:color w:val="auto"/>
          <w:sz w:val="24"/>
          <w:szCs w:val="22"/>
          <w:highlight w:val="none"/>
        </w:rPr>
      </w:pPr>
      <w:r>
        <w:rPr>
          <w:rFonts w:hint="eastAsia" w:hAnsi="宋体" w:cs="宋体"/>
          <w:color w:val="auto"/>
          <w:sz w:val="24"/>
          <w:highlight w:val="none"/>
        </w:rPr>
        <w:t xml:space="preserve">7.3 </w:t>
      </w:r>
      <w:r>
        <w:rPr>
          <w:rFonts w:hint="eastAsia" w:hAnsi="宋体" w:cs="宋体"/>
          <w:color w:val="auto"/>
          <w:sz w:val="24"/>
          <w:szCs w:val="22"/>
          <w:highlight w:val="none"/>
        </w:rPr>
        <w:t>投标人要求对招标文件进行澄清或者修改的，均应按招标文件中的联系方式，以书面形式向采购人或者采购代理机构提出申请，但采购人或者采购代理机构可以决定是否采纳投标人的申请事项。</w:t>
      </w:r>
    </w:p>
    <w:p w14:paraId="74C92325">
      <w:pPr>
        <w:pStyle w:val="5"/>
        <w:shd w:val="clear"/>
        <w:spacing w:line="500" w:lineRule="exact"/>
        <w:ind w:firstLine="482" w:firstLineChars="200"/>
        <w:rPr>
          <w:rFonts w:hAnsi="宋体" w:cs="宋体"/>
          <w:color w:val="auto"/>
          <w:sz w:val="24"/>
          <w:highlight w:val="none"/>
        </w:rPr>
      </w:pPr>
      <w:bookmarkStart w:id="31" w:name="_Toc217446041"/>
      <w:bookmarkStart w:id="32" w:name="_Toc208848971"/>
      <w:r>
        <w:rPr>
          <w:rFonts w:hint="eastAsia" w:hAnsi="宋体" w:cs="宋体"/>
          <w:color w:val="auto"/>
          <w:sz w:val="24"/>
          <w:highlight w:val="none"/>
        </w:rPr>
        <w:t>8. 答疑会和现场考察</w:t>
      </w:r>
      <w:bookmarkEnd w:id="31"/>
      <w:bookmarkEnd w:id="32"/>
    </w:p>
    <w:p w14:paraId="19EDFD15">
      <w:pPr>
        <w:shd w:val="clear"/>
        <w:tabs>
          <w:tab w:val="left" w:pos="7665"/>
        </w:tabs>
        <w:spacing w:line="500" w:lineRule="exact"/>
        <w:ind w:firstLine="480" w:firstLineChars="200"/>
        <w:rPr>
          <w:rFonts w:hAnsi="宋体" w:cs="宋体"/>
          <w:color w:val="auto"/>
          <w:sz w:val="24"/>
          <w:highlight w:val="none"/>
        </w:rPr>
      </w:pPr>
      <w:r>
        <w:rPr>
          <w:rFonts w:hint="eastAsia" w:hAnsi="宋体" w:cs="宋体"/>
          <w:color w:val="auto"/>
          <w:sz w:val="24"/>
          <w:highlight w:val="none"/>
        </w:rPr>
        <w:t>8.1 根据采购项目和具体情况，招标采购单位认为有必要，可以在招标文件提供期限截止后，组织已获取招标文件的潜在投标人现场考察或者召开开标前答疑会。组织现场考察或者召开答疑会的，应当以书面形式通知所有获取招标文件的潜在投标人。</w:t>
      </w:r>
    </w:p>
    <w:p w14:paraId="6CB2BA49">
      <w:pPr>
        <w:shd w:val="clear"/>
        <w:tabs>
          <w:tab w:val="left" w:pos="7665"/>
        </w:tabs>
        <w:spacing w:line="500" w:lineRule="exact"/>
        <w:ind w:firstLine="480" w:firstLineChars="200"/>
        <w:rPr>
          <w:rFonts w:hint="eastAsia" w:hAnsi="宋体" w:cs="宋体"/>
          <w:color w:val="auto"/>
          <w:sz w:val="24"/>
          <w:highlight w:val="none"/>
        </w:rPr>
      </w:pPr>
      <w:r>
        <w:rPr>
          <w:rFonts w:hint="eastAsia" w:hAnsi="宋体" w:cs="宋体"/>
          <w:color w:val="auto"/>
          <w:sz w:val="24"/>
          <w:highlight w:val="none"/>
        </w:rPr>
        <w:t xml:space="preserve">8.2 </w:t>
      </w:r>
      <w:r>
        <w:rPr>
          <w:rFonts w:hint="eastAsia" w:ascii="宋体" w:hAnsi="宋体" w:cs="宋体"/>
          <w:color w:val="auto"/>
          <w:sz w:val="24"/>
          <w:highlight w:val="none"/>
        </w:rPr>
        <w:t>若报名供应商</w:t>
      </w:r>
      <w:r>
        <w:rPr>
          <w:rFonts w:hint="eastAsia" w:hAnsi="宋体" w:cs="宋体"/>
          <w:color w:val="auto"/>
          <w:sz w:val="24"/>
          <w:highlight w:val="none"/>
          <w:lang w:val="en-US" w:eastAsia="zh-CN"/>
        </w:rPr>
        <w:t>有踏勘现场的需求，可</w:t>
      </w:r>
      <w:r>
        <w:rPr>
          <w:rFonts w:hint="eastAsia" w:ascii="宋体" w:hAnsi="宋体" w:cs="宋体"/>
          <w:color w:val="auto"/>
          <w:sz w:val="24"/>
          <w:highlight w:val="none"/>
        </w:rPr>
        <w:t>与采购人需求部门联系，</w:t>
      </w:r>
      <w:r>
        <w:rPr>
          <w:rFonts w:hint="eastAsia" w:hAnsi="宋体" w:cs="宋体"/>
          <w:color w:val="auto"/>
          <w:sz w:val="24"/>
          <w:highlight w:val="none"/>
          <w:lang w:val="en-US" w:eastAsia="zh-CN"/>
        </w:rPr>
        <w:t>征得采购人需求部门同意后，可</w:t>
      </w:r>
      <w:r>
        <w:rPr>
          <w:rFonts w:hint="eastAsia" w:ascii="宋体" w:hAnsi="宋体" w:cs="宋体"/>
          <w:color w:val="auto"/>
          <w:sz w:val="24"/>
          <w:highlight w:val="none"/>
          <w:lang w:val="en-US" w:eastAsia="zh-CN"/>
        </w:rPr>
        <w:t>自行</w:t>
      </w:r>
      <w:r>
        <w:rPr>
          <w:rFonts w:hint="eastAsia" w:ascii="宋体" w:hAnsi="宋体" w:cs="宋体"/>
          <w:color w:val="auto"/>
          <w:sz w:val="24"/>
          <w:highlight w:val="none"/>
        </w:rPr>
        <w:t>勘查现场</w:t>
      </w:r>
      <w:r>
        <w:rPr>
          <w:rFonts w:hint="eastAsia" w:ascii="宋体" w:hAnsi="宋体" w:cs="宋体"/>
          <w:color w:val="auto"/>
          <w:sz w:val="24"/>
          <w:highlight w:val="none"/>
          <w:lang w:eastAsia="zh-CN"/>
        </w:rPr>
        <w:t>。</w:t>
      </w:r>
      <w:r>
        <w:rPr>
          <w:rFonts w:hint="eastAsia" w:hAnsi="宋体" w:cs="宋体"/>
          <w:color w:val="auto"/>
          <w:sz w:val="24"/>
          <w:highlight w:val="none"/>
          <w:lang w:val="en-US" w:eastAsia="zh-CN"/>
        </w:rPr>
        <w:t>采购人需求部门</w:t>
      </w:r>
      <w:r>
        <w:rPr>
          <w:rFonts w:hint="eastAsia" w:ascii="宋体" w:hAnsi="宋体" w:cs="宋体"/>
          <w:color w:val="auto"/>
          <w:sz w:val="24"/>
          <w:highlight w:val="none"/>
        </w:rPr>
        <w:t>联系方式</w:t>
      </w:r>
      <w:r>
        <w:rPr>
          <w:rFonts w:hint="eastAsia" w:ascii="宋体" w:hAnsi="宋体" w:cs="宋体"/>
          <w:color w:val="auto"/>
          <w:sz w:val="24"/>
          <w:highlight w:val="none"/>
          <w:lang w:val="en-US" w:eastAsia="zh-CN"/>
        </w:rPr>
        <w:t>见招标文件第一章</w:t>
      </w:r>
      <w:r>
        <w:rPr>
          <w:rFonts w:hint="eastAsia" w:ascii="宋体" w:hAnsi="宋体" w:cs="宋体"/>
          <w:color w:val="auto"/>
          <w:sz w:val="24"/>
          <w:highlight w:val="none"/>
        </w:rPr>
        <w:t>。</w:t>
      </w:r>
      <w:r>
        <w:rPr>
          <w:rFonts w:hint="eastAsia" w:hAnsi="宋体" w:cs="宋体"/>
          <w:color w:val="auto"/>
          <w:sz w:val="24"/>
          <w:highlight w:val="none"/>
        </w:rPr>
        <w:t>投标人考察现场所发生的一切费用由投标人自己承担。</w:t>
      </w:r>
    </w:p>
    <w:p w14:paraId="5A42206D">
      <w:pPr>
        <w:shd w:val="clear"/>
        <w:tabs>
          <w:tab w:val="left" w:pos="7665"/>
        </w:tabs>
        <w:spacing w:line="500" w:lineRule="exact"/>
        <w:ind w:firstLine="480" w:firstLineChars="200"/>
        <w:rPr>
          <w:rFonts w:hAnsi="宋体" w:cs="宋体"/>
          <w:color w:val="auto"/>
          <w:sz w:val="24"/>
          <w:highlight w:val="none"/>
        </w:rPr>
      </w:pPr>
    </w:p>
    <w:p w14:paraId="700D793D">
      <w:pPr>
        <w:pStyle w:val="4"/>
        <w:shd w:val="clear"/>
        <w:spacing w:line="500" w:lineRule="exact"/>
        <w:jc w:val="center"/>
        <w:rPr>
          <w:rFonts w:ascii="宋体" w:hAnsi="宋体" w:eastAsia="宋体" w:cs="宋体"/>
          <w:bCs w:val="0"/>
          <w:color w:val="auto"/>
          <w:highlight w:val="none"/>
        </w:rPr>
      </w:pPr>
      <w:bookmarkStart w:id="33" w:name="_Toc183682351"/>
      <w:bookmarkStart w:id="34" w:name="_Toc89075876"/>
      <w:bookmarkStart w:id="35" w:name="_Toc77400780"/>
      <w:bookmarkStart w:id="36" w:name="_Toc183582214"/>
      <w:bookmarkStart w:id="37" w:name="_Toc217446042"/>
      <w:r>
        <w:rPr>
          <w:rFonts w:hint="eastAsia" w:ascii="宋体" w:hAnsi="宋体" w:eastAsia="宋体" w:cs="宋体"/>
          <w:bCs w:val="0"/>
          <w:color w:val="auto"/>
          <w:highlight w:val="none"/>
        </w:rPr>
        <w:t>四、投标文件</w:t>
      </w:r>
      <w:bookmarkEnd w:id="33"/>
      <w:bookmarkEnd w:id="34"/>
      <w:bookmarkEnd w:id="35"/>
      <w:bookmarkEnd w:id="36"/>
      <w:bookmarkEnd w:id="37"/>
    </w:p>
    <w:p w14:paraId="02FF45EB">
      <w:pPr>
        <w:pStyle w:val="5"/>
        <w:shd w:val="clear"/>
        <w:spacing w:line="500" w:lineRule="exact"/>
        <w:ind w:firstLine="482" w:firstLineChars="200"/>
        <w:rPr>
          <w:rFonts w:hAnsi="宋体" w:cs="宋体"/>
          <w:bCs w:val="0"/>
          <w:color w:val="auto"/>
          <w:sz w:val="24"/>
          <w:highlight w:val="none"/>
        </w:rPr>
      </w:pPr>
      <w:bookmarkStart w:id="38" w:name="_Toc217446043"/>
      <w:bookmarkStart w:id="39" w:name="_Toc183682352"/>
      <w:bookmarkStart w:id="40" w:name="_Toc183582215"/>
      <w:r>
        <w:rPr>
          <w:rFonts w:hint="eastAsia" w:hAnsi="宋体" w:cs="宋体"/>
          <w:bCs w:val="0"/>
          <w:color w:val="auto"/>
          <w:sz w:val="24"/>
          <w:highlight w:val="none"/>
        </w:rPr>
        <w:t>9．投标文件的语言</w:t>
      </w:r>
      <w:bookmarkEnd w:id="38"/>
      <w:bookmarkEnd w:id="39"/>
      <w:bookmarkEnd w:id="40"/>
      <w:r>
        <w:rPr>
          <w:rFonts w:hint="eastAsia" w:hAnsi="宋体" w:cs="宋体"/>
          <w:color w:val="auto"/>
          <w:sz w:val="24"/>
          <w:szCs w:val="24"/>
          <w:highlight w:val="none"/>
        </w:rPr>
        <w:t>（实质性要求）</w:t>
      </w:r>
    </w:p>
    <w:p w14:paraId="59443101">
      <w:pPr>
        <w:shd w:val="clear"/>
        <w:tabs>
          <w:tab w:val="left" w:pos="1134"/>
        </w:tabs>
        <w:spacing w:line="500" w:lineRule="exact"/>
        <w:ind w:firstLine="480" w:firstLineChars="200"/>
        <w:jc w:val="left"/>
        <w:rPr>
          <w:rFonts w:hAnsi="宋体" w:cs="宋体"/>
          <w:color w:val="auto"/>
          <w:sz w:val="24"/>
          <w:szCs w:val="22"/>
          <w:highlight w:val="none"/>
        </w:rPr>
      </w:pPr>
      <w:bookmarkStart w:id="41" w:name="_Toc183582216"/>
      <w:bookmarkStart w:id="42" w:name="_Toc183682353"/>
      <w:bookmarkStart w:id="43" w:name="_Toc217446044"/>
      <w:r>
        <w:rPr>
          <w:rFonts w:hint="eastAsia" w:hAnsi="宋体" w:cs="宋体"/>
          <w:color w:val="auto"/>
          <w:sz w:val="24"/>
          <w:highlight w:val="none"/>
        </w:rPr>
        <w:t>9.1 投标人提交的投标文件以及投标人与招标采购单位就有关投标的所有来往书面文件均须使用中文。投标文件中如附有外文资料，必须逐一对应翻译成中文并加盖投标人公章后附在相关外文资料后面，否则，所提供的外文资料将可能被视为无效材料。（说明：投标人的法定代表人为外籍人士的，法定代表人的签字或印章、护照除外。）</w:t>
      </w:r>
    </w:p>
    <w:p w14:paraId="52E77D4C">
      <w:pPr>
        <w:shd w:val="clear"/>
        <w:tabs>
          <w:tab w:val="left" w:pos="1134"/>
        </w:tabs>
        <w:spacing w:line="500" w:lineRule="exact"/>
        <w:ind w:firstLine="480" w:firstLineChars="200"/>
        <w:jc w:val="left"/>
        <w:rPr>
          <w:rFonts w:hAnsi="宋体" w:cs="宋体"/>
          <w:color w:val="auto"/>
          <w:sz w:val="24"/>
          <w:highlight w:val="none"/>
        </w:rPr>
      </w:pPr>
      <w:r>
        <w:rPr>
          <w:rFonts w:hint="eastAsia" w:hAnsi="宋体" w:cs="宋体"/>
          <w:color w:val="auto"/>
          <w:sz w:val="24"/>
          <w:highlight w:val="none"/>
        </w:rPr>
        <w:t>9.2 翻译的中文资料与外文资料如果出现差异和矛盾时，以中文为准，</w:t>
      </w:r>
      <w:r>
        <w:rPr>
          <w:rFonts w:hint="eastAsia" w:hAnsi="宋体" w:cs="宋体"/>
          <w:color w:val="auto"/>
          <w:sz w:val="24"/>
          <w:szCs w:val="22"/>
          <w:highlight w:val="none"/>
        </w:rPr>
        <w:t>若投标人投标文件中提供的外文资料未翻译成中文，则将可视为无效材料。</w:t>
      </w:r>
      <w:r>
        <w:rPr>
          <w:rFonts w:hint="eastAsia" w:hAnsi="宋体" w:cs="宋体"/>
          <w:color w:val="auto"/>
          <w:sz w:val="24"/>
          <w:highlight w:val="none"/>
        </w:rPr>
        <w:t>涉嫌虚假响应的按照相关法律法规处理。</w:t>
      </w:r>
    </w:p>
    <w:p w14:paraId="7896FDDE">
      <w:pPr>
        <w:pStyle w:val="5"/>
        <w:shd w:val="clear"/>
        <w:spacing w:line="500" w:lineRule="exact"/>
        <w:ind w:firstLine="482" w:firstLineChars="200"/>
        <w:rPr>
          <w:rFonts w:hAnsi="宋体" w:cs="宋体"/>
          <w:color w:val="auto"/>
          <w:sz w:val="24"/>
          <w:highlight w:val="none"/>
        </w:rPr>
      </w:pPr>
      <w:r>
        <w:rPr>
          <w:rFonts w:hint="eastAsia" w:hAnsi="宋体" w:cs="宋体"/>
          <w:color w:val="auto"/>
          <w:sz w:val="24"/>
          <w:highlight w:val="none"/>
        </w:rPr>
        <w:t>10．计量单位</w:t>
      </w:r>
      <w:bookmarkEnd w:id="41"/>
      <w:bookmarkEnd w:id="42"/>
      <w:bookmarkEnd w:id="43"/>
      <w:r>
        <w:rPr>
          <w:rFonts w:hint="eastAsia" w:hAnsi="宋体" w:cs="宋体"/>
          <w:color w:val="auto"/>
          <w:sz w:val="24"/>
          <w:szCs w:val="24"/>
          <w:highlight w:val="none"/>
        </w:rPr>
        <w:t>（实质性要求）</w:t>
      </w:r>
    </w:p>
    <w:p w14:paraId="5A425F84">
      <w:pPr>
        <w:shd w:val="clear"/>
        <w:spacing w:line="500" w:lineRule="exact"/>
        <w:ind w:firstLine="470" w:firstLineChars="196"/>
        <w:rPr>
          <w:rFonts w:hAnsi="宋体" w:cs="宋体"/>
          <w:color w:val="auto"/>
          <w:highlight w:val="none"/>
        </w:rPr>
      </w:pPr>
      <w:r>
        <w:rPr>
          <w:rFonts w:hint="eastAsia" w:hAnsi="宋体" w:cs="宋体"/>
          <w:color w:val="auto"/>
          <w:sz w:val="24"/>
          <w:highlight w:val="none"/>
        </w:rPr>
        <w:t>除招标文件中另有规定外，本次采购项目所有合同项下的投标均采用国家法定的计量单位。</w:t>
      </w:r>
    </w:p>
    <w:p w14:paraId="26A94284">
      <w:pPr>
        <w:pStyle w:val="5"/>
        <w:shd w:val="clear"/>
        <w:spacing w:line="500" w:lineRule="exact"/>
        <w:ind w:firstLine="482" w:firstLineChars="200"/>
        <w:rPr>
          <w:rFonts w:hAnsi="宋体" w:cs="宋体"/>
          <w:color w:val="auto"/>
          <w:sz w:val="24"/>
          <w:highlight w:val="none"/>
        </w:rPr>
      </w:pPr>
      <w:bookmarkStart w:id="44" w:name="_Toc217446045"/>
      <w:r>
        <w:rPr>
          <w:rFonts w:hint="eastAsia" w:hAnsi="宋体" w:cs="宋体"/>
          <w:color w:val="auto"/>
          <w:sz w:val="24"/>
          <w:highlight w:val="none"/>
        </w:rPr>
        <w:t>11. 投标货币</w:t>
      </w:r>
      <w:bookmarkEnd w:id="44"/>
      <w:r>
        <w:rPr>
          <w:rFonts w:hint="eastAsia" w:hAnsi="宋体" w:cs="宋体"/>
          <w:color w:val="auto"/>
          <w:sz w:val="24"/>
          <w:highlight w:val="none"/>
        </w:rPr>
        <w:t>（实质性要求）</w:t>
      </w:r>
    </w:p>
    <w:p w14:paraId="6941F961">
      <w:pPr>
        <w:shd w:val="clear"/>
        <w:tabs>
          <w:tab w:val="left" w:pos="7665"/>
        </w:tabs>
        <w:spacing w:line="500" w:lineRule="exact"/>
        <w:ind w:left="139" w:leftChars="41" w:firstLine="393" w:firstLineChars="164"/>
        <w:rPr>
          <w:rFonts w:hAnsi="宋体" w:cs="宋体"/>
          <w:color w:val="auto"/>
          <w:highlight w:val="none"/>
        </w:rPr>
      </w:pPr>
      <w:r>
        <w:rPr>
          <w:rFonts w:hint="eastAsia" w:hAnsi="宋体" w:cs="宋体"/>
          <w:color w:val="auto"/>
          <w:sz w:val="24"/>
          <w:highlight w:val="none"/>
        </w:rPr>
        <w:t>本次招标项目的投标均以人民币报价，报价以招标文件约定为准。</w:t>
      </w:r>
    </w:p>
    <w:p w14:paraId="6AC1B8DE">
      <w:pPr>
        <w:pStyle w:val="5"/>
        <w:numPr>
          <w:ilvl w:val="0"/>
          <w:numId w:val="2"/>
        </w:numPr>
        <w:shd w:val="clear"/>
        <w:spacing w:line="460" w:lineRule="exact"/>
        <w:ind w:firstLine="482" w:firstLineChars="200"/>
        <w:rPr>
          <w:rFonts w:hAnsi="宋体" w:cs="宋体"/>
          <w:color w:val="auto"/>
          <w:sz w:val="24"/>
          <w:highlight w:val="none"/>
        </w:rPr>
      </w:pPr>
      <w:bookmarkStart w:id="45" w:name="_Toc217446046"/>
      <w:r>
        <w:rPr>
          <w:rFonts w:hint="eastAsia" w:hAnsi="宋体" w:cs="宋体"/>
          <w:color w:val="auto"/>
          <w:sz w:val="24"/>
          <w:highlight w:val="none"/>
        </w:rPr>
        <w:t>联合体投标</w:t>
      </w:r>
      <w:bookmarkEnd w:id="45"/>
      <w:r>
        <w:rPr>
          <w:rFonts w:hint="eastAsia" w:hAnsi="宋体" w:cs="宋体"/>
          <w:color w:val="auto"/>
          <w:sz w:val="24"/>
          <w:highlight w:val="none"/>
        </w:rPr>
        <w:t>（实质性要求）</w:t>
      </w:r>
    </w:p>
    <w:p w14:paraId="768D9282">
      <w:pPr>
        <w:shd w:val="clear"/>
        <w:tabs>
          <w:tab w:val="left" w:pos="7665"/>
        </w:tabs>
        <w:spacing w:line="500" w:lineRule="exact"/>
        <w:ind w:left="139" w:leftChars="41" w:firstLine="393" w:firstLineChars="164"/>
        <w:rPr>
          <w:rFonts w:hAnsi="宋体" w:cs="宋体"/>
          <w:color w:val="auto"/>
          <w:sz w:val="24"/>
          <w:highlight w:val="none"/>
        </w:rPr>
      </w:pPr>
      <w:r>
        <w:rPr>
          <w:rFonts w:hint="eastAsia" w:hAnsi="宋体" w:cs="宋体"/>
          <w:color w:val="auto"/>
          <w:sz w:val="24"/>
          <w:highlight w:val="none"/>
        </w:rPr>
        <w:t>本项目不接受联合体投标。</w:t>
      </w:r>
    </w:p>
    <w:p w14:paraId="61C46A9D">
      <w:pPr>
        <w:pStyle w:val="5"/>
        <w:shd w:val="clear"/>
        <w:spacing w:line="500" w:lineRule="exact"/>
        <w:ind w:firstLine="482" w:firstLineChars="200"/>
        <w:rPr>
          <w:rFonts w:hAnsi="宋体" w:cs="宋体"/>
          <w:color w:val="auto"/>
          <w:sz w:val="24"/>
          <w:highlight w:val="none"/>
        </w:rPr>
      </w:pPr>
      <w:bookmarkStart w:id="46" w:name="_Toc308164797"/>
      <w:bookmarkStart w:id="47" w:name="_Toc217446047"/>
      <w:r>
        <w:rPr>
          <w:rFonts w:hint="eastAsia" w:hAnsi="宋体" w:cs="宋体"/>
          <w:color w:val="auto"/>
          <w:sz w:val="24"/>
          <w:highlight w:val="none"/>
        </w:rPr>
        <w:t>13. 知识产权</w:t>
      </w:r>
      <w:bookmarkEnd w:id="46"/>
      <w:bookmarkEnd w:id="47"/>
      <w:r>
        <w:rPr>
          <w:rFonts w:hint="eastAsia" w:hAnsi="宋体" w:cs="宋体"/>
          <w:color w:val="auto"/>
          <w:sz w:val="24"/>
          <w:highlight w:val="none"/>
        </w:rPr>
        <w:t>（实质性要求）</w:t>
      </w:r>
    </w:p>
    <w:p w14:paraId="184FE30C">
      <w:pPr>
        <w:shd w:val="clear"/>
        <w:spacing w:line="500" w:lineRule="exact"/>
        <w:ind w:firstLine="470" w:firstLineChars="196"/>
        <w:rPr>
          <w:rFonts w:hAnsi="宋体" w:cs="宋体"/>
          <w:color w:val="auto"/>
          <w:sz w:val="24"/>
          <w:highlight w:val="none"/>
        </w:rPr>
      </w:pPr>
      <w:r>
        <w:rPr>
          <w:rFonts w:hint="eastAsia" w:hAnsi="宋体" w:cs="宋体"/>
          <w:color w:val="auto"/>
          <w:sz w:val="24"/>
          <w:highlight w:val="none"/>
        </w:rPr>
        <w:t>13.1 投标人应保证在本项目使用的任何产品和服务（包括部分使用）时，不会产生因第三方提出侵犯其专利权、商标权或其它知识产权而引起的法律和经济纠纷，如因专利权、商标权或其它知识产权而引起法律和经济纠纷，由投标人承担所有相关责任。</w:t>
      </w:r>
    </w:p>
    <w:p w14:paraId="6A08B235">
      <w:pPr>
        <w:shd w:val="clear"/>
        <w:spacing w:line="500" w:lineRule="exact"/>
        <w:ind w:firstLine="470" w:firstLineChars="196"/>
        <w:rPr>
          <w:rFonts w:hAnsi="宋体" w:cs="宋体"/>
          <w:color w:val="auto"/>
          <w:sz w:val="24"/>
          <w:highlight w:val="none"/>
        </w:rPr>
      </w:pPr>
      <w:r>
        <w:rPr>
          <w:rFonts w:hint="eastAsia" w:hAnsi="宋体" w:cs="宋体"/>
          <w:color w:val="auto"/>
          <w:sz w:val="24"/>
          <w:highlight w:val="none"/>
        </w:rPr>
        <w:t>13.2 采购人享有本项目实施过程中产生的知识成果及知识产权。</w:t>
      </w:r>
    </w:p>
    <w:p w14:paraId="4D52645A">
      <w:pPr>
        <w:shd w:val="clear"/>
        <w:spacing w:line="500" w:lineRule="exact"/>
        <w:ind w:firstLine="470" w:firstLineChars="196"/>
        <w:rPr>
          <w:rFonts w:hAnsi="宋体" w:cs="宋体"/>
          <w:color w:val="auto"/>
          <w:sz w:val="24"/>
          <w:highlight w:val="none"/>
        </w:rPr>
      </w:pPr>
      <w:r>
        <w:rPr>
          <w:rFonts w:hint="eastAsia" w:hAnsi="宋体" w:cs="宋体"/>
          <w:color w:val="auto"/>
          <w:sz w:val="24"/>
          <w:highlight w:val="none"/>
        </w:rPr>
        <w:t xml:space="preserve">13.3 投标人如欲在项目实施过程中采用自有知识成果，需在投标文件中声明，并提供相关知识产权证明文件。同时需在投标文件中提供声明，并提供相关知识产权证明文件，否则视为投标人未在本项目实施过程中采用自有知识成果，不影响有效性。 </w:t>
      </w:r>
    </w:p>
    <w:p w14:paraId="65474D65">
      <w:pPr>
        <w:shd w:val="clear"/>
        <w:spacing w:line="500" w:lineRule="exact"/>
        <w:ind w:firstLine="470" w:firstLineChars="196"/>
        <w:rPr>
          <w:rFonts w:hAnsi="宋体" w:cs="宋体"/>
          <w:color w:val="auto"/>
          <w:sz w:val="24"/>
          <w:highlight w:val="none"/>
        </w:rPr>
      </w:pPr>
      <w:r>
        <w:rPr>
          <w:rFonts w:hint="eastAsia" w:hAnsi="宋体" w:cs="宋体"/>
          <w:color w:val="auto"/>
          <w:sz w:val="24"/>
          <w:highlight w:val="none"/>
        </w:rPr>
        <w:t xml:space="preserve">13.4 如采用投标人所不拥有的知识产权，则在投标报价中必须包括合法获取该知识产权的相关费用，采购人不再因投标人采用所不拥有的知识产权而另行支付任何费用。 </w:t>
      </w:r>
    </w:p>
    <w:p w14:paraId="37E63CFC">
      <w:pPr>
        <w:shd w:val="clear"/>
        <w:spacing w:line="500" w:lineRule="exact"/>
        <w:ind w:firstLine="470" w:firstLineChars="196"/>
        <w:rPr>
          <w:rFonts w:hAnsi="宋体" w:cs="宋体"/>
          <w:color w:val="auto"/>
          <w:sz w:val="24"/>
          <w:szCs w:val="22"/>
          <w:highlight w:val="none"/>
        </w:rPr>
      </w:pPr>
      <w:r>
        <w:rPr>
          <w:rFonts w:hint="eastAsia" w:hAnsi="宋体" w:cs="宋体"/>
          <w:color w:val="auto"/>
          <w:sz w:val="24"/>
          <w:szCs w:val="22"/>
          <w:highlight w:val="none"/>
        </w:rPr>
        <w:t>13.5根据《中华人民共和国政府采购法实施条例》第四十三条的规定，公告内容应当包括主要中标或者成交标的的名称、规格型号、数量、单价、服务要求以及评审专家名单。投标人需将投标文件中涉及商业秘密和知识产权的内容进行标注和说明。若未进行标注和说明的，视为全部内容均可公布，采购人或者采购代理机构对此不承担任何责任。</w:t>
      </w:r>
    </w:p>
    <w:p w14:paraId="34AB12CE">
      <w:pPr>
        <w:pStyle w:val="5"/>
        <w:shd w:val="clear"/>
        <w:spacing w:line="500" w:lineRule="exact"/>
        <w:ind w:firstLine="482" w:firstLineChars="200"/>
        <w:rPr>
          <w:rFonts w:hAnsi="宋体" w:cs="宋体"/>
          <w:color w:val="auto"/>
          <w:sz w:val="24"/>
          <w:highlight w:val="none"/>
        </w:rPr>
      </w:pPr>
      <w:bookmarkStart w:id="48" w:name="_Toc183682354"/>
      <w:bookmarkStart w:id="49" w:name="_Toc183582217"/>
      <w:bookmarkStart w:id="50" w:name="_Toc217446048"/>
      <w:bookmarkStart w:id="51" w:name="_Toc308164798"/>
      <w:r>
        <w:rPr>
          <w:rFonts w:hint="eastAsia" w:hAnsi="宋体" w:cs="宋体"/>
          <w:color w:val="auto"/>
          <w:sz w:val="24"/>
          <w:highlight w:val="none"/>
        </w:rPr>
        <w:t>14．投标文件的组成</w:t>
      </w:r>
      <w:bookmarkEnd w:id="48"/>
      <w:bookmarkEnd w:id="49"/>
      <w:bookmarkEnd w:id="50"/>
      <w:bookmarkEnd w:id="51"/>
    </w:p>
    <w:p w14:paraId="7DB07A0D">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投标人编写的投标文件应包括资格性投标文件和其他投标文件两部分，分册装订。资格性投标文件用于资格审查，应包括投标人响应招标文件第四章和第五章资格性要求的所有证明材料。</w:t>
      </w:r>
    </w:p>
    <w:p w14:paraId="31B6E93A">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其他投标文件用于符合性审查和综合评审，应包括投标人响应招标文件第四章和第五章资格性要求以外的所有材料，包括但不限于下列部分：</w:t>
      </w:r>
    </w:p>
    <w:p w14:paraId="22F1FC89">
      <w:pPr>
        <w:shd w:val="clear"/>
        <w:tabs>
          <w:tab w:val="left" w:pos="2621"/>
        </w:tabs>
        <w:spacing w:line="500" w:lineRule="exact"/>
        <w:jc w:val="left"/>
        <w:rPr>
          <w:rFonts w:hAnsi="宋体" w:cs="宋体"/>
          <w:color w:val="auto"/>
          <w:sz w:val="24"/>
          <w:szCs w:val="24"/>
          <w:highlight w:val="none"/>
        </w:rPr>
      </w:pPr>
      <w:r>
        <w:rPr>
          <w:rFonts w:hint="eastAsia" w:hAnsi="宋体" w:cs="宋体"/>
          <w:color w:val="auto"/>
          <w:sz w:val="24"/>
          <w:szCs w:val="24"/>
          <w:highlight w:val="none"/>
        </w:rPr>
        <w:t>（1）投标函</w:t>
      </w:r>
    </w:p>
    <w:p w14:paraId="1F18C609">
      <w:pPr>
        <w:shd w:val="clear"/>
        <w:tabs>
          <w:tab w:val="left" w:pos="2621"/>
        </w:tabs>
        <w:spacing w:line="500" w:lineRule="exact"/>
        <w:jc w:val="left"/>
        <w:rPr>
          <w:rFonts w:hAnsi="宋体" w:cs="宋体"/>
          <w:color w:val="auto"/>
          <w:sz w:val="24"/>
          <w:szCs w:val="24"/>
          <w:highlight w:val="none"/>
        </w:rPr>
      </w:pPr>
      <w:r>
        <w:rPr>
          <w:rFonts w:hint="eastAsia" w:hAnsi="宋体" w:cs="宋体"/>
          <w:color w:val="auto"/>
          <w:sz w:val="24"/>
          <w:szCs w:val="24"/>
          <w:highlight w:val="none"/>
        </w:rPr>
        <w:t>（2）承诺函</w:t>
      </w:r>
    </w:p>
    <w:p w14:paraId="73F6CDF7">
      <w:pPr>
        <w:shd w:val="clear"/>
        <w:spacing w:line="500" w:lineRule="exact"/>
        <w:jc w:val="left"/>
        <w:rPr>
          <w:rFonts w:hAnsi="宋体" w:cs="宋体"/>
          <w:color w:val="auto"/>
          <w:sz w:val="24"/>
          <w:szCs w:val="24"/>
          <w:highlight w:val="none"/>
        </w:rPr>
      </w:pPr>
      <w:r>
        <w:rPr>
          <w:rFonts w:hint="eastAsia" w:hAnsi="宋体" w:cs="宋体"/>
          <w:color w:val="auto"/>
          <w:sz w:val="24"/>
          <w:szCs w:val="24"/>
          <w:highlight w:val="none"/>
        </w:rPr>
        <w:t>（3）开标一览表</w:t>
      </w:r>
    </w:p>
    <w:p w14:paraId="727A1ED0">
      <w:pPr>
        <w:shd w:val="clear"/>
        <w:tabs>
          <w:tab w:val="left" w:pos="2621"/>
        </w:tabs>
        <w:spacing w:line="500" w:lineRule="exact"/>
        <w:jc w:val="left"/>
        <w:rPr>
          <w:rFonts w:hAnsi="宋体" w:cs="宋体"/>
          <w:color w:val="auto"/>
          <w:sz w:val="24"/>
          <w:szCs w:val="24"/>
          <w:highlight w:val="none"/>
        </w:rPr>
      </w:pPr>
      <w:r>
        <w:rPr>
          <w:rFonts w:hAnsi="宋体" w:cs="宋体"/>
          <w:color w:val="auto"/>
          <w:sz w:val="24"/>
          <w:szCs w:val="24"/>
          <w:highlight w:val="none"/>
        </w:rPr>
        <w:t>（</w:t>
      </w:r>
      <w:r>
        <w:rPr>
          <w:rFonts w:hint="eastAsia" w:hAnsi="宋体" w:cs="宋体"/>
          <w:color w:val="auto"/>
          <w:sz w:val="24"/>
          <w:szCs w:val="24"/>
          <w:highlight w:val="none"/>
        </w:rPr>
        <w:t>4</w:t>
      </w:r>
      <w:r>
        <w:rPr>
          <w:rFonts w:hAnsi="宋体" w:cs="宋体"/>
          <w:color w:val="auto"/>
          <w:sz w:val="24"/>
          <w:szCs w:val="24"/>
          <w:highlight w:val="none"/>
        </w:rPr>
        <w:t>）</w:t>
      </w:r>
      <w:r>
        <w:rPr>
          <w:rFonts w:hint="eastAsia" w:hAnsi="宋体" w:cs="宋体"/>
          <w:color w:val="auto"/>
          <w:sz w:val="24"/>
          <w:szCs w:val="24"/>
          <w:highlight w:val="none"/>
        </w:rPr>
        <w:t>分项报价明细表</w:t>
      </w:r>
    </w:p>
    <w:p w14:paraId="1DCF2B15">
      <w:pPr>
        <w:shd w:val="clear"/>
        <w:spacing w:line="500" w:lineRule="exact"/>
        <w:jc w:val="left"/>
        <w:rPr>
          <w:rFonts w:hAnsi="宋体" w:cs="宋体"/>
          <w:color w:val="auto"/>
          <w:sz w:val="24"/>
          <w:szCs w:val="24"/>
          <w:highlight w:val="none"/>
        </w:rPr>
      </w:pPr>
      <w:r>
        <w:rPr>
          <w:rFonts w:hint="eastAsia" w:hAnsi="宋体" w:cs="宋体"/>
          <w:color w:val="auto"/>
          <w:sz w:val="24"/>
          <w:szCs w:val="24"/>
          <w:highlight w:val="none"/>
        </w:rPr>
        <w:t>（5）法定代表人身份证明</w:t>
      </w:r>
    </w:p>
    <w:p w14:paraId="5B0085B4">
      <w:pPr>
        <w:shd w:val="clear"/>
        <w:spacing w:line="500" w:lineRule="exact"/>
        <w:jc w:val="left"/>
        <w:rPr>
          <w:rFonts w:hAnsi="宋体" w:cs="宋体"/>
          <w:color w:val="auto"/>
          <w:sz w:val="24"/>
          <w:szCs w:val="24"/>
          <w:highlight w:val="none"/>
        </w:rPr>
      </w:pPr>
      <w:r>
        <w:rPr>
          <w:rFonts w:hint="eastAsia" w:hAnsi="宋体" w:cs="宋体"/>
          <w:color w:val="auto"/>
          <w:sz w:val="24"/>
          <w:szCs w:val="24"/>
          <w:highlight w:val="none"/>
        </w:rPr>
        <w:t>（6）法定代表人授权书</w:t>
      </w:r>
    </w:p>
    <w:p w14:paraId="78AC6BDA">
      <w:pPr>
        <w:shd w:val="clear"/>
        <w:tabs>
          <w:tab w:val="left" w:pos="2621"/>
        </w:tabs>
        <w:spacing w:line="500" w:lineRule="exact"/>
        <w:jc w:val="left"/>
        <w:rPr>
          <w:rFonts w:hAnsi="宋体" w:cs="宋体"/>
          <w:color w:val="auto"/>
          <w:sz w:val="24"/>
          <w:szCs w:val="24"/>
          <w:highlight w:val="none"/>
        </w:rPr>
      </w:pPr>
      <w:r>
        <w:rPr>
          <w:rFonts w:hint="eastAsia" w:hAnsi="宋体" w:cs="宋体"/>
          <w:color w:val="auto"/>
          <w:sz w:val="24"/>
          <w:szCs w:val="24"/>
          <w:highlight w:val="none"/>
        </w:rPr>
        <w:t>（7）商务应答表</w:t>
      </w:r>
    </w:p>
    <w:p w14:paraId="05561187">
      <w:pPr>
        <w:shd w:val="clear"/>
        <w:tabs>
          <w:tab w:val="left" w:pos="2621"/>
        </w:tabs>
        <w:spacing w:line="500" w:lineRule="exact"/>
        <w:jc w:val="left"/>
        <w:rPr>
          <w:rFonts w:hAnsi="宋体" w:cs="宋体"/>
          <w:color w:val="auto"/>
          <w:sz w:val="24"/>
          <w:szCs w:val="24"/>
          <w:highlight w:val="none"/>
        </w:rPr>
      </w:pPr>
      <w:r>
        <w:rPr>
          <w:rFonts w:hint="eastAsia" w:hAnsi="宋体" w:cs="宋体"/>
          <w:color w:val="auto"/>
          <w:sz w:val="24"/>
          <w:szCs w:val="24"/>
          <w:highlight w:val="none"/>
        </w:rPr>
        <w:t>（8）投标人基本情况表</w:t>
      </w:r>
    </w:p>
    <w:p w14:paraId="6A344671">
      <w:pPr>
        <w:shd w:val="clear"/>
        <w:tabs>
          <w:tab w:val="left" w:pos="2621"/>
        </w:tabs>
        <w:spacing w:line="500" w:lineRule="exact"/>
        <w:jc w:val="left"/>
        <w:rPr>
          <w:rFonts w:hAnsi="宋体" w:cs="宋体"/>
          <w:color w:val="auto"/>
          <w:sz w:val="24"/>
          <w:szCs w:val="24"/>
          <w:highlight w:val="none"/>
        </w:rPr>
      </w:pPr>
      <w:r>
        <w:rPr>
          <w:rFonts w:hint="eastAsia" w:hAnsi="宋体" w:cs="宋体"/>
          <w:color w:val="auto"/>
          <w:sz w:val="24"/>
          <w:szCs w:val="24"/>
          <w:highlight w:val="none"/>
        </w:rPr>
        <w:t>（9）投标人类似项目业绩一览表</w:t>
      </w:r>
    </w:p>
    <w:p w14:paraId="21ADD162">
      <w:pPr>
        <w:shd w:val="clear"/>
        <w:tabs>
          <w:tab w:val="left" w:pos="2621"/>
        </w:tabs>
        <w:spacing w:line="500" w:lineRule="exact"/>
        <w:jc w:val="left"/>
        <w:rPr>
          <w:rFonts w:hAnsi="宋体" w:cs="宋体"/>
          <w:color w:val="auto"/>
          <w:sz w:val="24"/>
          <w:szCs w:val="24"/>
          <w:highlight w:val="none"/>
        </w:rPr>
      </w:pPr>
      <w:r>
        <w:rPr>
          <w:rFonts w:hint="eastAsia" w:hAnsi="宋体" w:cs="宋体"/>
          <w:color w:val="auto"/>
          <w:sz w:val="24"/>
          <w:szCs w:val="24"/>
          <w:highlight w:val="none"/>
        </w:rPr>
        <w:t>（10）投标产品技术参数表</w:t>
      </w:r>
    </w:p>
    <w:p w14:paraId="1EEE2AEE">
      <w:pPr>
        <w:shd w:val="clear"/>
        <w:tabs>
          <w:tab w:val="left" w:pos="2621"/>
        </w:tabs>
        <w:spacing w:line="500" w:lineRule="exact"/>
        <w:jc w:val="left"/>
        <w:rPr>
          <w:rFonts w:hAnsi="宋体" w:cs="宋体"/>
          <w:color w:val="auto"/>
          <w:sz w:val="24"/>
          <w:szCs w:val="24"/>
          <w:highlight w:val="none"/>
        </w:rPr>
      </w:pPr>
      <w:r>
        <w:rPr>
          <w:rFonts w:hint="eastAsia" w:hAnsi="宋体" w:cs="宋体"/>
          <w:color w:val="auto"/>
          <w:sz w:val="24"/>
          <w:szCs w:val="24"/>
          <w:highlight w:val="none"/>
        </w:rPr>
        <w:t>（11）投标人本项目管理、技术、服务人员情况表</w:t>
      </w:r>
    </w:p>
    <w:p w14:paraId="24849EAF">
      <w:pPr>
        <w:shd w:val="clear"/>
        <w:tabs>
          <w:tab w:val="left" w:pos="2621"/>
        </w:tabs>
        <w:spacing w:line="500" w:lineRule="exact"/>
        <w:jc w:val="left"/>
        <w:rPr>
          <w:color w:val="auto"/>
          <w:sz w:val="24"/>
          <w:szCs w:val="24"/>
          <w:highlight w:val="none"/>
        </w:rPr>
      </w:pPr>
      <w:r>
        <w:rPr>
          <w:rFonts w:hAnsi="宋体" w:cs="宋体"/>
          <w:color w:val="auto"/>
          <w:sz w:val="24"/>
          <w:szCs w:val="24"/>
          <w:highlight w:val="none"/>
        </w:rPr>
        <w:t>（</w:t>
      </w:r>
      <w:r>
        <w:rPr>
          <w:rFonts w:hint="eastAsia" w:hAnsi="宋体" w:cs="宋体"/>
          <w:color w:val="auto"/>
          <w:sz w:val="24"/>
          <w:szCs w:val="24"/>
          <w:highlight w:val="none"/>
        </w:rPr>
        <w:t>12</w:t>
      </w:r>
      <w:r>
        <w:rPr>
          <w:rFonts w:hAnsi="宋体" w:cs="宋体"/>
          <w:color w:val="auto"/>
          <w:sz w:val="24"/>
          <w:szCs w:val="24"/>
          <w:highlight w:val="none"/>
        </w:rPr>
        <w:t>）中小企业</w:t>
      </w:r>
      <w:r>
        <w:rPr>
          <w:rFonts w:hint="eastAsia" w:hAnsi="宋体" w:cs="宋体"/>
          <w:color w:val="auto"/>
          <w:sz w:val="24"/>
          <w:szCs w:val="24"/>
          <w:highlight w:val="none"/>
        </w:rPr>
        <w:t>声明</w:t>
      </w:r>
      <w:r>
        <w:rPr>
          <w:rFonts w:hAnsi="宋体" w:cs="宋体"/>
          <w:color w:val="auto"/>
          <w:sz w:val="24"/>
          <w:szCs w:val="24"/>
          <w:highlight w:val="none"/>
        </w:rPr>
        <w:t>函</w:t>
      </w:r>
      <w:r>
        <w:rPr>
          <w:rFonts w:hint="eastAsia" w:hAnsi="宋体" w:cs="宋体"/>
          <w:color w:val="auto"/>
          <w:sz w:val="24"/>
          <w:szCs w:val="24"/>
          <w:highlight w:val="none"/>
        </w:rPr>
        <w:t>（如未提供不影响投标人投标文件有效性）</w:t>
      </w:r>
    </w:p>
    <w:p w14:paraId="26270F18">
      <w:pPr>
        <w:shd w:val="clear"/>
        <w:spacing w:line="500" w:lineRule="exact"/>
        <w:jc w:val="left"/>
        <w:rPr>
          <w:rFonts w:hAnsi="宋体" w:cs="宋体"/>
          <w:color w:val="auto"/>
          <w:sz w:val="24"/>
          <w:szCs w:val="24"/>
          <w:highlight w:val="none"/>
        </w:rPr>
      </w:pPr>
      <w:r>
        <w:rPr>
          <w:rFonts w:hAnsi="宋体" w:cs="宋体"/>
          <w:color w:val="auto"/>
          <w:sz w:val="24"/>
          <w:szCs w:val="24"/>
          <w:highlight w:val="none"/>
        </w:rPr>
        <w:t>（1</w:t>
      </w:r>
      <w:r>
        <w:rPr>
          <w:rFonts w:hint="eastAsia" w:hAnsi="宋体" w:cs="宋体"/>
          <w:color w:val="auto"/>
          <w:sz w:val="24"/>
          <w:szCs w:val="24"/>
          <w:highlight w:val="none"/>
        </w:rPr>
        <w:t>3</w:t>
      </w:r>
      <w:r>
        <w:rPr>
          <w:rFonts w:hAnsi="宋体" w:cs="宋体"/>
          <w:color w:val="auto"/>
          <w:sz w:val="24"/>
          <w:szCs w:val="24"/>
          <w:highlight w:val="none"/>
        </w:rPr>
        <w:t>）监狱企业证明材料</w:t>
      </w:r>
      <w:r>
        <w:rPr>
          <w:rFonts w:hint="eastAsia" w:hAnsi="宋体" w:cs="宋体"/>
          <w:color w:val="auto"/>
          <w:sz w:val="24"/>
          <w:szCs w:val="24"/>
          <w:highlight w:val="none"/>
        </w:rPr>
        <w:t>（如未提供不影响投标人投标文件有效性）</w:t>
      </w:r>
    </w:p>
    <w:p w14:paraId="209CDE59">
      <w:pPr>
        <w:shd w:val="clear"/>
        <w:spacing w:line="500" w:lineRule="exact"/>
        <w:jc w:val="left"/>
        <w:rPr>
          <w:rFonts w:hAnsi="宋体" w:cs="宋体"/>
          <w:color w:val="auto"/>
          <w:sz w:val="24"/>
          <w:szCs w:val="24"/>
          <w:highlight w:val="none"/>
        </w:rPr>
      </w:pPr>
      <w:r>
        <w:rPr>
          <w:rFonts w:hAnsi="宋体" w:cs="宋体"/>
          <w:color w:val="auto"/>
          <w:sz w:val="24"/>
          <w:szCs w:val="24"/>
          <w:highlight w:val="none"/>
        </w:rPr>
        <w:t>（1</w:t>
      </w:r>
      <w:r>
        <w:rPr>
          <w:rFonts w:hint="eastAsia" w:hAnsi="宋体" w:cs="宋体"/>
          <w:color w:val="auto"/>
          <w:sz w:val="24"/>
          <w:szCs w:val="24"/>
          <w:highlight w:val="none"/>
        </w:rPr>
        <w:t>4</w:t>
      </w:r>
      <w:r>
        <w:rPr>
          <w:rFonts w:hAnsi="宋体" w:cs="宋体"/>
          <w:color w:val="auto"/>
          <w:sz w:val="24"/>
          <w:szCs w:val="24"/>
          <w:highlight w:val="none"/>
        </w:rPr>
        <w:t>）残疾人福利性单位声明函</w:t>
      </w:r>
      <w:r>
        <w:rPr>
          <w:rFonts w:hint="eastAsia" w:hAnsi="宋体" w:cs="宋体"/>
          <w:color w:val="auto"/>
          <w:sz w:val="24"/>
          <w:szCs w:val="24"/>
          <w:highlight w:val="none"/>
        </w:rPr>
        <w:t>（如未提供不影响投标人投标文件有效性）</w:t>
      </w:r>
    </w:p>
    <w:p w14:paraId="3AEA3A82">
      <w:pPr>
        <w:shd w:val="clear"/>
        <w:spacing w:line="500" w:lineRule="exact"/>
        <w:jc w:val="left"/>
        <w:rPr>
          <w:rFonts w:hAnsi="宋体" w:cs="宋体"/>
          <w:color w:val="auto"/>
          <w:sz w:val="24"/>
          <w:szCs w:val="24"/>
          <w:highlight w:val="none"/>
        </w:rPr>
      </w:pPr>
      <w:r>
        <w:rPr>
          <w:rFonts w:hint="eastAsia" w:hAnsi="宋体" w:cs="宋体"/>
          <w:color w:val="auto"/>
          <w:sz w:val="24"/>
          <w:szCs w:val="24"/>
          <w:highlight w:val="none"/>
        </w:rPr>
        <w:t>（15）项目实施方案</w:t>
      </w:r>
    </w:p>
    <w:p w14:paraId="14D1AE3D">
      <w:pPr>
        <w:shd w:val="clear"/>
        <w:spacing w:line="500" w:lineRule="exact"/>
        <w:jc w:val="left"/>
        <w:rPr>
          <w:rFonts w:hAnsi="宋体" w:cs="宋体"/>
          <w:color w:val="auto"/>
          <w:sz w:val="24"/>
          <w:szCs w:val="24"/>
          <w:highlight w:val="none"/>
        </w:rPr>
      </w:pPr>
      <w:r>
        <w:rPr>
          <w:rFonts w:hint="eastAsia" w:hAnsi="宋体" w:cs="宋体"/>
          <w:color w:val="auto"/>
          <w:sz w:val="24"/>
          <w:szCs w:val="24"/>
          <w:highlight w:val="none"/>
        </w:rPr>
        <w:t>（16）投标人认为需要提供的其他文件和资料</w:t>
      </w:r>
    </w:p>
    <w:p w14:paraId="1DFF4C69">
      <w:pPr>
        <w:shd w:val="clear"/>
        <w:spacing w:line="500" w:lineRule="exact"/>
        <w:ind w:firstLine="472" w:firstLineChars="196"/>
        <w:rPr>
          <w:rFonts w:hAnsi="宋体" w:cs="宋体"/>
          <w:b/>
          <w:bCs/>
          <w:color w:val="auto"/>
          <w:sz w:val="24"/>
          <w:szCs w:val="22"/>
          <w:highlight w:val="none"/>
        </w:rPr>
      </w:pPr>
      <w:r>
        <w:rPr>
          <w:rFonts w:hint="eastAsia" w:hAnsi="宋体" w:cs="宋体"/>
          <w:b/>
          <w:bCs/>
          <w:color w:val="auto"/>
          <w:sz w:val="24"/>
          <w:szCs w:val="22"/>
          <w:highlight w:val="none"/>
        </w:rPr>
        <w:t>14.1投标报价（实质性要求）</w:t>
      </w:r>
    </w:p>
    <w:p w14:paraId="4BB81E68">
      <w:pPr>
        <w:shd w:val="clear"/>
        <w:spacing w:line="500" w:lineRule="exact"/>
        <w:ind w:firstLine="470" w:firstLineChars="196"/>
        <w:rPr>
          <w:rFonts w:hAnsi="宋体" w:cs="宋体"/>
          <w:color w:val="auto"/>
          <w:sz w:val="24"/>
          <w:szCs w:val="22"/>
          <w:highlight w:val="none"/>
        </w:rPr>
      </w:pPr>
      <w:r>
        <w:rPr>
          <w:rFonts w:hint="eastAsia" w:hAnsi="宋体" w:cs="宋体"/>
          <w:color w:val="auto"/>
          <w:sz w:val="24"/>
          <w:szCs w:val="22"/>
          <w:highlight w:val="none"/>
        </w:rPr>
        <w:t>14.1.1.投标人的报价是投标人响应招标项目要求的全部工作内容的价格体现，</w:t>
      </w:r>
      <w:r>
        <w:rPr>
          <w:rFonts w:hint="eastAsia" w:hAnsi="宋体" w:cs="宋体"/>
          <w:color w:val="auto"/>
          <w:sz w:val="24"/>
          <w:szCs w:val="24"/>
          <w:highlight w:val="none"/>
        </w:rPr>
        <w:t>包含配送货物本身的费用以及完成本项目所需的的所有费用</w:t>
      </w:r>
      <w:r>
        <w:rPr>
          <w:rFonts w:hint="eastAsia" w:hAnsi="宋体" w:cs="宋体"/>
          <w:color w:val="auto"/>
          <w:sz w:val="24"/>
          <w:szCs w:val="22"/>
          <w:highlight w:val="none"/>
        </w:rPr>
        <w:t>。</w:t>
      </w:r>
    </w:p>
    <w:p w14:paraId="34722C00">
      <w:pPr>
        <w:shd w:val="clear"/>
        <w:spacing w:line="500" w:lineRule="exact"/>
        <w:ind w:firstLine="470" w:firstLineChars="196"/>
        <w:rPr>
          <w:rFonts w:hAnsi="宋体" w:cs="宋体"/>
          <w:color w:val="auto"/>
          <w:sz w:val="24"/>
          <w:szCs w:val="22"/>
          <w:highlight w:val="none"/>
        </w:rPr>
      </w:pPr>
      <w:r>
        <w:rPr>
          <w:rFonts w:hint="eastAsia" w:hAnsi="宋体" w:cs="宋体"/>
          <w:color w:val="auto"/>
          <w:sz w:val="24"/>
          <w:szCs w:val="22"/>
          <w:highlight w:val="none"/>
        </w:rPr>
        <w:t>14.1.2.投标人对每一种货物只允许有一个报价，并且在合同履行过程中是固定不变的，任何有选择或可调整的报价将不予接受，并按无效投标处理。</w:t>
      </w:r>
    </w:p>
    <w:p w14:paraId="52DF1648">
      <w:pPr>
        <w:pStyle w:val="10"/>
        <w:shd w:val="clear"/>
        <w:spacing w:line="500" w:lineRule="exact"/>
        <w:ind w:firstLine="480" w:firstLineChars="200"/>
        <w:rPr>
          <w:rFonts w:hAnsi="宋体" w:cs="宋体"/>
          <w:color w:val="auto"/>
          <w:highlight w:val="none"/>
        </w:rPr>
      </w:pPr>
      <w:r>
        <w:rPr>
          <w:rFonts w:hint="eastAsia" w:hAnsi="宋体" w:cs="宋体"/>
          <w:color w:val="auto"/>
          <w:sz w:val="24"/>
          <w:szCs w:val="24"/>
          <w:highlight w:val="none"/>
        </w:rPr>
        <w:t>14.1.3.在本次投标之前一周年内，投标人本次投标中对同一品牌同一型号相同配置的产品报价与其在中国境内其他地方的最低报价比例不得高于</w:t>
      </w:r>
      <w:r>
        <w:rPr>
          <w:rFonts w:hint="eastAsia" w:hAnsi="宋体" w:cs="宋体"/>
          <w:color w:val="auto"/>
          <w:sz w:val="24"/>
          <w:szCs w:val="24"/>
          <w:highlight w:val="none"/>
          <w:lang w:val="zh-CN"/>
        </w:rPr>
        <w:t>20</w:t>
      </w:r>
      <w:r>
        <w:rPr>
          <w:rFonts w:hint="eastAsia" w:hAnsi="宋体" w:cs="宋体"/>
          <w:color w:val="auto"/>
          <w:sz w:val="24"/>
          <w:szCs w:val="24"/>
          <w:highlight w:val="none"/>
        </w:rPr>
        <w:t>%。</w:t>
      </w:r>
    </w:p>
    <w:p w14:paraId="0D1450CA">
      <w:pPr>
        <w:pStyle w:val="5"/>
        <w:shd w:val="clear"/>
        <w:tabs>
          <w:tab w:val="left" w:pos="3480"/>
        </w:tabs>
        <w:spacing w:line="500" w:lineRule="exact"/>
        <w:ind w:firstLine="482" w:firstLineChars="200"/>
        <w:rPr>
          <w:rFonts w:hAnsi="宋体" w:cs="宋体"/>
          <w:color w:val="auto"/>
          <w:sz w:val="24"/>
          <w:highlight w:val="none"/>
        </w:rPr>
      </w:pPr>
      <w:bookmarkStart w:id="52" w:name="_Toc183582218"/>
      <w:bookmarkStart w:id="53" w:name="_Toc183682355"/>
      <w:bookmarkStart w:id="54" w:name="_Toc217446049"/>
      <w:bookmarkStart w:id="55" w:name="_Toc308164799"/>
      <w:r>
        <w:rPr>
          <w:rFonts w:hint="eastAsia" w:hAnsi="宋体" w:cs="宋体"/>
          <w:color w:val="auto"/>
          <w:sz w:val="24"/>
          <w:highlight w:val="none"/>
        </w:rPr>
        <w:t>15．投标文件格式</w:t>
      </w:r>
      <w:bookmarkEnd w:id="52"/>
      <w:bookmarkEnd w:id="53"/>
      <w:bookmarkEnd w:id="54"/>
      <w:bookmarkEnd w:id="55"/>
    </w:p>
    <w:p w14:paraId="0F80A11F">
      <w:pPr>
        <w:shd w:val="clear"/>
        <w:tabs>
          <w:tab w:val="left" w:pos="7665"/>
        </w:tabs>
        <w:spacing w:line="500" w:lineRule="exact"/>
        <w:ind w:left="20" w:leftChars="6" w:firstLine="480" w:firstLineChars="200"/>
        <w:rPr>
          <w:rFonts w:hAnsi="宋体" w:cs="宋体"/>
          <w:color w:val="auto"/>
          <w:sz w:val="24"/>
          <w:highlight w:val="none"/>
        </w:rPr>
      </w:pPr>
      <w:r>
        <w:rPr>
          <w:rFonts w:hint="eastAsia" w:hAnsi="宋体" w:cs="宋体"/>
          <w:color w:val="auto"/>
          <w:sz w:val="24"/>
          <w:highlight w:val="none"/>
        </w:rPr>
        <w:t>15.1 投标人应执行招标文件第三章的规定要求。</w:t>
      </w:r>
    </w:p>
    <w:p w14:paraId="3C854A65">
      <w:pPr>
        <w:shd w:val="clear"/>
        <w:tabs>
          <w:tab w:val="left" w:pos="7665"/>
        </w:tabs>
        <w:spacing w:line="500" w:lineRule="exact"/>
        <w:ind w:left="20" w:leftChars="6" w:firstLine="480" w:firstLineChars="200"/>
        <w:rPr>
          <w:rFonts w:hAnsi="宋体" w:cs="宋体"/>
          <w:color w:val="auto"/>
          <w:sz w:val="24"/>
          <w:highlight w:val="none"/>
        </w:rPr>
      </w:pPr>
      <w:r>
        <w:rPr>
          <w:rFonts w:hint="eastAsia" w:hAnsi="宋体" w:cs="宋体"/>
          <w:color w:val="auto"/>
          <w:sz w:val="24"/>
          <w:highlight w:val="none"/>
        </w:rPr>
        <w:t>15.2 对于没有格式要求的投标文件由投标人自行编写。</w:t>
      </w:r>
    </w:p>
    <w:p w14:paraId="375A7B07">
      <w:pPr>
        <w:pStyle w:val="5"/>
        <w:shd w:val="clear"/>
        <w:spacing w:line="500" w:lineRule="exact"/>
        <w:ind w:firstLine="482" w:firstLineChars="200"/>
        <w:rPr>
          <w:rFonts w:hAnsi="宋体" w:cs="宋体"/>
          <w:color w:val="auto"/>
          <w:sz w:val="24"/>
          <w:highlight w:val="none"/>
        </w:rPr>
      </w:pPr>
      <w:bookmarkStart w:id="56" w:name="_Toc308164800"/>
      <w:bookmarkStart w:id="57" w:name="_Toc183682360"/>
      <w:bookmarkStart w:id="58" w:name="_Toc183582223"/>
      <w:bookmarkStart w:id="59" w:name="_Toc217446050"/>
      <w:r>
        <w:rPr>
          <w:rFonts w:hint="eastAsia" w:hAnsi="宋体" w:cs="宋体"/>
          <w:bCs w:val="0"/>
          <w:color w:val="auto"/>
          <w:sz w:val="24"/>
          <w:highlight w:val="none"/>
        </w:rPr>
        <w:t>16．投标保证金</w:t>
      </w:r>
      <w:bookmarkEnd w:id="56"/>
      <w:bookmarkEnd w:id="57"/>
      <w:bookmarkEnd w:id="58"/>
      <w:bookmarkEnd w:id="59"/>
      <w:r>
        <w:rPr>
          <w:rFonts w:hint="eastAsia" w:hAnsi="宋体" w:cs="宋体"/>
          <w:color w:val="auto"/>
          <w:sz w:val="24"/>
          <w:szCs w:val="24"/>
          <w:highlight w:val="none"/>
        </w:rPr>
        <w:t>（本项目不适用）</w:t>
      </w:r>
    </w:p>
    <w:p w14:paraId="53811AEF">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16.1 投标人投标时，必须以人民币提交招标文件规定数额的投标保证金</w:t>
      </w:r>
      <w:r>
        <w:rPr>
          <w:rFonts w:hint="eastAsia" w:hAnsi="宋体" w:cs="宋体"/>
          <w:color w:val="auto"/>
          <w:spacing w:val="-1"/>
          <w:sz w:val="24"/>
          <w:highlight w:val="none"/>
        </w:rPr>
        <w:t>（详见投标人须知前附表）</w:t>
      </w:r>
      <w:r>
        <w:rPr>
          <w:rFonts w:hint="eastAsia" w:hAnsi="宋体" w:cs="宋体"/>
          <w:color w:val="auto"/>
          <w:sz w:val="24"/>
          <w:highlight w:val="none"/>
        </w:rPr>
        <w:t>，并作为其投标的一部分。</w:t>
      </w:r>
    </w:p>
    <w:p w14:paraId="6EF2C8F8">
      <w:pPr>
        <w:shd w:val="clear"/>
        <w:spacing w:line="500" w:lineRule="exact"/>
        <w:ind w:firstLine="480" w:firstLineChars="200"/>
        <w:rPr>
          <w:rFonts w:hAnsi="宋体" w:cs="宋体"/>
          <w:color w:val="auto"/>
          <w:sz w:val="24"/>
          <w:szCs w:val="22"/>
          <w:highlight w:val="none"/>
        </w:rPr>
      </w:pPr>
      <w:r>
        <w:rPr>
          <w:rFonts w:hint="eastAsia" w:hAnsi="宋体" w:cs="宋体"/>
          <w:color w:val="auto"/>
          <w:sz w:val="24"/>
          <w:highlight w:val="none"/>
        </w:rPr>
        <w:t>16</w:t>
      </w:r>
      <w:r>
        <w:rPr>
          <w:rFonts w:hint="eastAsia" w:hAnsi="宋体" w:cs="宋体"/>
          <w:color w:val="auto"/>
          <w:sz w:val="24"/>
          <w:szCs w:val="22"/>
          <w:highlight w:val="none"/>
        </w:rPr>
        <w:t>.2未按招标文件要求在规定时间前交纳规定数额投标保证金的投标作无效投标处理。</w:t>
      </w:r>
    </w:p>
    <w:p w14:paraId="44DE5D2E">
      <w:pPr>
        <w:shd w:val="clear"/>
        <w:tabs>
          <w:tab w:val="left" w:pos="1134"/>
        </w:tabs>
        <w:spacing w:line="500" w:lineRule="exact"/>
        <w:ind w:firstLine="424" w:firstLineChars="177"/>
        <w:rPr>
          <w:rFonts w:hAnsi="宋体" w:cs="宋体"/>
          <w:color w:val="auto"/>
          <w:sz w:val="24"/>
          <w:highlight w:val="none"/>
        </w:rPr>
      </w:pPr>
      <w:r>
        <w:rPr>
          <w:rFonts w:hint="eastAsia" w:hAnsi="宋体" w:cs="宋体"/>
          <w:color w:val="auto"/>
          <w:sz w:val="24"/>
          <w:highlight w:val="none"/>
        </w:rPr>
        <w:t>16.3投标人所交纳的投标保证金不计利息。</w:t>
      </w:r>
    </w:p>
    <w:p w14:paraId="468C58AA">
      <w:pPr>
        <w:shd w:val="clear"/>
        <w:tabs>
          <w:tab w:val="left" w:pos="1134"/>
        </w:tabs>
        <w:spacing w:line="500" w:lineRule="exact"/>
        <w:ind w:firstLine="424" w:firstLineChars="177"/>
        <w:rPr>
          <w:rFonts w:hAnsi="宋体" w:cs="宋体"/>
          <w:color w:val="auto"/>
          <w:sz w:val="24"/>
          <w:highlight w:val="none"/>
        </w:rPr>
      </w:pPr>
      <w:r>
        <w:rPr>
          <w:rFonts w:hint="eastAsia" w:hAnsi="宋体" w:cs="宋体"/>
          <w:color w:val="auto"/>
          <w:sz w:val="24"/>
          <w:highlight w:val="none"/>
        </w:rPr>
        <w:t>16.4未中标人的投标保证金，将在中标通知书发出后5个工作日内全额退还。中标人的投标保证金，在合同签订生效并递交至采购代理机构进行合同编号后5个工作日内全额退还</w:t>
      </w:r>
      <w:r>
        <w:rPr>
          <w:rFonts w:hint="eastAsia" w:hAnsi="宋体" w:cs="宋体"/>
          <w:bCs/>
          <w:color w:val="auto"/>
          <w:sz w:val="24"/>
          <w:highlight w:val="none"/>
        </w:rPr>
        <w:t>（注：</w:t>
      </w:r>
      <w:r>
        <w:rPr>
          <w:rFonts w:hint="eastAsia" w:hAnsi="宋体" w:cs="宋体"/>
          <w:bCs/>
          <w:color w:val="auto"/>
          <w:sz w:val="24"/>
          <w:highlight w:val="none"/>
        </w:rPr>
        <w:fldChar w:fldCharType="begin"/>
      </w:r>
      <w:r>
        <w:rPr>
          <w:rFonts w:hint="eastAsia" w:hAnsi="宋体" w:cs="宋体"/>
          <w:bCs/>
          <w:color w:val="auto"/>
          <w:sz w:val="24"/>
          <w:highlight w:val="none"/>
        </w:rPr>
        <w:instrText xml:space="preserve"> = 1 \* GB3 \* MERGEFORMAT </w:instrText>
      </w:r>
      <w:r>
        <w:rPr>
          <w:rFonts w:hint="eastAsia" w:hAnsi="宋体" w:cs="宋体"/>
          <w:bCs/>
          <w:color w:val="auto"/>
          <w:sz w:val="24"/>
          <w:highlight w:val="none"/>
        </w:rPr>
        <w:fldChar w:fldCharType="separate"/>
      </w:r>
      <w:r>
        <w:rPr>
          <w:rFonts w:hint="eastAsia" w:hAnsi="宋体" w:cs="宋体"/>
          <w:bCs/>
          <w:color w:val="auto"/>
          <w:sz w:val="24"/>
          <w:highlight w:val="none"/>
        </w:rPr>
        <w:t>①</w:t>
      </w:r>
      <w:r>
        <w:rPr>
          <w:rFonts w:hint="eastAsia" w:hAnsi="宋体" w:cs="宋体"/>
          <w:bCs/>
          <w:color w:val="auto"/>
          <w:sz w:val="24"/>
          <w:highlight w:val="none"/>
        </w:rPr>
        <w:fldChar w:fldCharType="end"/>
      </w:r>
      <w:r>
        <w:rPr>
          <w:rFonts w:hint="eastAsia" w:hAnsi="宋体" w:cs="宋体"/>
          <w:bCs/>
          <w:color w:val="auto"/>
          <w:sz w:val="24"/>
          <w:highlight w:val="none"/>
        </w:rPr>
        <w:t>因投标人自身原因造成的保证金延迟退还或者投标人和采购代理机构书面协商可以延迟退还的，采购代理机构不承担相应责任；</w:t>
      </w:r>
      <w:r>
        <w:rPr>
          <w:rFonts w:hint="eastAsia" w:hAnsi="宋体" w:cs="宋体"/>
          <w:bCs/>
          <w:color w:val="auto"/>
          <w:sz w:val="24"/>
          <w:highlight w:val="none"/>
        </w:rPr>
        <w:fldChar w:fldCharType="begin"/>
      </w:r>
      <w:r>
        <w:rPr>
          <w:rFonts w:hint="eastAsia" w:hAnsi="宋体" w:cs="宋体"/>
          <w:bCs/>
          <w:color w:val="auto"/>
          <w:sz w:val="24"/>
          <w:highlight w:val="none"/>
        </w:rPr>
        <w:instrText xml:space="preserve"> = 2 \* GB3 \* MERGEFORMAT </w:instrText>
      </w:r>
      <w:r>
        <w:rPr>
          <w:rFonts w:hint="eastAsia" w:hAnsi="宋体" w:cs="宋体"/>
          <w:bCs/>
          <w:color w:val="auto"/>
          <w:sz w:val="24"/>
          <w:highlight w:val="none"/>
        </w:rPr>
        <w:fldChar w:fldCharType="separate"/>
      </w:r>
      <w:r>
        <w:rPr>
          <w:rFonts w:hint="eastAsia" w:hAnsi="宋体" w:cs="宋体"/>
          <w:bCs/>
          <w:color w:val="auto"/>
          <w:sz w:val="24"/>
          <w:highlight w:val="none"/>
        </w:rPr>
        <w:t>②</w:t>
      </w:r>
      <w:r>
        <w:rPr>
          <w:rFonts w:hint="eastAsia" w:hAnsi="宋体" w:cs="宋体"/>
          <w:bCs/>
          <w:color w:val="auto"/>
          <w:sz w:val="24"/>
          <w:highlight w:val="none"/>
        </w:rPr>
        <w:fldChar w:fldCharType="end"/>
      </w:r>
      <w:r>
        <w:rPr>
          <w:rFonts w:hint="eastAsia" w:hAnsi="宋体" w:cs="宋体"/>
          <w:bCs/>
          <w:color w:val="auto"/>
          <w:sz w:val="24"/>
          <w:highlight w:val="none"/>
        </w:rPr>
        <w:t>投标人因涉嫌违法违规，按照规定应当不予退还保证金的，有关部门处理认定违法违规行为期间不计入退还保证金时限之内。）</w:t>
      </w:r>
      <w:r>
        <w:rPr>
          <w:rFonts w:hint="eastAsia" w:hAnsi="宋体" w:cs="宋体"/>
          <w:color w:val="auto"/>
          <w:sz w:val="24"/>
          <w:highlight w:val="none"/>
        </w:rPr>
        <w:t>；</w:t>
      </w:r>
      <w:r>
        <w:rPr>
          <w:rFonts w:hint="eastAsia" w:hAnsi="宋体" w:cs="宋体"/>
          <w:color w:val="auto"/>
          <w:spacing w:val="-1"/>
          <w:sz w:val="24"/>
          <w:highlight w:val="none"/>
        </w:rPr>
        <w:t>中标人须提供合同原件</w:t>
      </w:r>
      <w:r>
        <w:rPr>
          <w:rFonts w:hint="eastAsia" w:hAnsi="宋体" w:cs="宋体"/>
          <w:color w:val="auto"/>
          <w:sz w:val="24"/>
          <w:highlight w:val="none"/>
        </w:rPr>
        <w:t>（加盖投标人公章）1份给采购代理机构归档。</w:t>
      </w:r>
    </w:p>
    <w:p w14:paraId="7C6C4599">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16.5发生下列情形之一的，采购代理机构将不予退还投标保证金：</w:t>
      </w:r>
    </w:p>
    <w:p w14:paraId="53FC50B4">
      <w:pPr>
        <w:shd w:val="clear"/>
        <w:spacing w:line="500" w:lineRule="exact"/>
        <w:ind w:firstLine="470" w:firstLineChars="196"/>
        <w:rPr>
          <w:rFonts w:hAnsi="宋体" w:cs="宋体"/>
          <w:color w:val="auto"/>
          <w:sz w:val="24"/>
          <w:highlight w:val="none"/>
        </w:rPr>
      </w:pPr>
      <w:r>
        <w:rPr>
          <w:rFonts w:hint="eastAsia" w:hAnsi="宋体" w:cs="宋体"/>
          <w:color w:val="auto"/>
          <w:sz w:val="24"/>
          <w:highlight w:val="none"/>
        </w:rPr>
        <w:t>（1）在招标文件规定的投标截止时间后撤回投标的；</w:t>
      </w:r>
    </w:p>
    <w:p w14:paraId="67C924B1">
      <w:pPr>
        <w:shd w:val="clear"/>
        <w:spacing w:line="500" w:lineRule="exact"/>
        <w:ind w:firstLine="470" w:firstLineChars="196"/>
        <w:rPr>
          <w:rFonts w:hAnsi="宋体" w:cs="宋体"/>
          <w:color w:val="auto"/>
          <w:sz w:val="24"/>
          <w:highlight w:val="none"/>
        </w:rPr>
      </w:pPr>
      <w:r>
        <w:rPr>
          <w:rFonts w:hint="eastAsia" w:hAnsi="宋体" w:cs="宋体"/>
          <w:color w:val="auto"/>
          <w:sz w:val="24"/>
          <w:highlight w:val="none"/>
        </w:rPr>
        <w:t>（2）在采购人确定中标人以前放弃中标候选资格的；</w:t>
      </w:r>
    </w:p>
    <w:p w14:paraId="7DB3177D">
      <w:pPr>
        <w:shd w:val="clear"/>
        <w:spacing w:line="500" w:lineRule="exact"/>
        <w:ind w:firstLine="470" w:firstLineChars="196"/>
        <w:rPr>
          <w:rFonts w:hAnsi="宋体" w:cs="宋体"/>
          <w:color w:val="auto"/>
          <w:sz w:val="24"/>
          <w:highlight w:val="none"/>
        </w:rPr>
      </w:pPr>
      <w:r>
        <w:rPr>
          <w:rFonts w:hint="eastAsia" w:hAnsi="宋体" w:cs="宋体"/>
          <w:color w:val="auto"/>
          <w:sz w:val="24"/>
          <w:highlight w:val="none"/>
        </w:rPr>
        <w:t>（3）中标后放弃中标、不领取或者不接收中标通知书的；</w:t>
      </w:r>
    </w:p>
    <w:p w14:paraId="74FACCBA">
      <w:pPr>
        <w:shd w:val="clear"/>
        <w:spacing w:line="500" w:lineRule="exact"/>
        <w:ind w:firstLine="470" w:firstLineChars="196"/>
        <w:rPr>
          <w:rFonts w:hAnsi="宋体" w:cs="宋体"/>
          <w:color w:val="auto"/>
          <w:sz w:val="24"/>
          <w:highlight w:val="none"/>
        </w:rPr>
      </w:pPr>
      <w:r>
        <w:rPr>
          <w:rFonts w:hint="eastAsia" w:hAnsi="宋体" w:cs="宋体"/>
          <w:color w:val="auto"/>
          <w:sz w:val="24"/>
          <w:highlight w:val="none"/>
        </w:rPr>
        <w:t>（4）由于中标人的原因未能按照招标文件的规定与采购人签订合同的；</w:t>
      </w:r>
    </w:p>
    <w:p w14:paraId="2F4FA854">
      <w:pPr>
        <w:shd w:val="clear"/>
        <w:spacing w:line="500" w:lineRule="exact"/>
        <w:ind w:firstLine="470" w:firstLineChars="196"/>
        <w:rPr>
          <w:rFonts w:hAnsi="宋体" w:cs="宋体"/>
          <w:color w:val="auto"/>
          <w:sz w:val="24"/>
          <w:highlight w:val="none"/>
        </w:rPr>
      </w:pPr>
      <w:r>
        <w:rPr>
          <w:rFonts w:hint="eastAsia" w:hAnsi="宋体" w:cs="宋体"/>
          <w:color w:val="auto"/>
          <w:sz w:val="24"/>
          <w:highlight w:val="none"/>
        </w:rPr>
        <w:t>（5）投标人提供虚假资料的；</w:t>
      </w:r>
    </w:p>
    <w:p w14:paraId="1F7AA9F6">
      <w:pPr>
        <w:shd w:val="clear"/>
        <w:spacing w:line="500" w:lineRule="exact"/>
        <w:ind w:firstLine="470" w:firstLineChars="196"/>
        <w:rPr>
          <w:rFonts w:hAnsi="宋体" w:cs="宋体"/>
          <w:color w:val="auto"/>
          <w:sz w:val="24"/>
          <w:highlight w:val="none"/>
        </w:rPr>
      </w:pPr>
      <w:r>
        <w:rPr>
          <w:rFonts w:hint="eastAsia" w:hAnsi="宋体" w:cs="宋体"/>
          <w:color w:val="auto"/>
          <w:sz w:val="24"/>
          <w:highlight w:val="none"/>
        </w:rPr>
        <w:t>（6）投标有效期内，投标人在政府采购活动中有违法、违规、违纪行为。</w:t>
      </w:r>
    </w:p>
    <w:p w14:paraId="235CB3B5">
      <w:pPr>
        <w:pStyle w:val="5"/>
        <w:shd w:val="clear"/>
        <w:spacing w:line="500" w:lineRule="exact"/>
        <w:ind w:firstLine="482" w:firstLineChars="200"/>
        <w:rPr>
          <w:rFonts w:hAnsi="宋体" w:cs="宋体"/>
          <w:bCs w:val="0"/>
          <w:color w:val="auto"/>
          <w:sz w:val="24"/>
          <w:highlight w:val="none"/>
        </w:rPr>
      </w:pPr>
      <w:bookmarkStart w:id="60" w:name="_Toc183582224"/>
      <w:bookmarkStart w:id="61" w:name="_Toc183682361"/>
      <w:bookmarkStart w:id="62" w:name="_Toc308164801"/>
      <w:bookmarkStart w:id="63" w:name="_Toc217446051"/>
      <w:r>
        <w:rPr>
          <w:rFonts w:hint="eastAsia" w:hAnsi="宋体" w:cs="宋体"/>
          <w:bCs w:val="0"/>
          <w:color w:val="auto"/>
          <w:sz w:val="24"/>
          <w:highlight w:val="none"/>
        </w:rPr>
        <w:t>17．投标有效期</w:t>
      </w:r>
      <w:bookmarkEnd w:id="60"/>
      <w:bookmarkEnd w:id="61"/>
      <w:bookmarkEnd w:id="62"/>
      <w:bookmarkEnd w:id="63"/>
      <w:r>
        <w:rPr>
          <w:rFonts w:hint="eastAsia" w:hAnsi="宋体" w:cs="宋体"/>
          <w:color w:val="auto"/>
          <w:sz w:val="24"/>
          <w:szCs w:val="24"/>
          <w:highlight w:val="none"/>
        </w:rPr>
        <w:t>（实质性要求）</w:t>
      </w:r>
    </w:p>
    <w:p w14:paraId="367C04F8">
      <w:pPr>
        <w:shd w:val="clear"/>
        <w:tabs>
          <w:tab w:val="left" w:pos="7665"/>
        </w:tabs>
        <w:spacing w:line="500" w:lineRule="exact"/>
        <w:ind w:left="20" w:leftChars="6" w:firstLine="480" w:firstLineChars="200"/>
        <w:rPr>
          <w:rFonts w:hAnsi="宋体" w:cs="宋体"/>
          <w:color w:val="auto"/>
          <w:sz w:val="24"/>
          <w:highlight w:val="none"/>
        </w:rPr>
      </w:pPr>
      <w:r>
        <w:rPr>
          <w:rFonts w:hint="eastAsia" w:hAnsi="宋体" w:cs="宋体"/>
          <w:color w:val="auto"/>
          <w:sz w:val="24"/>
          <w:highlight w:val="none"/>
        </w:rPr>
        <w:t>17.1 本项目投标有效期为提交投标文件的截止之日起90</w:t>
      </w:r>
      <w:r>
        <w:rPr>
          <w:rFonts w:hint="eastAsia" w:hAnsi="宋体" w:cs="宋体"/>
          <w:color w:val="auto"/>
          <w:spacing w:val="-2"/>
          <w:sz w:val="24"/>
          <w:highlight w:val="none"/>
        </w:rPr>
        <w:t>天</w:t>
      </w:r>
      <w:r>
        <w:rPr>
          <w:rFonts w:hint="eastAsia" w:hAnsi="宋体" w:cs="宋体"/>
          <w:color w:val="auto"/>
          <w:sz w:val="24"/>
          <w:highlight w:val="none"/>
        </w:rPr>
        <w:t>。投标人投标文件中必须载明投标有效期，投标文件中载明的投标有效期可以长于招标文件规定的期限，但不得短于招标文件规定的期限。否则，其投标文件将作为无效投标处理。</w:t>
      </w:r>
    </w:p>
    <w:p w14:paraId="4589B0B5">
      <w:pPr>
        <w:shd w:val="clear"/>
        <w:tabs>
          <w:tab w:val="left" w:pos="7665"/>
        </w:tabs>
        <w:spacing w:line="500" w:lineRule="exact"/>
        <w:ind w:left="20" w:leftChars="6" w:firstLine="480" w:firstLineChars="200"/>
        <w:rPr>
          <w:rFonts w:hAnsi="宋体" w:cs="宋体"/>
          <w:color w:val="auto"/>
          <w:sz w:val="24"/>
          <w:highlight w:val="none"/>
        </w:rPr>
      </w:pPr>
      <w:r>
        <w:rPr>
          <w:rFonts w:hint="eastAsia" w:hAnsi="宋体" w:cs="宋体"/>
          <w:color w:val="auto"/>
          <w:sz w:val="24"/>
          <w:highlight w:val="none"/>
        </w:rPr>
        <w:t>17.2 因不可抗力事件，采购人可于投标有效期届满之前与投标人协商延长投标有效期。投标人拒绝延长投标有效期的，不得再参与该项目后续采购活动，但由此给投标人造成的损失，采购人可以自主决定是否可以给予适当补偿。投标人同意延长投标有效期的，不能修改其投标文件。</w:t>
      </w:r>
    </w:p>
    <w:p w14:paraId="08944338">
      <w:pPr>
        <w:shd w:val="clear"/>
        <w:tabs>
          <w:tab w:val="left" w:pos="7665"/>
        </w:tabs>
        <w:spacing w:line="500" w:lineRule="exact"/>
        <w:ind w:left="20" w:leftChars="6" w:firstLine="480" w:firstLineChars="200"/>
        <w:rPr>
          <w:rFonts w:hAnsi="宋体" w:cs="宋体"/>
          <w:color w:val="auto"/>
          <w:sz w:val="24"/>
          <w:highlight w:val="none"/>
        </w:rPr>
      </w:pPr>
      <w:r>
        <w:rPr>
          <w:rFonts w:hint="eastAsia" w:hAnsi="宋体" w:cs="宋体"/>
          <w:color w:val="auto"/>
          <w:sz w:val="24"/>
          <w:highlight w:val="none"/>
        </w:rPr>
        <w:t>17.3 因采购人采购需求作出必要调整，采购人可于投标有效期届满之前与投标人协商延长投标有效期。投标人拒绝延长投标有效期的，不得再参与该项目后续采购活动，但由此给投标人造成的损失，采购人应当予以赔偿或者合理补偿。投标人同意延长投标有效期的，不能修改其投标文件。</w:t>
      </w:r>
    </w:p>
    <w:p w14:paraId="02C00FA4">
      <w:pPr>
        <w:pStyle w:val="5"/>
        <w:shd w:val="clear"/>
        <w:spacing w:line="500" w:lineRule="exact"/>
        <w:ind w:firstLine="482" w:firstLineChars="200"/>
        <w:rPr>
          <w:rFonts w:hAnsi="宋体" w:cs="宋体"/>
          <w:bCs w:val="0"/>
          <w:color w:val="auto"/>
          <w:sz w:val="24"/>
          <w:highlight w:val="none"/>
        </w:rPr>
      </w:pPr>
      <w:bookmarkStart w:id="64" w:name="_Toc183682362"/>
      <w:bookmarkStart w:id="65" w:name="_Toc217446052"/>
      <w:bookmarkStart w:id="66" w:name="_Toc308164802"/>
      <w:bookmarkStart w:id="67" w:name="_Toc183582225"/>
      <w:r>
        <w:rPr>
          <w:rFonts w:hint="eastAsia" w:hAnsi="宋体" w:cs="宋体"/>
          <w:bCs w:val="0"/>
          <w:color w:val="auto"/>
          <w:sz w:val="24"/>
          <w:highlight w:val="none"/>
        </w:rPr>
        <w:t>18．投标文件的印制和签署</w:t>
      </w:r>
      <w:bookmarkEnd w:id="64"/>
      <w:bookmarkEnd w:id="65"/>
      <w:bookmarkEnd w:id="66"/>
      <w:bookmarkEnd w:id="67"/>
    </w:p>
    <w:p w14:paraId="5989F3A2">
      <w:pPr>
        <w:shd w:val="clear"/>
        <w:tabs>
          <w:tab w:val="left" w:pos="1080"/>
        </w:tabs>
        <w:spacing w:line="500" w:lineRule="exact"/>
        <w:ind w:firstLine="460" w:firstLineChars="192"/>
        <w:rPr>
          <w:rFonts w:hAnsi="宋体" w:cs="宋体"/>
          <w:color w:val="auto"/>
          <w:sz w:val="24"/>
          <w:highlight w:val="none"/>
        </w:rPr>
      </w:pPr>
      <w:r>
        <w:rPr>
          <w:rFonts w:hint="eastAsia" w:hAnsi="宋体" w:cs="宋体"/>
          <w:color w:val="auto"/>
          <w:sz w:val="24"/>
          <w:highlight w:val="none"/>
        </w:rPr>
        <w:t>18.1 投标人应按招标文件要求准备投标文件（包含资格性投标文件及其他投标文件）。投标文件的正本和副本应在其封面右上角清楚地标明“正本”或“副本”字样，电子文档采用光盘或U盘制作。若正本和副本、电子文档有不一致的内容，以正本书面投标文件为准。（实质性要求）</w:t>
      </w:r>
    </w:p>
    <w:p w14:paraId="2D07DEC0">
      <w:pPr>
        <w:shd w:val="clear"/>
        <w:tabs>
          <w:tab w:val="left" w:pos="1095"/>
        </w:tabs>
        <w:spacing w:line="500" w:lineRule="exact"/>
        <w:ind w:firstLine="460" w:firstLineChars="192"/>
        <w:rPr>
          <w:rFonts w:hAnsi="宋体" w:cs="宋体"/>
          <w:color w:val="auto"/>
          <w:spacing w:val="-2"/>
          <w:sz w:val="24"/>
          <w:highlight w:val="none"/>
        </w:rPr>
      </w:pPr>
      <w:r>
        <w:rPr>
          <w:rFonts w:hint="eastAsia" w:hAnsi="宋体" w:cs="宋体"/>
          <w:color w:val="auto"/>
          <w:sz w:val="24"/>
          <w:highlight w:val="none"/>
        </w:rPr>
        <w:t>18.2 投标文件统一用A4</w:t>
      </w:r>
      <w:r>
        <w:rPr>
          <w:rFonts w:hint="eastAsia" w:hAnsi="宋体" w:cs="宋体"/>
          <w:color w:val="auto"/>
          <w:spacing w:val="-2"/>
          <w:sz w:val="24"/>
          <w:highlight w:val="none"/>
        </w:rPr>
        <w:t>幅面纸印制（表、图及证件可以除外），</w:t>
      </w:r>
      <w:r>
        <w:rPr>
          <w:rFonts w:hint="eastAsia" w:hAnsi="宋体" w:cs="宋体"/>
          <w:color w:val="auto"/>
          <w:sz w:val="24"/>
          <w:highlight w:val="none"/>
        </w:rPr>
        <w:t>逐页编码并左侧装订成册。</w:t>
      </w:r>
    </w:p>
    <w:p w14:paraId="75A33184">
      <w:pPr>
        <w:shd w:val="clear"/>
        <w:tabs>
          <w:tab w:val="left" w:pos="1095"/>
        </w:tabs>
        <w:spacing w:line="500" w:lineRule="exact"/>
        <w:ind w:firstLine="460" w:firstLineChars="192"/>
        <w:rPr>
          <w:rFonts w:hAnsi="宋体" w:cs="宋体"/>
          <w:color w:val="auto"/>
          <w:sz w:val="24"/>
          <w:szCs w:val="22"/>
          <w:highlight w:val="none"/>
        </w:rPr>
      </w:pPr>
      <w:r>
        <w:rPr>
          <w:rFonts w:hint="eastAsia" w:hAnsi="宋体" w:cs="宋体"/>
          <w:color w:val="auto"/>
          <w:sz w:val="24"/>
          <w:szCs w:val="22"/>
          <w:highlight w:val="none"/>
        </w:rPr>
        <w:t>18.3投标文件的正本均需打印或用不褪色的墨水书写(证明材料除外)。投标文件副本可以为正本的复印件。投标文件应由投标人法定代表人或经法定代表人正式授权的代理人在招标文件要求的地方签字或加盖印章，要求加盖公章的地方加盖公章。开标一览表应按要求签字或加盖印章，盖章，开标一览表应为原件。唱标的开标一览表与投标文件中的开标一览表不一致的，以唱标的开标一览表为准。（实质性要求）</w:t>
      </w:r>
    </w:p>
    <w:p w14:paraId="45B2B42F">
      <w:pPr>
        <w:shd w:val="clear"/>
        <w:tabs>
          <w:tab w:val="left" w:pos="1095"/>
        </w:tabs>
        <w:spacing w:line="500" w:lineRule="exact"/>
        <w:ind w:firstLine="460" w:firstLineChars="192"/>
        <w:rPr>
          <w:rFonts w:hAnsi="宋体" w:cs="宋体"/>
          <w:color w:val="auto"/>
          <w:sz w:val="24"/>
          <w:highlight w:val="none"/>
        </w:rPr>
      </w:pPr>
      <w:r>
        <w:rPr>
          <w:rFonts w:hint="eastAsia" w:hAnsi="宋体" w:cs="宋体"/>
          <w:color w:val="auto"/>
          <w:sz w:val="24"/>
          <w:szCs w:val="22"/>
          <w:highlight w:val="none"/>
        </w:rPr>
        <w:t>18.4投标文件的打印和书写应清楚工整，任何行间插字、涂改或增删，必须由投标人的法定代表人或其授权代理人签字或加盖印章。（实质性要求）</w:t>
      </w:r>
    </w:p>
    <w:p w14:paraId="5ACD6516">
      <w:pPr>
        <w:shd w:val="clear"/>
        <w:tabs>
          <w:tab w:val="left" w:pos="1080"/>
        </w:tabs>
        <w:spacing w:line="500" w:lineRule="exact"/>
        <w:ind w:firstLine="460" w:firstLineChars="192"/>
        <w:rPr>
          <w:rFonts w:hAnsi="宋体" w:cs="宋体"/>
          <w:color w:val="auto"/>
          <w:sz w:val="24"/>
          <w:highlight w:val="none"/>
        </w:rPr>
      </w:pPr>
      <w:r>
        <w:rPr>
          <w:rFonts w:hint="eastAsia" w:hAnsi="宋体" w:cs="宋体"/>
          <w:color w:val="auto"/>
          <w:sz w:val="24"/>
          <w:highlight w:val="none"/>
        </w:rPr>
        <w:t>18.5 投标文件正本和副本应当采取左侧胶装方式装订成册，不得散装或者合页装订。</w:t>
      </w:r>
    </w:p>
    <w:p w14:paraId="2179F156">
      <w:pPr>
        <w:shd w:val="clear"/>
        <w:tabs>
          <w:tab w:val="left" w:pos="1080"/>
        </w:tabs>
        <w:spacing w:line="500" w:lineRule="exact"/>
        <w:ind w:firstLine="460" w:firstLineChars="192"/>
        <w:rPr>
          <w:rFonts w:hAnsi="宋体" w:cs="宋体"/>
          <w:color w:val="auto"/>
          <w:sz w:val="24"/>
          <w:szCs w:val="22"/>
          <w:highlight w:val="none"/>
        </w:rPr>
      </w:pPr>
      <w:r>
        <w:rPr>
          <w:rFonts w:hint="eastAsia" w:hAnsi="宋体" w:cs="宋体"/>
          <w:color w:val="auto"/>
          <w:sz w:val="24"/>
          <w:szCs w:val="22"/>
          <w:highlight w:val="none"/>
        </w:rPr>
        <w:t>18.5 投标文件应根据招标文件的要求制作、签署、盖章。（1、招标文件中要求提供复印件加盖公章的证明材料的，复印件所在页按要求加盖了公章或复印件为多页但至少有一页按要求加盖了公章的，视为满足复印件加盖公章的要求；2、招标文件中要求提供复印件的证明材料的，系指原件的复印件或影印件）。（实质性要求）</w:t>
      </w:r>
    </w:p>
    <w:p w14:paraId="31035B47">
      <w:pPr>
        <w:shd w:val="clear"/>
        <w:tabs>
          <w:tab w:val="left" w:pos="1080"/>
        </w:tabs>
        <w:spacing w:line="500" w:lineRule="exact"/>
        <w:ind w:firstLine="460" w:firstLineChars="192"/>
        <w:rPr>
          <w:rFonts w:hAnsi="宋体" w:cs="宋体"/>
          <w:color w:val="auto"/>
          <w:highlight w:val="none"/>
        </w:rPr>
      </w:pPr>
      <w:r>
        <w:rPr>
          <w:rFonts w:hint="eastAsia" w:hAnsi="宋体" w:cs="宋体"/>
          <w:color w:val="auto"/>
          <w:sz w:val="24"/>
          <w:szCs w:val="22"/>
          <w:highlight w:val="none"/>
        </w:rPr>
        <w:t>18.6所有要求盖公章的地方都应加盖投标人单位（法定名称）章（鲜章），不得使用专用章（如经</w:t>
      </w:r>
      <w:r>
        <w:rPr>
          <w:rFonts w:hint="eastAsia" w:hAnsi="宋体" w:cs="宋体"/>
          <w:color w:val="auto"/>
          <w:spacing w:val="-1"/>
          <w:sz w:val="24"/>
          <w:highlight w:val="none"/>
        </w:rPr>
        <w:t>济合同章、投标专用章等）或下属单位印章代替。（实质性要求）</w:t>
      </w:r>
    </w:p>
    <w:p w14:paraId="7F9A52FB">
      <w:pPr>
        <w:pStyle w:val="5"/>
        <w:shd w:val="clear"/>
        <w:spacing w:line="500" w:lineRule="exact"/>
        <w:ind w:firstLine="482" w:firstLineChars="200"/>
        <w:rPr>
          <w:rFonts w:hAnsi="宋体" w:cs="宋体"/>
          <w:bCs w:val="0"/>
          <w:color w:val="auto"/>
          <w:sz w:val="24"/>
          <w:highlight w:val="none"/>
        </w:rPr>
      </w:pPr>
      <w:bookmarkStart w:id="68" w:name="_Toc77400781"/>
      <w:bookmarkStart w:id="69" w:name="_Toc183682363"/>
      <w:bookmarkStart w:id="70" w:name="_Toc183582226"/>
      <w:bookmarkStart w:id="71" w:name="_Toc89075877"/>
      <w:bookmarkStart w:id="72" w:name="_Toc308164803"/>
      <w:bookmarkStart w:id="73" w:name="_Toc217446053"/>
      <w:r>
        <w:rPr>
          <w:rFonts w:hint="eastAsia" w:hAnsi="宋体" w:cs="宋体"/>
          <w:bCs w:val="0"/>
          <w:color w:val="auto"/>
          <w:sz w:val="24"/>
          <w:highlight w:val="none"/>
        </w:rPr>
        <w:t>19.投标文件的密封和标</w:t>
      </w:r>
      <w:bookmarkEnd w:id="68"/>
      <w:bookmarkEnd w:id="69"/>
      <w:bookmarkEnd w:id="70"/>
      <w:bookmarkEnd w:id="71"/>
      <w:r>
        <w:rPr>
          <w:rFonts w:hint="eastAsia" w:hAnsi="宋体" w:cs="宋体"/>
          <w:bCs w:val="0"/>
          <w:color w:val="auto"/>
          <w:sz w:val="24"/>
          <w:highlight w:val="none"/>
        </w:rPr>
        <w:t>注</w:t>
      </w:r>
      <w:bookmarkEnd w:id="72"/>
      <w:bookmarkEnd w:id="73"/>
    </w:p>
    <w:p w14:paraId="3362E5F2">
      <w:pPr>
        <w:shd w:val="clear"/>
        <w:tabs>
          <w:tab w:val="left" w:pos="1080"/>
        </w:tabs>
        <w:spacing w:line="500" w:lineRule="exact"/>
        <w:ind w:firstLine="460" w:firstLineChars="192"/>
        <w:rPr>
          <w:rFonts w:hAnsi="宋体" w:cs="宋体"/>
          <w:color w:val="auto"/>
          <w:sz w:val="24"/>
          <w:szCs w:val="22"/>
          <w:highlight w:val="none"/>
        </w:rPr>
      </w:pPr>
      <w:r>
        <w:rPr>
          <w:rFonts w:hint="eastAsia" w:hAnsi="宋体" w:cs="宋体"/>
          <w:color w:val="auto"/>
          <w:sz w:val="24"/>
          <w:szCs w:val="22"/>
          <w:highlight w:val="none"/>
        </w:rPr>
        <w:t>投标文件包括正本、副本、电子文档和用于开标唱标单独提交的“开标一览表”。</w:t>
      </w:r>
    </w:p>
    <w:p w14:paraId="25F5B132">
      <w:pPr>
        <w:shd w:val="clear"/>
        <w:tabs>
          <w:tab w:val="left" w:pos="1080"/>
        </w:tabs>
        <w:spacing w:line="500" w:lineRule="exact"/>
        <w:ind w:firstLine="460" w:firstLineChars="192"/>
        <w:rPr>
          <w:rFonts w:hAnsi="宋体" w:cs="宋体"/>
          <w:color w:val="auto"/>
          <w:sz w:val="24"/>
          <w:szCs w:val="22"/>
          <w:highlight w:val="none"/>
        </w:rPr>
      </w:pPr>
      <w:r>
        <w:rPr>
          <w:rFonts w:hint="eastAsia" w:hAnsi="宋体" w:cs="宋体"/>
          <w:color w:val="auto"/>
          <w:sz w:val="24"/>
          <w:szCs w:val="22"/>
          <w:highlight w:val="none"/>
        </w:rPr>
        <w:t>19.1 投标文件正本、副本的包装和密封、标注。</w:t>
      </w:r>
    </w:p>
    <w:p w14:paraId="0A8FABA8">
      <w:pPr>
        <w:shd w:val="clear"/>
        <w:tabs>
          <w:tab w:val="left" w:pos="1080"/>
        </w:tabs>
        <w:spacing w:line="500" w:lineRule="exact"/>
        <w:ind w:firstLine="460" w:firstLineChars="192"/>
        <w:rPr>
          <w:rFonts w:hAnsi="宋体" w:cs="宋体"/>
          <w:color w:val="auto"/>
          <w:sz w:val="24"/>
          <w:szCs w:val="22"/>
          <w:highlight w:val="none"/>
        </w:rPr>
      </w:pPr>
      <w:r>
        <w:rPr>
          <w:rFonts w:hint="eastAsia" w:hAnsi="宋体" w:cs="宋体"/>
          <w:color w:val="auto"/>
          <w:sz w:val="24"/>
          <w:szCs w:val="22"/>
          <w:highlight w:val="none"/>
        </w:rPr>
        <w:t>19.1.1.投标文件正本、副本应分别密封包装。</w:t>
      </w:r>
    </w:p>
    <w:p w14:paraId="174A5273">
      <w:pPr>
        <w:shd w:val="clear"/>
        <w:tabs>
          <w:tab w:val="left" w:pos="1080"/>
        </w:tabs>
        <w:spacing w:line="500" w:lineRule="exact"/>
        <w:ind w:firstLine="460" w:firstLineChars="192"/>
        <w:rPr>
          <w:rFonts w:hAnsi="宋体" w:cs="宋体"/>
          <w:color w:val="auto"/>
          <w:sz w:val="24"/>
          <w:highlight w:val="none"/>
        </w:rPr>
      </w:pPr>
      <w:r>
        <w:rPr>
          <w:rFonts w:hint="eastAsia" w:hAnsi="宋体" w:cs="宋体"/>
          <w:color w:val="auto"/>
          <w:sz w:val="24"/>
          <w:highlight w:val="none"/>
        </w:rPr>
        <w:t>19.1.2投标人应在投标文件正本和所有副本的封面上注明投标人名称、招标编号、项目名称及分包号（如有分包）。</w:t>
      </w:r>
    </w:p>
    <w:p w14:paraId="495B50D0">
      <w:pPr>
        <w:shd w:val="clear"/>
        <w:tabs>
          <w:tab w:val="left" w:pos="1080"/>
        </w:tabs>
        <w:spacing w:line="500" w:lineRule="exact"/>
        <w:ind w:firstLine="460" w:firstLineChars="192"/>
        <w:rPr>
          <w:rFonts w:hAnsi="宋体" w:cs="宋体"/>
          <w:color w:val="auto"/>
          <w:sz w:val="24"/>
          <w:highlight w:val="none"/>
        </w:rPr>
      </w:pPr>
      <w:r>
        <w:rPr>
          <w:rFonts w:hint="eastAsia" w:hAnsi="宋体" w:cs="宋体"/>
          <w:color w:val="auto"/>
          <w:sz w:val="24"/>
          <w:szCs w:val="22"/>
          <w:highlight w:val="none"/>
        </w:rPr>
        <w:t>19.1.3每一个包装的最外层应标明采购项目名称、招标编号、投标人名称，以及分包号（如有分包），并</w:t>
      </w:r>
      <w:r>
        <w:rPr>
          <w:rFonts w:hint="eastAsia" w:hAnsi="宋体" w:cs="宋体"/>
          <w:color w:val="auto"/>
          <w:sz w:val="24"/>
          <w:highlight w:val="none"/>
        </w:rPr>
        <w:t>加盖投标人公章。</w:t>
      </w:r>
    </w:p>
    <w:p w14:paraId="3FA27F17">
      <w:pPr>
        <w:shd w:val="clear"/>
        <w:tabs>
          <w:tab w:val="left" w:pos="1080"/>
        </w:tabs>
        <w:spacing w:line="500" w:lineRule="exact"/>
        <w:ind w:firstLine="460" w:firstLineChars="192"/>
        <w:rPr>
          <w:rFonts w:hAnsi="宋体" w:cs="宋体"/>
          <w:color w:val="auto"/>
          <w:sz w:val="24"/>
          <w:szCs w:val="22"/>
          <w:highlight w:val="none"/>
        </w:rPr>
      </w:pPr>
      <w:r>
        <w:rPr>
          <w:rFonts w:hint="eastAsia" w:hAnsi="宋体" w:cs="宋体"/>
          <w:color w:val="auto"/>
          <w:sz w:val="24"/>
          <w:szCs w:val="22"/>
          <w:highlight w:val="none"/>
        </w:rPr>
        <w:t>19.2开标一览表及电子文档的包装和密封、标注</w:t>
      </w:r>
    </w:p>
    <w:p w14:paraId="4C3E57C5">
      <w:pPr>
        <w:shd w:val="clear"/>
        <w:tabs>
          <w:tab w:val="left" w:pos="1080"/>
        </w:tabs>
        <w:spacing w:line="500" w:lineRule="exact"/>
        <w:ind w:firstLine="460" w:firstLineChars="192"/>
        <w:rPr>
          <w:rFonts w:hAnsi="宋体" w:cs="宋体"/>
          <w:color w:val="auto"/>
          <w:sz w:val="24"/>
          <w:szCs w:val="22"/>
          <w:highlight w:val="none"/>
        </w:rPr>
      </w:pPr>
      <w:r>
        <w:rPr>
          <w:rFonts w:hint="eastAsia" w:hAnsi="宋体" w:cs="宋体"/>
          <w:color w:val="auto"/>
          <w:sz w:val="24"/>
          <w:szCs w:val="22"/>
          <w:highlight w:val="none"/>
        </w:rPr>
        <w:t>19.2.1为方便开标唱标，投标人应将开标一览表与投标文件和电子文档分开单独包装，投标时，同时递交。</w:t>
      </w:r>
    </w:p>
    <w:p w14:paraId="24FD6CCD">
      <w:pPr>
        <w:shd w:val="clear"/>
        <w:tabs>
          <w:tab w:val="left" w:pos="1080"/>
        </w:tabs>
        <w:spacing w:line="500" w:lineRule="exact"/>
        <w:ind w:firstLine="460" w:firstLineChars="192"/>
        <w:rPr>
          <w:rFonts w:hAnsi="宋体" w:cs="宋体"/>
          <w:color w:val="auto"/>
          <w:sz w:val="24"/>
          <w:szCs w:val="22"/>
          <w:highlight w:val="none"/>
        </w:rPr>
      </w:pPr>
      <w:r>
        <w:rPr>
          <w:rFonts w:hint="eastAsia" w:hAnsi="宋体" w:cs="宋体"/>
          <w:color w:val="auto"/>
          <w:sz w:val="24"/>
          <w:szCs w:val="22"/>
          <w:highlight w:val="none"/>
        </w:rPr>
        <w:t>19.2.2每一个包装的最外层应标明采购项目名称、招标编号、投标人名称，以及分包号（如有分包），并加盖投标人公章。</w:t>
      </w:r>
    </w:p>
    <w:p w14:paraId="76858E53">
      <w:pPr>
        <w:shd w:val="clear"/>
        <w:tabs>
          <w:tab w:val="left" w:pos="1080"/>
        </w:tabs>
        <w:spacing w:line="500" w:lineRule="exact"/>
        <w:ind w:firstLine="460" w:firstLineChars="192"/>
        <w:rPr>
          <w:rFonts w:hAnsi="宋体" w:cs="宋体"/>
          <w:color w:val="auto"/>
          <w:sz w:val="24"/>
          <w:szCs w:val="22"/>
          <w:highlight w:val="none"/>
        </w:rPr>
      </w:pPr>
      <w:r>
        <w:rPr>
          <w:rFonts w:hint="eastAsia" w:hAnsi="宋体" w:cs="宋体"/>
          <w:color w:val="auto"/>
          <w:sz w:val="24"/>
          <w:szCs w:val="22"/>
          <w:highlight w:val="none"/>
        </w:rPr>
        <w:t>19.2.3如有分包，投标人须分包密封和标注，投标时，同时递交。</w:t>
      </w:r>
    </w:p>
    <w:p w14:paraId="68CA880B">
      <w:pPr>
        <w:shd w:val="clear"/>
        <w:tabs>
          <w:tab w:val="left" w:pos="0"/>
        </w:tabs>
        <w:spacing w:line="560" w:lineRule="exact"/>
        <w:ind w:firstLine="480" w:firstLineChars="200"/>
        <w:rPr>
          <w:rFonts w:hAnsi="宋体" w:cs="宋体"/>
          <w:color w:val="auto"/>
          <w:highlight w:val="none"/>
        </w:rPr>
      </w:pPr>
      <w:r>
        <w:rPr>
          <w:rFonts w:hint="eastAsia" w:hAnsi="宋体" w:cs="宋体"/>
          <w:color w:val="auto"/>
          <w:sz w:val="24"/>
          <w:szCs w:val="22"/>
          <w:highlight w:val="none"/>
        </w:rPr>
        <w:t>19.3</w:t>
      </w:r>
      <w:r>
        <w:rPr>
          <w:rFonts w:hint="eastAsia" w:hAnsi="宋体" w:cs="宋体"/>
          <w:color w:val="auto"/>
          <w:sz w:val="24"/>
          <w:highlight w:val="none"/>
        </w:rPr>
        <w:t>所有外层密封袋的封口处应粘贴牢固，并加盖密封章（投标人公章）。</w:t>
      </w:r>
    </w:p>
    <w:p w14:paraId="0711F5E0">
      <w:pPr>
        <w:shd w:val="clear"/>
        <w:tabs>
          <w:tab w:val="left" w:pos="1080"/>
        </w:tabs>
        <w:spacing w:line="500" w:lineRule="exact"/>
        <w:ind w:firstLine="460" w:firstLineChars="192"/>
        <w:rPr>
          <w:rFonts w:hAnsi="宋体" w:cs="宋体"/>
          <w:color w:val="auto"/>
          <w:sz w:val="24"/>
          <w:szCs w:val="22"/>
          <w:highlight w:val="none"/>
        </w:rPr>
      </w:pPr>
      <w:r>
        <w:rPr>
          <w:rFonts w:hint="eastAsia" w:hAnsi="宋体" w:cs="宋体"/>
          <w:color w:val="auto"/>
          <w:sz w:val="24"/>
          <w:szCs w:val="22"/>
          <w:highlight w:val="none"/>
        </w:rPr>
        <w:t>19.4未按照招标文件要求密封和标注的投标文件，采购人、采购代理机构应当拒收。</w:t>
      </w:r>
    </w:p>
    <w:p w14:paraId="26516E07">
      <w:pPr>
        <w:pStyle w:val="5"/>
        <w:shd w:val="clear"/>
        <w:spacing w:line="500" w:lineRule="exact"/>
        <w:ind w:firstLine="482" w:firstLineChars="200"/>
        <w:rPr>
          <w:rFonts w:hAnsi="宋体" w:cs="宋体"/>
          <w:bCs w:val="0"/>
          <w:color w:val="auto"/>
          <w:sz w:val="24"/>
          <w:szCs w:val="24"/>
          <w:highlight w:val="none"/>
        </w:rPr>
      </w:pPr>
      <w:bookmarkStart w:id="74" w:name="_Toc183582227"/>
      <w:bookmarkStart w:id="75" w:name="_Toc183682364"/>
      <w:bookmarkStart w:id="76" w:name="_Toc217446054"/>
      <w:bookmarkStart w:id="77" w:name="_Toc308164804"/>
      <w:r>
        <w:rPr>
          <w:rFonts w:hint="eastAsia" w:hAnsi="宋体" w:cs="宋体"/>
          <w:bCs w:val="0"/>
          <w:color w:val="auto"/>
          <w:sz w:val="24"/>
          <w:szCs w:val="24"/>
          <w:highlight w:val="none"/>
        </w:rPr>
        <w:t>20</w:t>
      </w:r>
      <w:r>
        <w:rPr>
          <w:rFonts w:hint="eastAsia" w:hAnsi="宋体" w:cs="宋体"/>
          <w:bCs w:val="0"/>
          <w:color w:val="auto"/>
          <w:sz w:val="28"/>
          <w:szCs w:val="28"/>
          <w:highlight w:val="none"/>
        </w:rPr>
        <w:t>．</w:t>
      </w:r>
      <w:r>
        <w:rPr>
          <w:rFonts w:hint="eastAsia" w:hAnsi="宋体" w:cs="宋体"/>
          <w:bCs w:val="0"/>
          <w:color w:val="auto"/>
          <w:sz w:val="24"/>
          <w:szCs w:val="24"/>
          <w:highlight w:val="none"/>
        </w:rPr>
        <w:t>投标文件的</w:t>
      </w:r>
      <w:bookmarkEnd w:id="74"/>
      <w:bookmarkEnd w:id="75"/>
      <w:r>
        <w:rPr>
          <w:rFonts w:hint="eastAsia" w:hAnsi="宋体" w:cs="宋体"/>
          <w:bCs w:val="0"/>
          <w:color w:val="auto"/>
          <w:sz w:val="24"/>
          <w:szCs w:val="24"/>
          <w:highlight w:val="none"/>
        </w:rPr>
        <w:t>递交</w:t>
      </w:r>
      <w:bookmarkEnd w:id="76"/>
      <w:bookmarkEnd w:id="77"/>
    </w:p>
    <w:p w14:paraId="6B4D0CAE">
      <w:pPr>
        <w:shd w:val="clear"/>
        <w:tabs>
          <w:tab w:val="left" w:pos="1095"/>
        </w:tabs>
        <w:spacing w:line="500" w:lineRule="exact"/>
        <w:ind w:firstLine="460" w:firstLineChars="192"/>
        <w:rPr>
          <w:rFonts w:hAnsi="宋体" w:cs="宋体"/>
          <w:color w:val="auto"/>
          <w:sz w:val="24"/>
          <w:highlight w:val="none"/>
        </w:rPr>
      </w:pPr>
      <w:r>
        <w:rPr>
          <w:rFonts w:hint="eastAsia" w:hAnsi="宋体" w:cs="宋体"/>
          <w:color w:val="auto"/>
          <w:sz w:val="24"/>
          <w:highlight w:val="none"/>
        </w:rPr>
        <w:t>20.1 投标人应在招标文件规定的投标截止时间前，将投标文件按招标文件的规定密封后送达开标地点。采购人或者采购代理机构收到投标文件后，应当如实记载投标文件的送达时间和密封情况，签收保存，并向投标人出具签收回执。投标截止时间以后送达的投标文件将不予接收，招标采购单位将告知投标人不予接收的原因。</w:t>
      </w:r>
    </w:p>
    <w:p w14:paraId="0164AC79">
      <w:pPr>
        <w:shd w:val="clear"/>
        <w:tabs>
          <w:tab w:val="left" w:pos="1095"/>
        </w:tabs>
        <w:spacing w:line="500" w:lineRule="exact"/>
        <w:ind w:firstLine="460" w:firstLineChars="192"/>
        <w:rPr>
          <w:rFonts w:hAnsi="宋体" w:cs="宋体"/>
          <w:color w:val="auto"/>
          <w:sz w:val="24"/>
          <w:highlight w:val="none"/>
        </w:rPr>
      </w:pPr>
      <w:r>
        <w:rPr>
          <w:rFonts w:hint="eastAsia" w:hAnsi="宋体" w:cs="宋体"/>
          <w:color w:val="auto"/>
          <w:sz w:val="24"/>
          <w:highlight w:val="none"/>
        </w:rPr>
        <w:t>任何单位和个人不得在开标前开启投标文件。</w:t>
      </w:r>
    </w:p>
    <w:p w14:paraId="19E42BD1">
      <w:pPr>
        <w:shd w:val="clear"/>
        <w:tabs>
          <w:tab w:val="left" w:pos="1095"/>
        </w:tabs>
        <w:spacing w:line="500" w:lineRule="exact"/>
        <w:ind w:firstLine="460" w:firstLineChars="192"/>
        <w:rPr>
          <w:rFonts w:hAnsi="宋体" w:cs="宋体"/>
          <w:color w:val="auto"/>
          <w:sz w:val="24"/>
          <w:highlight w:val="none"/>
        </w:rPr>
      </w:pPr>
      <w:r>
        <w:rPr>
          <w:rFonts w:hint="eastAsia" w:hAnsi="宋体" w:cs="宋体"/>
          <w:color w:val="auto"/>
          <w:sz w:val="24"/>
          <w:szCs w:val="22"/>
          <w:highlight w:val="none"/>
        </w:rPr>
        <w:t>20.2 因招标文件的修改推迟投标截止日期的，按四川标源招标代理有限公司的书面通知</w:t>
      </w:r>
      <w:r>
        <w:rPr>
          <w:rFonts w:hint="eastAsia" w:hAnsi="宋体" w:cs="宋体"/>
          <w:color w:val="auto"/>
          <w:sz w:val="24"/>
          <w:highlight w:val="none"/>
        </w:rPr>
        <w:t>修改的时间递交。</w:t>
      </w:r>
    </w:p>
    <w:p w14:paraId="475BF51D">
      <w:pPr>
        <w:shd w:val="clear"/>
        <w:tabs>
          <w:tab w:val="left" w:pos="1095"/>
        </w:tabs>
        <w:spacing w:line="500" w:lineRule="exact"/>
        <w:ind w:firstLine="460" w:firstLineChars="192"/>
        <w:rPr>
          <w:rFonts w:hAnsi="宋体" w:cs="宋体"/>
          <w:color w:val="auto"/>
          <w:sz w:val="24"/>
          <w:highlight w:val="none"/>
        </w:rPr>
      </w:pPr>
      <w:r>
        <w:rPr>
          <w:rFonts w:hint="eastAsia" w:hAnsi="宋体" w:cs="宋体"/>
          <w:color w:val="auto"/>
          <w:sz w:val="24"/>
          <w:highlight w:val="none"/>
        </w:rPr>
        <w:t>20.3递交投标文件时，报名投标人名称和招标编号、分包号应当与投标人名称和招标编号、分包号一致。但是，投标文件实质内容报名投标人名称和招标编号、分包号一致，只是封面文字错误的，可以在评标过程中当面予以澄清，以有效的澄清材料作为认定投标文件是否有效的依据。</w:t>
      </w:r>
    </w:p>
    <w:p w14:paraId="0F6F85D8">
      <w:pPr>
        <w:shd w:val="clear"/>
        <w:tabs>
          <w:tab w:val="left" w:pos="1095"/>
        </w:tabs>
        <w:spacing w:line="500" w:lineRule="exact"/>
        <w:ind w:firstLine="460" w:firstLineChars="192"/>
        <w:rPr>
          <w:rFonts w:hAnsi="宋体" w:cs="宋体"/>
          <w:color w:val="auto"/>
          <w:sz w:val="24"/>
          <w:highlight w:val="none"/>
        </w:rPr>
      </w:pPr>
      <w:r>
        <w:rPr>
          <w:rFonts w:hint="eastAsia" w:hAnsi="宋体" w:cs="宋体"/>
          <w:color w:val="auto"/>
          <w:sz w:val="24"/>
          <w:highlight w:val="none"/>
        </w:rPr>
        <w:t>20.4本次招标不接收邮寄的投标文件。</w:t>
      </w:r>
    </w:p>
    <w:p w14:paraId="65556D4D">
      <w:pPr>
        <w:pStyle w:val="5"/>
        <w:shd w:val="clear"/>
        <w:spacing w:line="500" w:lineRule="exact"/>
        <w:ind w:firstLine="482" w:firstLineChars="200"/>
        <w:rPr>
          <w:rFonts w:hAnsi="宋体" w:cs="宋体"/>
          <w:bCs w:val="0"/>
          <w:color w:val="auto"/>
          <w:sz w:val="24"/>
          <w:szCs w:val="24"/>
          <w:highlight w:val="none"/>
        </w:rPr>
      </w:pPr>
      <w:bookmarkStart w:id="78" w:name="_Toc183682365"/>
      <w:bookmarkStart w:id="79" w:name="_Toc183582228"/>
      <w:bookmarkStart w:id="80" w:name="_Toc217446055"/>
      <w:r>
        <w:rPr>
          <w:rFonts w:hint="eastAsia" w:hAnsi="宋体" w:cs="宋体"/>
          <w:bCs w:val="0"/>
          <w:color w:val="auto"/>
          <w:sz w:val="24"/>
          <w:szCs w:val="24"/>
          <w:highlight w:val="none"/>
        </w:rPr>
        <w:t>21．投标文件的修改和撤</w:t>
      </w:r>
      <w:bookmarkEnd w:id="78"/>
      <w:bookmarkEnd w:id="79"/>
      <w:r>
        <w:rPr>
          <w:rFonts w:hint="eastAsia" w:hAnsi="宋体" w:cs="宋体"/>
          <w:bCs w:val="0"/>
          <w:color w:val="auto"/>
          <w:sz w:val="24"/>
          <w:szCs w:val="24"/>
          <w:highlight w:val="none"/>
        </w:rPr>
        <w:t>回</w:t>
      </w:r>
      <w:bookmarkEnd w:id="80"/>
    </w:p>
    <w:p w14:paraId="0F841F69">
      <w:pPr>
        <w:shd w:val="clear"/>
        <w:spacing w:line="500" w:lineRule="exact"/>
        <w:ind w:firstLine="470" w:firstLineChars="196"/>
        <w:rPr>
          <w:rFonts w:hAnsi="宋体" w:cs="宋体"/>
          <w:color w:val="auto"/>
          <w:sz w:val="24"/>
          <w:szCs w:val="22"/>
          <w:highlight w:val="none"/>
        </w:rPr>
      </w:pPr>
      <w:r>
        <w:rPr>
          <w:rFonts w:hint="eastAsia" w:hAnsi="宋体" w:cs="宋体"/>
          <w:color w:val="auto"/>
          <w:sz w:val="24"/>
          <w:szCs w:val="22"/>
          <w:highlight w:val="none"/>
        </w:rPr>
        <w:t>21.1 投标人在投标截止时间前，可以对所递交的投标文件进行补充、修改或者撤回，并书面通知采购人或者采购代理机构。补充、修改的内容应当按照招标文件要求签署、盖章、密封后，作为投标文件的组成部分。</w:t>
      </w:r>
    </w:p>
    <w:p w14:paraId="34C12096">
      <w:pPr>
        <w:shd w:val="clear"/>
        <w:spacing w:line="500" w:lineRule="exact"/>
        <w:ind w:firstLine="470" w:firstLineChars="196"/>
        <w:rPr>
          <w:rFonts w:hAnsi="宋体" w:cs="宋体"/>
          <w:color w:val="auto"/>
          <w:sz w:val="24"/>
          <w:highlight w:val="none"/>
        </w:rPr>
      </w:pPr>
      <w:r>
        <w:rPr>
          <w:rFonts w:hint="eastAsia" w:hAnsi="宋体" w:cs="宋体"/>
          <w:color w:val="auto"/>
          <w:sz w:val="24"/>
          <w:highlight w:val="none"/>
        </w:rPr>
        <w:t>21.2 投标人的修改书或撤回通知书，应由其法定代表人或授权代表签署并盖单位印章。修改书应按投标须知第19条规定进行密封和标注，并在密封袋上标注“修改”字样。</w:t>
      </w:r>
    </w:p>
    <w:p w14:paraId="4E8D16DF">
      <w:pPr>
        <w:shd w:val="clear"/>
        <w:spacing w:line="500" w:lineRule="exact"/>
        <w:ind w:firstLine="480"/>
        <w:rPr>
          <w:rFonts w:hAnsi="宋体" w:cs="宋体"/>
          <w:color w:val="auto"/>
          <w:sz w:val="24"/>
          <w:highlight w:val="none"/>
        </w:rPr>
      </w:pPr>
      <w:r>
        <w:rPr>
          <w:rFonts w:hint="eastAsia" w:hAnsi="宋体" w:cs="宋体"/>
          <w:color w:val="auto"/>
          <w:sz w:val="24"/>
          <w:highlight w:val="none"/>
        </w:rPr>
        <w:t>21.3 在投标截止时间之后，投标人不得对其递交的投标文件做任何修改或撤回投标。</w:t>
      </w:r>
    </w:p>
    <w:p w14:paraId="098B48A2">
      <w:pPr>
        <w:pStyle w:val="4"/>
        <w:shd w:val="clear"/>
        <w:spacing w:line="500" w:lineRule="exact"/>
        <w:jc w:val="center"/>
        <w:rPr>
          <w:rFonts w:ascii="宋体" w:hAnsi="宋体" w:eastAsia="宋体" w:cs="宋体"/>
          <w:color w:val="auto"/>
          <w:highlight w:val="none"/>
        </w:rPr>
      </w:pPr>
      <w:bookmarkStart w:id="81" w:name="_Toc217446056"/>
      <w:bookmarkStart w:id="82" w:name="_Toc183582231"/>
      <w:bookmarkStart w:id="83" w:name="_Toc89075878"/>
      <w:bookmarkStart w:id="84" w:name="_Toc308164805"/>
      <w:bookmarkStart w:id="85" w:name="_Toc183682368"/>
      <w:bookmarkStart w:id="86" w:name="_Toc77400782"/>
      <w:r>
        <w:rPr>
          <w:rFonts w:hint="eastAsia" w:ascii="宋体" w:hAnsi="宋体" w:eastAsia="宋体" w:cs="宋体"/>
          <w:color w:val="auto"/>
          <w:highlight w:val="none"/>
        </w:rPr>
        <w:t>五、开标和中标</w:t>
      </w:r>
      <w:bookmarkEnd w:id="81"/>
      <w:bookmarkEnd w:id="82"/>
      <w:bookmarkEnd w:id="83"/>
      <w:bookmarkEnd w:id="84"/>
      <w:bookmarkEnd w:id="85"/>
      <w:bookmarkEnd w:id="86"/>
    </w:p>
    <w:p w14:paraId="4E42C64A">
      <w:pPr>
        <w:pStyle w:val="5"/>
        <w:shd w:val="clear"/>
        <w:spacing w:line="500" w:lineRule="exact"/>
        <w:ind w:firstLine="482" w:firstLineChars="200"/>
        <w:rPr>
          <w:rFonts w:hAnsi="宋体" w:cs="宋体"/>
          <w:bCs w:val="0"/>
          <w:color w:val="auto"/>
          <w:sz w:val="24"/>
          <w:highlight w:val="none"/>
        </w:rPr>
      </w:pPr>
      <w:bookmarkStart w:id="87" w:name="_Toc183582232"/>
      <w:bookmarkStart w:id="88" w:name="_Toc308164806"/>
      <w:bookmarkStart w:id="89" w:name="_Toc183682369"/>
      <w:bookmarkStart w:id="90" w:name="_Toc217446057"/>
      <w:r>
        <w:rPr>
          <w:rFonts w:hint="eastAsia" w:hAnsi="宋体" w:cs="宋体"/>
          <w:bCs w:val="0"/>
          <w:color w:val="auto"/>
          <w:sz w:val="24"/>
          <w:highlight w:val="none"/>
        </w:rPr>
        <w:t>22．开标</w:t>
      </w:r>
      <w:bookmarkEnd w:id="87"/>
      <w:bookmarkEnd w:id="88"/>
      <w:bookmarkEnd w:id="89"/>
      <w:bookmarkEnd w:id="90"/>
    </w:p>
    <w:p w14:paraId="7BD969DB">
      <w:pPr>
        <w:shd w:val="clear"/>
        <w:spacing w:before="120" w:line="500" w:lineRule="exact"/>
        <w:ind w:firstLine="480" w:firstLineChars="200"/>
        <w:rPr>
          <w:rFonts w:hAnsi="宋体" w:cs="宋体"/>
          <w:color w:val="auto"/>
          <w:sz w:val="24"/>
          <w:szCs w:val="22"/>
          <w:highlight w:val="none"/>
        </w:rPr>
      </w:pPr>
      <w:r>
        <w:rPr>
          <w:rFonts w:hint="eastAsia" w:hAnsi="宋体" w:cs="宋体"/>
          <w:color w:val="auto"/>
          <w:sz w:val="24"/>
          <w:szCs w:val="22"/>
          <w:highlight w:val="none"/>
        </w:rPr>
        <w:t>22.1采购代理机构在招标文件规定的时间和地点组织公开开标，采购人、投标人法定代表或代理人参加并签到以证明其出席。开标由采购代理机构主持，采购人、投标人代表参加。评标专家不参加开标活动。</w:t>
      </w:r>
    </w:p>
    <w:p w14:paraId="0843682D">
      <w:pPr>
        <w:shd w:val="clear"/>
        <w:spacing w:before="120" w:line="500" w:lineRule="exact"/>
        <w:ind w:firstLine="480" w:firstLineChars="200"/>
        <w:rPr>
          <w:rFonts w:hAnsi="宋体" w:cs="宋体"/>
          <w:color w:val="auto"/>
          <w:sz w:val="24"/>
          <w:szCs w:val="22"/>
          <w:highlight w:val="none"/>
        </w:rPr>
      </w:pPr>
      <w:r>
        <w:rPr>
          <w:rFonts w:hint="eastAsia" w:hAnsi="宋体" w:cs="宋体"/>
          <w:color w:val="auto"/>
          <w:sz w:val="24"/>
          <w:szCs w:val="22"/>
          <w:highlight w:val="none"/>
        </w:rPr>
        <w:t>22.2采购人或者采购代理机构收到投标文件后，应当如实记载投标文件的送达时间和密封情况。任何单位和个人不得在开标前开启投标文件。</w:t>
      </w:r>
    </w:p>
    <w:p w14:paraId="3E1B4995">
      <w:pPr>
        <w:shd w:val="clear"/>
        <w:spacing w:before="120" w:line="500" w:lineRule="exact"/>
        <w:ind w:firstLine="480" w:firstLineChars="200"/>
        <w:rPr>
          <w:rFonts w:hAnsi="宋体" w:cs="宋体"/>
          <w:color w:val="auto"/>
          <w:sz w:val="24"/>
          <w:szCs w:val="22"/>
          <w:highlight w:val="none"/>
        </w:rPr>
      </w:pPr>
      <w:r>
        <w:rPr>
          <w:rFonts w:hint="eastAsia" w:hAnsi="宋体" w:cs="宋体"/>
          <w:color w:val="auto"/>
          <w:sz w:val="24"/>
          <w:szCs w:val="22"/>
          <w:highlight w:val="none"/>
        </w:rPr>
        <w:t>22.3开标时，采购代理机构可以邀请有关人员参加。</w:t>
      </w:r>
    </w:p>
    <w:p w14:paraId="10A52F66">
      <w:pPr>
        <w:shd w:val="clear"/>
        <w:spacing w:before="120" w:line="500" w:lineRule="exact"/>
        <w:ind w:firstLine="480" w:firstLineChars="200"/>
        <w:rPr>
          <w:rFonts w:hAnsi="宋体" w:cs="宋体"/>
          <w:color w:val="auto"/>
          <w:sz w:val="24"/>
          <w:szCs w:val="22"/>
          <w:highlight w:val="none"/>
        </w:rPr>
      </w:pPr>
      <w:r>
        <w:rPr>
          <w:rFonts w:hint="eastAsia" w:hAnsi="宋体" w:cs="宋体"/>
          <w:color w:val="auto"/>
          <w:sz w:val="24"/>
          <w:szCs w:val="22"/>
          <w:highlight w:val="none"/>
        </w:rPr>
        <w:t>22.4开标时，由投标人代表自行检查其自己递交的投标文件的密封情况，经确认无误后，由工作人员将投标人单独递交的“开标一览表”当众拆封，并由唱标人员按照招标文件规定的内容进行宣读，并加以记录。</w:t>
      </w:r>
    </w:p>
    <w:p w14:paraId="2DE11986">
      <w:pPr>
        <w:shd w:val="clear"/>
        <w:spacing w:before="120" w:line="500" w:lineRule="exact"/>
        <w:ind w:firstLine="480" w:firstLineChars="200"/>
        <w:rPr>
          <w:rFonts w:hAnsi="宋体" w:cs="宋体"/>
          <w:color w:val="auto"/>
          <w:sz w:val="24"/>
          <w:szCs w:val="22"/>
          <w:highlight w:val="none"/>
        </w:rPr>
      </w:pPr>
      <w:r>
        <w:rPr>
          <w:rFonts w:hint="eastAsia" w:hAnsi="宋体" w:cs="宋体"/>
          <w:color w:val="auto"/>
          <w:sz w:val="24"/>
          <w:szCs w:val="22"/>
          <w:highlight w:val="none"/>
        </w:rPr>
        <w:t>22.5开标时，投标人代表确认投标文件情况，仅限于确认其自己递交的投标文件的密封情况，不得对其他投标人的投标文件的密封情况进行确认。</w:t>
      </w:r>
    </w:p>
    <w:p w14:paraId="26E27032">
      <w:pPr>
        <w:shd w:val="clear"/>
        <w:spacing w:before="120" w:line="500" w:lineRule="exact"/>
        <w:ind w:firstLine="480" w:firstLineChars="200"/>
        <w:rPr>
          <w:rFonts w:hAnsi="宋体" w:cs="宋体"/>
          <w:color w:val="auto"/>
          <w:sz w:val="24"/>
          <w:szCs w:val="22"/>
          <w:highlight w:val="none"/>
        </w:rPr>
      </w:pPr>
      <w:r>
        <w:rPr>
          <w:rFonts w:hint="eastAsia" w:hAnsi="宋体" w:cs="宋体"/>
          <w:color w:val="auto"/>
          <w:sz w:val="24"/>
          <w:szCs w:val="22"/>
          <w:highlight w:val="none"/>
        </w:rPr>
        <w:t>22.6开标时，投标文件报价出现前后不一致的，除招标文件另有规定外，按照下列规定修正：</w:t>
      </w:r>
    </w:p>
    <w:p w14:paraId="0D81E437">
      <w:pPr>
        <w:shd w:val="clear"/>
        <w:spacing w:before="120" w:line="500" w:lineRule="exact"/>
        <w:ind w:firstLine="480" w:firstLineChars="200"/>
        <w:rPr>
          <w:rFonts w:hAnsi="宋体" w:cs="宋体"/>
          <w:color w:val="auto"/>
          <w:sz w:val="24"/>
          <w:szCs w:val="22"/>
          <w:highlight w:val="none"/>
        </w:rPr>
      </w:pPr>
      <w:r>
        <w:rPr>
          <w:rFonts w:hint="eastAsia" w:hAnsi="宋体" w:cs="宋体"/>
          <w:color w:val="auto"/>
          <w:sz w:val="24"/>
          <w:szCs w:val="22"/>
          <w:highlight w:val="none"/>
        </w:rPr>
        <w:t>（1）投标文件中开标一览表（报价表）内容与投标文件中相应内容不一致的，以开标一览表（报价表）为准；</w:t>
      </w:r>
    </w:p>
    <w:p w14:paraId="3E23E669">
      <w:pPr>
        <w:shd w:val="clear"/>
        <w:spacing w:before="120" w:line="500" w:lineRule="exact"/>
        <w:ind w:firstLine="480" w:firstLineChars="200"/>
        <w:rPr>
          <w:rFonts w:hAnsi="宋体" w:cs="宋体"/>
          <w:color w:val="auto"/>
          <w:sz w:val="24"/>
          <w:szCs w:val="22"/>
          <w:highlight w:val="none"/>
        </w:rPr>
      </w:pPr>
      <w:r>
        <w:rPr>
          <w:rFonts w:hint="eastAsia" w:hAnsi="宋体" w:cs="宋体"/>
          <w:color w:val="auto"/>
          <w:sz w:val="24"/>
          <w:szCs w:val="22"/>
          <w:highlight w:val="none"/>
        </w:rPr>
        <w:t>（2）大写金额和小写金额不一致的，以大写金额为准；</w:t>
      </w:r>
    </w:p>
    <w:p w14:paraId="23BE6050">
      <w:pPr>
        <w:shd w:val="clear"/>
        <w:spacing w:before="120" w:line="500" w:lineRule="exact"/>
        <w:ind w:firstLine="480" w:firstLineChars="200"/>
        <w:rPr>
          <w:rFonts w:hAnsi="宋体" w:cs="宋体"/>
          <w:color w:val="auto"/>
          <w:sz w:val="24"/>
          <w:szCs w:val="22"/>
          <w:highlight w:val="none"/>
        </w:rPr>
      </w:pPr>
      <w:r>
        <w:rPr>
          <w:rFonts w:hint="eastAsia" w:hAnsi="宋体" w:cs="宋体"/>
          <w:color w:val="auto"/>
          <w:sz w:val="24"/>
          <w:szCs w:val="22"/>
          <w:highlight w:val="none"/>
        </w:rPr>
        <w:t>（3）单价金额小数点或者百分比有明显错位的，以开标一览表的总价为准，并修改单价；</w:t>
      </w:r>
    </w:p>
    <w:p w14:paraId="4E1278A6">
      <w:pPr>
        <w:shd w:val="clear"/>
        <w:spacing w:before="120" w:line="500" w:lineRule="exact"/>
        <w:ind w:firstLine="480" w:firstLineChars="200"/>
        <w:rPr>
          <w:rFonts w:hAnsi="宋体" w:cs="宋体"/>
          <w:color w:val="auto"/>
          <w:sz w:val="24"/>
          <w:szCs w:val="22"/>
          <w:highlight w:val="none"/>
        </w:rPr>
      </w:pPr>
      <w:r>
        <w:rPr>
          <w:rFonts w:hint="eastAsia" w:hAnsi="宋体" w:cs="宋体"/>
          <w:color w:val="auto"/>
          <w:sz w:val="24"/>
          <w:szCs w:val="22"/>
          <w:highlight w:val="none"/>
        </w:rPr>
        <w:t>（4）总价金额与按单价汇总金额不一致的，以单价金额计算结果为准。</w:t>
      </w:r>
    </w:p>
    <w:p w14:paraId="2A4BA74F">
      <w:pPr>
        <w:shd w:val="clear"/>
        <w:spacing w:before="120" w:line="500" w:lineRule="exact"/>
        <w:ind w:firstLine="480" w:firstLineChars="200"/>
        <w:rPr>
          <w:rFonts w:hAnsi="宋体" w:cs="宋体"/>
          <w:color w:val="auto"/>
          <w:sz w:val="24"/>
          <w:szCs w:val="22"/>
          <w:highlight w:val="none"/>
        </w:rPr>
      </w:pPr>
      <w:r>
        <w:rPr>
          <w:rFonts w:hint="eastAsia" w:hAnsi="宋体" w:cs="宋体"/>
          <w:color w:val="auto"/>
          <w:sz w:val="24"/>
          <w:szCs w:val="22"/>
          <w:highlight w:val="none"/>
        </w:rPr>
        <w:t>同时出现两种以上不一致的，按照前款规定的顺序修正。修正后的报价按照《政府采购货物和服务招标投标管理办法》（中华人民共和国财政部令第87号）第五十一条第二款的规定经投标人确认后产生约束力，投标人不确认的，其投标无效。</w:t>
      </w:r>
    </w:p>
    <w:p w14:paraId="615BB9AF">
      <w:pPr>
        <w:shd w:val="clear"/>
        <w:spacing w:before="120" w:line="500" w:lineRule="exact"/>
        <w:ind w:firstLine="480" w:firstLineChars="200"/>
        <w:rPr>
          <w:rFonts w:hAnsi="宋体" w:cs="宋体"/>
          <w:color w:val="auto"/>
          <w:sz w:val="24"/>
          <w:szCs w:val="22"/>
          <w:highlight w:val="none"/>
        </w:rPr>
      </w:pPr>
      <w:r>
        <w:rPr>
          <w:rFonts w:hint="eastAsia" w:hAnsi="宋体" w:cs="宋体"/>
          <w:color w:val="auto"/>
          <w:sz w:val="24"/>
          <w:szCs w:val="22"/>
          <w:highlight w:val="none"/>
        </w:rPr>
        <w:t>22.7投标文件中相关内容与“开标一览表”不一致的，以“开标一览表”为准。对不同文字文本投标文件的解释发生异议的，以中文文本为准。</w:t>
      </w:r>
    </w:p>
    <w:p w14:paraId="4C1C76D1">
      <w:pPr>
        <w:shd w:val="clear"/>
        <w:spacing w:before="120" w:line="500" w:lineRule="exact"/>
        <w:ind w:firstLine="480" w:firstLineChars="200"/>
        <w:rPr>
          <w:rFonts w:hAnsi="宋体" w:cs="宋体"/>
          <w:color w:val="auto"/>
          <w:sz w:val="24"/>
          <w:szCs w:val="22"/>
          <w:highlight w:val="none"/>
        </w:rPr>
      </w:pPr>
      <w:r>
        <w:rPr>
          <w:rFonts w:hint="eastAsia" w:hAnsi="宋体" w:cs="宋体"/>
          <w:color w:val="auto"/>
          <w:sz w:val="24"/>
          <w:szCs w:val="22"/>
          <w:highlight w:val="none"/>
        </w:rPr>
        <w:t>22.8所有投标唱标完毕，如投标人代表对宣读的“开标一览表”上的内容有异议的，应在获得开标会主持人同意后当场提出。如确实属于唱标人员宣读错了的，经现场监督人员核实后，当场予以更正。</w:t>
      </w:r>
    </w:p>
    <w:p w14:paraId="759C1C21">
      <w:pPr>
        <w:shd w:val="clear"/>
        <w:spacing w:before="120" w:line="500" w:lineRule="exact"/>
        <w:ind w:firstLine="480" w:firstLineChars="200"/>
        <w:rPr>
          <w:rFonts w:hAnsi="宋体" w:cs="宋体"/>
          <w:color w:val="auto"/>
          <w:sz w:val="24"/>
          <w:szCs w:val="22"/>
          <w:highlight w:val="none"/>
        </w:rPr>
      </w:pPr>
      <w:r>
        <w:rPr>
          <w:rFonts w:hint="eastAsia" w:hAnsi="宋体" w:cs="宋体"/>
          <w:color w:val="auto"/>
          <w:sz w:val="24"/>
          <w:szCs w:val="22"/>
          <w:highlight w:val="none"/>
        </w:rPr>
        <w:t>22.9投标人代表对开标过程和开标记录有疑义，以及认为采购人、采购代理机构相关工作人员有需要回避的情形的，应当场提出询问或者回避申请。采购人、采购代理机构对投标人代表提出的询问或者回避申请应当及时处理。投标人未当场提出的，开标后质疑采购人或者采购代理机构不予受理。</w:t>
      </w:r>
    </w:p>
    <w:p w14:paraId="400C070D">
      <w:pPr>
        <w:shd w:val="clear"/>
        <w:spacing w:before="120" w:line="500" w:lineRule="exact"/>
        <w:ind w:firstLine="480" w:firstLineChars="200"/>
        <w:rPr>
          <w:rFonts w:hAnsi="宋体" w:cs="宋体"/>
          <w:color w:val="auto"/>
          <w:sz w:val="24"/>
          <w:szCs w:val="22"/>
          <w:highlight w:val="none"/>
        </w:rPr>
      </w:pPr>
      <w:r>
        <w:rPr>
          <w:rFonts w:hint="eastAsia" w:hAnsi="宋体" w:cs="宋体"/>
          <w:color w:val="auto"/>
          <w:sz w:val="24"/>
          <w:szCs w:val="22"/>
          <w:highlight w:val="none"/>
        </w:rPr>
        <w:t>22.10无论何种原因，在开标时没有宣读的报价在评标时不予考虑，采购代理机构对此不承担任何责任。</w:t>
      </w:r>
    </w:p>
    <w:p w14:paraId="2EFE5068">
      <w:pPr>
        <w:shd w:val="clear"/>
        <w:spacing w:before="120" w:line="500" w:lineRule="exact"/>
        <w:ind w:firstLine="480" w:firstLineChars="200"/>
        <w:rPr>
          <w:rFonts w:hAnsi="宋体" w:cs="宋体"/>
          <w:color w:val="auto"/>
          <w:sz w:val="24"/>
          <w:szCs w:val="22"/>
          <w:highlight w:val="none"/>
        </w:rPr>
      </w:pPr>
      <w:r>
        <w:rPr>
          <w:rFonts w:hint="eastAsia" w:hAnsi="宋体" w:cs="宋体"/>
          <w:color w:val="auto"/>
          <w:sz w:val="24"/>
          <w:szCs w:val="22"/>
          <w:highlight w:val="none"/>
        </w:rPr>
        <w:t>22.11开标时出现下列情况之一的，采购代理机构将开标情况记录后，由评标委员会进行评审:</w:t>
      </w:r>
    </w:p>
    <w:p w14:paraId="24DDAC22">
      <w:pPr>
        <w:shd w:val="clear"/>
        <w:spacing w:before="120" w:line="500" w:lineRule="exact"/>
        <w:ind w:firstLine="480" w:firstLineChars="200"/>
        <w:rPr>
          <w:rFonts w:hAnsi="宋体" w:cs="宋体"/>
          <w:color w:val="auto"/>
          <w:sz w:val="24"/>
          <w:szCs w:val="22"/>
          <w:highlight w:val="none"/>
        </w:rPr>
      </w:pPr>
      <w:r>
        <w:rPr>
          <w:rFonts w:hint="eastAsia" w:hAnsi="宋体" w:cs="宋体"/>
          <w:color w:val="auto"/>
          <w:sz w:val="24"/>
          <w:szCs w:val="22"/>
          <w:highlight w:val="none"/>
        </w:rPr>
        <w:t>（1）单独提交的“开标一览表”未按格式要求签字或加盖印章的，或要求加盖公章的地方未加盖公章的，或提供复印件的；</w:t>
      </w:r>
    </w:p>
    <w:p w14:paraId="03599CC3">
      <w:pPr>
        <w:shd w:val="clear"/>
        <w:spacing w:before="120" w:line="500" w:lineRule="exact"/>
        <w:ind w:firstLine="480" w:firstLineChars="200"/>
        <w:rPr>
          <w:rFonts w:hAnsi="宋体" w:cs="宋体"/>
          <w:color w:val="auto"/>
          <w:sz w:val="24"/>
          <w:szCs w:val="22"/>
          <w:highlight w:val="none"/>
        </w:rPr>
      </w:pPr>
      <w:r>
        <w:rPr>
          <w:rFonts w:hint="eastAsia" w:hAnsi="宋体" w:cs="宋体"/>
          <w:color w:val="auto"/>
          <w:sz w:val="24"/>
          <w:szCs w:val="22"/>
          <w:highlight w:val="none"/>
        </w:rPr>
        <w:t>（2）没有提供用于开标的“开标一览表”的或“开标一览表”提交份数不足的。</w:t>
      </w:r>
    </w:p>
    <w:p w14:paraId="2514B5B2">
      <w:pPr>
        <w:shd w:val="clear"/>
        <w:spacing w:before="120" w:line="500" w:lineRule="exact"/>
        <w:ind w:firstLine="480" w:firstLineChars="200"/>
        <w:rPr>
          <w:rFonts w:hAnsi="宋体" w:cs="宋体"/>
          <w:color w:val="auto"/>
          <w:sz w:val="24"/>
          <w:szCs w:val="22"/>
          <w:highlight w:val="none"/>
        </w:rPr>
      </w:pPr>
      <w:r>
        <w:rPr>
          <w:rFonts w:hint="eastAsia" w:hAnsi="宋体" w:cs="宋体"/>
          <w:color w:val="auto"/>
          <w:sz w:val="24"/>
          <w:szCs w:val="22"/>
          <w:highlight w:val="none"/>
        </w:rPr>
        <w:t>（3）“开标一览表”无报价的。</w:t>
      </w:r>
    </w:p>
    <w:p w14:paraId="71EEF3B5">
      <w:pPr>
        <w:pStyle w:val="5"/>
        <w:shd w:val="clear"/>
        <w:spacing w:line="500" w:lineRule="exact"/>
        <w:ind w:firstLine="482" w:firstLineChars="200"/>
        <w:rPr>
          <w:rFonts w:hAnsi="宋体" w:cs="宋体"/>
          <w:bCs w:val="0"/>
          <w:color w:val="auto"/>
          <w:sz w:val="24"/>
          <w:szCs w:val="24"/>
          <w:highlight w:val="none"/>
        </w:rPr>
      </w:pPr>
      <w:bookmarkStart w:id="91" w:name="_Toc217446058"/>
      <w:bookmarkStart w:id="92" w:name="_Toc308164807"/>
      <w:r>
        <w:rPr>
          <w:rFonts w:hint="eastAsia" w:hAnsi="宋体" w:cs="宋体"/>
          <w:bCs w:val="0"/>
          <w:color w:val="auto"/>
          <w:sz w:val="24"/>
          <w:szCs w:val="24"/>
          <w:highlight w:val="none"/>
        </w:rPr>
        <w:t>23. 开标程序</w:t>
      </w:r>
      <w:bookmarkEnd w:id="91"/>
      <w:bookmarkEnd w:id="92"/>
    </w:p>
    <w:p w14:paraId="56CFB6FE">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23.1 开标会主持人按照招标文件规定的开标时间宣布开标，按照规定要求主持开标会。开标将按以下程序进行：</w:t>
      </w:r>
    </w:p>
    <w:p w14:paraId="33D97D8A">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（1）宣布开标会开始。当众宣布参加开标会主持人、唱标人、会议记录人以及根据情况邀请的现场监督人等工作人员，根据“投标人签到表”宣布参加投标的投标人名单。</w:t>
      </w:r>
    </w:p>
    <w:p w14:paraId="35E67611">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（2）根据投标人或者其推选的代表对投标文件密封的检查结果，当众宣布投标文件的密封情况。</w:t>
      </w:r>
    </w:p>
    <w:p w14:paraId="56162185">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（3）投标人不足3家的，不得开标。</w:t>
      </w:r>
    </w:p>
    <w:p w14:paraId="6B9E9DAB">
      <w:pPr>
        <w:shd w:val="clear"/>
        <w:spacing w:line="500" w:lineRule="exact"/>
        <w:ind w:firstLine="480" w:firstLineChars="200"/>
        <w:rPr>
          <w:rFonts w:hAnsi="宋体" w:cs="宋体"/>
          <w:color w:val="auto"/>
          <w:sz w:val="24"/>
          <w:highlight w:val="none"/>
        </w:rPr>
      </w:pPr>
      <w:r>
        <w:rPr>
          <w:rFonts w:hint="eastAsia" w:hAnsi="宋体" w:cs="宋体"/>
          <w:color w:val="auto"/>
          <w:sz w:val="24"/>
          <w:szCs w:val="22"/>
          <w:highlight w:val="none"/>
        </w:rPr>
        <w:t>（4）开标唱标。主持人宣布开标后，由现场工作人员按任意顺序对投标人的“开标一览表”当众进行拆封，由唱标人员宣读投标人名称、投标价格（价格折扣）称、投标报价，以及采购人认为合适的其他内容并加以记录。唱标时仅宣读投标报价，分项报价内容可以宣读或投影展示。唱标人员在唱标过程中，如遇有字迹不清楚或有明显错误的（未签字或加盖印章，未盖章，未报价除外），应即刻报告监督人员，经现场核实后，主持人立即请投标人代表现场进行澄清或确认，但不得实质性修改报价。唱标完毕后投标人代表需现场对开标记录进行签字确认，投标人代表对唱标内容有异议的，</w:t>
      </w:r>
      <w:r>
        <w:rPr>
          <w:rFonts w:hint="eastAsia" w:hAnsi="宋体" w:cs="宋体"/>
          <w:color w:val="auto"/>
          <w:sz w:val="24"/>
          <w:highlight w:val="none"/>
        </w:rPr>
        <w:t>可以当场提出，并要求会议记录人在开标记录中予以记录，或者另行提供书面异议资料，不签字又不提出异议的，视同认可唱标内容和结果，且不得干扰、阻挠开（唱）标、评标工作。</w:t>
      </w:r>
    </w:p>
    <w:p w14:paraId="6E574EDF">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5）宣布开标会结束。主持人宣布开标会结束。所有投标人代表应立即退场（招标文件要求有演示、介绍等的除外）。同时所有投标人应保持通讯设备的畅通，以方便在评标过程中评标委员会要求投标人对投标文件的必要澄清、说明和纠正。评标结果请投标人在四川政府采购网上查询。</w:t>
      </w:r>
    </w:p>
    <w:p w14:paraId="25B6915C">
      <w:pPr>
        <w:pStyle w:val="5"/>
        <w:shd w:val="clear"/>
        <w:spacing w:line="500" w:lineRule="exact"/>
        <w:ind w:firstLine="482" w:firstLineChars="200"/>
        <w:rPr>
          <w:rFonts w:hAnsi="宋体" w:cs="宋体"/>
          <w:bCs w:val="0"/>
          <w:color w:val="auto"/>
          <w:sz w:val="24"/>
          <w:szCs w:val="24"/>
          <w:highlight w:val="none"/>
        </w:rPr>
      </w:pPr>
      <w:bookmarkStart w:id="93" w:name="_Toc183682375"/>
      <w:bookmarkStart w:id="94" w:name="_Toc183582238"/>
      <w:bookmarkStart w:id="95" w:name="_Toc217446063"/>
      <w:bookmarkStart w:id="96" w:name="_Toc308164809"/>
      <w:r>
        <w:rPr>
          <w:rFonts w:hint="eastAsia" w:hAnsi="宋体" w:cs="宋体"/>
          <w:bCs w:val="0"/>
          <w:color w:val="auto"/>
          <w:sz w:val="24"/>
          <w:szCs w:val="24"/>
          <w:highlight w:val="none"/>
        </w:rPr>
        <w:t>24．开评标过程存档</w:t>
      </w:r>
    </w:p>
    <w:p w14:paraId="2AEFD9DF">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开标和评标过程进行全过程电子监控，并将电子监控资料存储介质留存归档。</w:t>
      </w:r>
    </w:p>
    <w:p w14:paraId="4161F769">
      <w:pPr>
        <w:pStyle w:val="5"/>
        <w:shd w:val="clear"/>
        <w:spacing w:line="500" w:lineRule="exact"/>
        <w:ind w:firstLine="482" w:firstLineChars="200"/>
        <w:rPr>
          <w:rFonts w:hAnsi="宋体" w:cs="宋体"/>
          <w:color w:val="auto"/>
          <w:sz w:val="24"/>
          <w:szCs w:val="22"/>
          <w:highlight w:val="none"/>
        </w:rPr>
      </w:pPr>
      <w:r>
        <w:rPr>
          <w:rFonts w:hint="eastAsia" w:hAnsi="宋体" w:cs="宋体"/>
          <w:bCs w:val="0"/>
          <w:color w:val="auto"/>
          <w:sz w:val="24"/>
          <w:szCs w:val="24"/>
          <w:highlight w:val="none"/>
        </w:rPr>
        <w:t>25.中标结果公告</w:t>
      </w:r>
    </w:p>
    <w:p w14:paraId="2BA2C391">
      <w:pPr>
        <w:shd w:val="clear"/>
        <w:spacing w:line="500" w:lineRule="exact"/>
        <w:ind w:firstLine="480" w:firstLineChars="200"/>
        <w:rPr>
          <w:rFonts w:hAnsi="宋体" w:cs="宋体"/>
          <w:color w:val="auto"/>
          <w:sz w:val="24"/>
          <w:szCs w:val="22"/>
          <w:highlight w:val="none"/>
        </w:rPr>
      </w:pPr>
      <w:r>
        <w:rPr>
          <w:rFonts w:hint="eastAsia" w:hAnsi="宋体" w:cs="宋体"/>
          <w:color w:val="auto"/>
          <w:sz w:val="24"/>
          <w:szCs w:val="22"/>
          <w:highlight w:val="none"/>
        </w:rPr>
        <w:t>25.1采购人或者采购代理机构应当自中标人确定之日起 2 个工作日内，在四川政府采购网上公告中标结果，招标文件应当随中标结果同时公告。</w:t>
      </w:r>
    </w:p>
    <w:p w14:paraId="4A2F089E">
      <w:pPr>
        <w:shd w:val="clear"/>
        <w:spacing w:line="500" w:lineRule="exact"/>
        <w:ind w:firstLine="480" w:firstLineChars="200"/>
        <w:rPr>
          <w:rFonts w:hAnsi="宋体" w:cs="宋体"/>
          <w:color w:val="auto"/>
          <w:sz w:val="24"/>
          <w:szCs w:val="22"/>
          <w:highlight w:val="none"/>
        </w:rPr>
      </w:pPr>
      <w:r>
        <w:rPr>
          <w:rFonts w:hint="eastAsia" w:hAnsi="宋体" w:cs="宋体"/>
          <w:color w:val="auto"/>
          <w:sz w:val="24"/>
          <w:szCs w:val="22"/>
          <w:highlight w:val="none"/>
        </w:rPr>
        <w:t>25.2中标结果公告内容应当包括采购人及其委托的采购代理机构的名称、地址、联系方式，项目名称和招标编号，中标人名称、地址和中标金额，主要中标标的的名称、规格型号、数量、单价，中标公告期限，评审专家名单以及所有投标人投标文件资格、符合性检查情况、采用综合评分法时的总得分和分项汇总得分情况、评标结果等。</w:t>
      </w:r>
    </w:p>
    <w:p w14:paraId="23030F0D">
      <w:pPr>
        <w:shd w:val="clear"/>
        <w:spacing w:line="500" w:lineRule="exact"/>
        <w:ind w:firstLine="480" w:firstLineChars="200"/>
        <w:rPr>
          <w:rFonts w:hAnsi="宋体" w:cs="宋体"/>
          <w:color w:val="auto"/>
          <w:sz w:val="24"/>
          <w:szCs w:val="22"/>
          <w:highlight w:val="none"/>
        </w:rPr>
      </w:pPr>
      <w:r>
        <w:rPr>
          <w:rFonts w:hint="eastAsia" w:hAnsi="宋体" w:cs="宋体"/>
          <w:color w:val="auto"/>
          <w:sz w:val="24"/>
          <w:szCs w:val="22"/>
          <w:highlight w:val="none"/>
        </w:rPr>
        <w:t>25.3在公告中标结果的同时，采购人或者采购代理机构应当向中标人发出中标通知书；对未通过资格审查的投标人，应当告知其未通过的原因；采用综合评分法评审的，还应当告知未中标人本人的评审得分与排序。</w:t>
      </w:r>
    </w:p>
    <w:p w14:paraId="371296FE">
      <w:pPr>
        <w:shd w:val="clear"/>
        <w:spacing w:line="500" w:lineRule="exact"/>
        <w:ind w:firstLine="480" w:firstLineChars="200"/>
        <w:rPr>
          <w:rFonts w:hAnsi="宋体" w:cs="宋体"/>
          <w:color w:val="auto"/>
          <w:highlight w:val="none"/>
        </w:rPr>
      </w:pPr>
      <w:r>
        <w:rPr>
          <w:rFonts w:hint="eastAsia" w:hAnsi="宋体" w:cs="宋体"/>
          <w:color w:val="auto"/>
          <w:sz w:val="24"/>
          <w:szCs w:val="22"/>
          <w:highlight w:val="none"/>
        </w:rPr>
        <w:t>25.4中标公告期限自发布公告之日起1个工作日。</w:t>
      </w:r>
    </w:p>
    <w:p w14:paraId="6DFCBD4F">
      <w:pPr>
        <w:pStyle w:val="5"/>
        <w:shd w:val="clear"/>
        <w:spacing w:line="500" w:lineRule="exact"/>
        <w:ind w:firstLine="482" w:firstLineChars="200"/>
        <w:rPr>
          <w:rFonts w:hAnsi="宋体" w:cs="宋体"/>
          <w:bCs w:val="0"/>
          <w:color w:val="auto"/>
          <w:sz w:val="24"/>
          <w:szCs w:val="24"/>
          <w:highlight w:val="none"/>
        </w:rPr>
      </w:pPr>
      <w:r>
        <w:rPr>
          <w:rFonts w:hint="eastAsia" w:hAnsi="宋体" w:cs="宋体"/>
          <w:bCs w:val="0"/>
          <w:color w:val="auto"/>
          <w:sz w:val="24"/>
          <w:szCs w:val="24"/>
          <w:highlight w:val="none"/>
        </w:rPr>
        <w:t>26.中标通知</w:t>
      </w:r>
      <w:bookmarkEnd w:id="93"/>
      <w:bookmarkEnd w:id="94"/>
      <w:r>
        <w:rPr>
          <w:rFonts w:hint="eastAsia" w:hAnsi="宋体" w:cs="宋体"/>
          <w:bCs w:val="0"/>
          <w:color w:val="auto"/>
          <w:sz w:val="24"/>
          <w:szCs w:val="24"/>
          <w:highlight w:val="none"/>
        </w:rPr>
        <w:t>书</w:t>
      </w:r>
      <w:bookmarkEnd w:id="95"/>
      <w:bookmarkEnd w:id="96"/>
    </w:p>
    <w:p w14:paraId="4F64EB62">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26.1 中标通知书为签订政府采购合同的依据之一，是合同的有效组成部分。</w:t>
      </w:r>
    </w:p>
    <w:p w14:paraId="1312DC9B">
      <w:pPr>
        <w:shd w:val="clear"/>
        <w:spacing w:line="500" w:lineRule="exact"/>
        <w:ind w:firstLine="480" w:firstLineChars="200"/>
        <w:rPr>
          <w:rFonts w:hAnsi="宋体" w:cs="宋体"/>
          <w:color w:val="auto"/>
          <w:sz w:val="24"/>
          <w:szCs w:val="22"/>
          <w:highlight w:val="none"/>
        </w:rPr>
      </w:pPr>
      <w:r>
        <w:rPr>
          <w:rFonts w:hint="eastAsia" w:hAnsi="宋体" w:cs="宋体"/>
          <w:color w:val="auto"/>
          <w:sz w:val="24"/>
          <w:szCs w:val="22"/>
          <w:highlight w:val="none"/>
        </w:rPr>
        <w:t>26.2 投标人中标后，拒绝领取中标通知书的，招标采购单位采购代理机构将采取邮寄、快递方式按照投标人投标文件中的地址发出中标通知书，同时，中标通知书邮寄、快递发出之日起即视中标人已领取中标通知书。</w:t>
      </w:r>
    </w:p>
    <w:p w14:paraId="20AF41CE">
      <w:pPr>
        <w:shd w:val="clear"/>
        <w:spacing w:line="500" w:lineRule="exact"/>
        <w:ind w:firstLine="480" w:firstLineChars="200"/>
        <w:rPr>
          <w:rFonts w:hAnsi="宋体" w:cs="宋体"/>
          <w:color w:val="auto"/>
          <w:sz w:val="24"/>
          <w:highlight w:val="none"/>
        </w:rPr>
      </w:pPr>
      <w:r>
        <w:rPr>
          <w:rFonts w:hint="eastAsia" w:hAnsi="宋体" w:cs="宋体"/>
          <w:color w:val="auto"/>
          <w:sz w:val="24"/>
          <w:szCs w:val="22"/>
          <w:highlight w:val="none"/>
        </w:rPr>
        <w:t>26.3 中标通知书发出后，采购人不得违法改变中标结果，中标人无正当理由不得放弃</w:t>
      </w:r>
      <w:r>
        <w:rPr>
          <w:rFonts w:hint="eastAsia" w:hAnsi="宋体" w:cs="宋体"/>
          <w:color w:val="auto"/>
          <w:sz w:val="24"/>
          <w:highlight w:val="none"/>
        </w:rPr>
        <w:t>中标。</w:t>
      </w:r>
    </w:p>
    <w:p w14:paraId="07BFAC56">
      <w:pPr>
        <w:shd w:val="clear"/>
        <w:tabs>
          <w:tab w:val="left" w:pos="7665"/>
        </w:tabs>
        <w:spacing w:line="500" w:lineRule="exact"/>
        <w:ind w:firstLine="480"/>
        <w:rPr>
          <w:rFonts w:hAnsi="宋体" w:cs="宋体"/>
          <w:color w:val="auto"/>
          <w:sz w:val="24"/>
          <w:highlight w:val="none"/>
        </w:rPr>
      </w:pPr>
      <w:r>
        <w:rPr>
          <w:rFonts w:hint="eastAsia" w:hAnsi="宋体" w:cs="宋体"/>
          <w:color w:val="auto"/>
          <w:sz w:val="24"/>
          <w:highlight w:val="none"/>
        </w:rPr>
        <w:t>26.4中标通知书对采购人和中标人均具有法律效力。中标通知书发出后，采购人改变中标结果，或者中标人无正当理由放弃中标的，应当承担相应的法律责任。</w:t>
      </w:r>
    </w:p>
    <w:p w14:paraId="3C4D1E4E">
      <w:pPr>
        <w:shd w:val="clear"/>
        <w:tabs>
          <w:tab w:val="left" w:pos="7665"/>
        </w:tabs>
        <w:spacing w:line="500" w:lineRule="exact"/>
        <w:ind w:firstLine="480"/>
        <w:rPr>
          <w:rFonts w:hAnsi="宋体" w:cs="宋体"/>
          <w:color w:val="auto"/>
          <w:sz w:val="24"/>
          <w:highlight w:val="none"/>
        </w:rPr>
      </w:pPr>
      <w:r>
        <w:rPr>
          <w:rFonts w:hint="eastAsia" w:hAnsi="宋体" w:cs="宋体"/>
          <w:color w:val="auto"/>
          <w:sz w:val="24"/>
          <w:highlight w:val="none"/>
        </w:rPr>
        <w:t>26.5中标人的投标文件本应作为无效投标处理或者有政府采购法律法规规章制度规定的中标无效情形的，招标采购单位在取得有权主体的认定以后，将宣布发出的中标通知书无效，并收回发出的中标通知书（中标人也应当缴回），依法重新确定中标人或者重新开展采购活动。</w:t>
      </w:r>
    </w:p>
    <w:p w14:paraId="2F929AC4">
      <w:pPr>
        <w:pStyle w:val="10"/>
        <w:shd w:val="clear"/>
        <w:spacing w:line="500" w:lineRule="exact"/>
        <w:rPr>
          <w:rFonts w:hAnsi="宋体" w:cs="宋体"/>
          <w:color w:val="auto"/>
          <w:sz w:val="24"/>
          <w:highlight w:val="none"/>
        </w:rPr>
      </w:pPr>
      <w:r>
        <w:rPr>
          <w:rFonts w:hint="eastAsia" w:hAnsi="宋体" w:cs="宋体"/>
          <w:color w:val="auto"/>
          <w:sz w:val="24"/>
          <w:highlight w:val="none"/>
        </w:rPr>
        <w:t xml:space="preserve">    26.5中标公告发出后，中标投标人自行领取中标通知书的，可凭有效身份证明证件到采购代理机构办理。（详见须知附表中联系方式）</w:t>
      </w:r>
    </w:p>
    <w:p w14:paraId="1A51EC0B">
      <w:pPr>
        <w:pStyle w:val="4"/>
        <w:shd w:val="clear"/>
        <w:spacing w:line="500" w:lineRule="exact"/>
        <w:jc w:val="center"/>
        <w:rPr>
          <w:rFonts w:ascii="宋体" w:hAnsi="宋体" w:eastAsia="宋体" w:cs="宋体"/>
          <w:color w:val="auto"/>
          <w:szCs w:val="28"/>
          <w:highlight w:val="none"/>
        </w:rPr>
      </w:pPr>
      <w:bookmarkStart w:id="97" w:name="_Toc308164810"/>
      <w:bookmarkStart w:id="98" w:name="_Toc217446064"/>
      <w:bookmarkStart w:id="99" w:name="_Toc183682377"/>
      <w:bookmarkStart w:id="100" w:name="_Toc183582240"/>
      <w:r>
        <w:rPr>
          <w:rFonts w:hint="eastAsia" w:ascii="宋体" w:hAnsi="宋体" w:eastAsia="宋体" w:cs="宋体"/>
          <w:color w:val="auto"/>
          <w:szCs w:val="28"/>
          <w:highlight w:val="none"/>
        </w:rPr>
        <w:t>六、签订及履行合同和验收</w:t>
      </w:r>
      <w:bookmarkEnd w:id="97"/>
      <w:bookmarkEnd w:id="98"/>
    </w:p>
    <w:p w14:paraId="5A309EDE">
      <w:pPr>
        <w:pStyle w:val="5"/>
        <w:shd w:val="clear"/>
        <w:spacing w:line="500" w:lineRule="exact"/>
        <w:ind w:firstLine="482" w:firstLineChars="200"/>
        <w:rPr>
          <w:rFonts w:hAnsi="宋体" w:cs="宋体"/>
          <w:b w:val="0"/>
          <w:color w:val="auto"/>
          <w:sz w:val="24"/>
          <w:szCs w:val="24"/>
          <w:highlight w:val="none"/>
        </w:rPr>
      </w:pPr>
      <w:bookmarkStart w:id="101" w:name="_Toc217446065"/>
      <w:bookmarkStart w:id="102" w:name="_Toc308164811"/>
      <w:r>
        <w:rPr>
          <w:rFonts w:hint="eastAsia" w:hAnsi="宋体" w:cs="宋体"/>
          <w:color w:val="auto"/>
          <w:sz w:val="24"/>
          <w:highlight w:val="none"/>
        </w:rPr>
        <w:t>27.</w:t>
      </w:r>
      <w:r>
        <w:rPr>
          <w:rFonts w:hint="eastAsia" w:hAnsi="宋体" w:cs="宋体"/>
          <w:color w:val="auto"/>
          <w:sz w:val="24"/>
          <w:szCs w:val="24"/>
          <w:highlight w:val="none"/>
        </w:rPr>
        <w:t>签订合同</w:t>
      </w:r>
      <w:bookmarkEnd w:id="101"/>
      <w:bookmarkEnd w:id="102"/>
    </w:p>
    <w:p w14:paraId="65B66CA1">
      <w:pPr>
        <w:shd w:val="clear"/>
        <w:spacing w:line="500" w:lineRule="exact"/>
        <w:ind w:firstLine="420" w:firstLineChars="175"/>
        <w:rPr>
          <w:rFonts w:hAnsi="宋体" w:cs="宋体"/>
          <w:color w:val="auto"/>
          <w:sz w:val="24"/>
          <w:highlight w:val="none"/>
        </w:rPr>
      </w:pPr>
      <w:r>
        <w:rPr>
          <w:rFonts w:hint="eastAsia" w:hAnsi="宋体" w:cs="宋体"/>
          <w:color w:val="auto"/>
          <w:sz w:val="24"/>
          <w:szCs w:val="22"/>
          <w:highlight w:val="none"/>
        </w:rPr>
        <w:t>27.1 中标人应在中标通知书发出之日起三十日内与采购人签订采购合同。按照招标文件和中标人投标文件的规定，与中标人签订书面合同。所签订的合同不得对招标文件确定的事项和中标人投标文件作实质性修改。</w:t>
      </w:r>
      <w:r>
        <w:rPr>
          <w:rFonts w:hint="eastAsia" w:hAnsi="宋体" w:cs="宋体"/>
          <w:color w:val="auto"/>
          <w:sz w:val="24"/>
          <w:highlight w:val="none"/>
        </w:rPr>
        <w:t>由于中标人的原因逾期未与采购人签订采购合同的，将视为放弃中标，取消其中标资格并将按相关规定进行处理。</w:t>
      </w:r>
    </w:p>
    <w:p w14:paraId="4733CF3F">
      <w:pPr>
        <w:shd w:val="clear"/>
        <w:spacing w:line="500" w:lineRule="exact"/>
        <w:ind w:firstLine="420" w:firstLineChars="175"/>
        <w:rPr>
          <w:rFonts w:hAnsi="宋体" w:cs="宋体"/>
          <w:color w:val="auto"/>
          <w:sz w:val="24"/>
          <w:highlight w:val="none"/>
        </w:rPr>
      </w:pPr>
      <w:r>
        <w:rPr>
          <w:rFonts w:hint="eastAsia" w:hAnsi="宋体" w:cs="宋体"/>
          <w:color w:val="auto"/>
          <w:sz w:val="24"/>
          <w:highlight w:val="none"/>
        </w:rPr>
        <w:t>27.2 采购人不得向中标人提出任何不合理的要求，作为签订合同的条件，不得与中标人私下订立背离合同实质性内容的任何协议，所签订的合同不得对招标文件和中标人投标文件确定的事项进行修改。</w:t>
      </w:r>
    </w:p>
    <w:p w14:paraId="7C73CB78">
      <w:pPr>
        <w:shd w:val="clear"/>
        <w:spacing w:line="500" w:lineRule="exact"/>
        <w:ind w:firstLine="420" w:firstLineChars="175"/>
        <w:rPr>
          <w:rFonts w:hAnsi="宋体" w:cs="宋体"/>
          <w:color w:val="auto"/>
          <w:sz w:val="24"/>
          <w:szCs w:val="22"/>
          <w:highlight w:val="none"/>
        </w:rPr>
      </w:pPr>
      <w:r>
        <w:rPr>
          <w:rFonts w:hint="eastAsia" w:hAnsi="宋体" w:cs="宋体"/>
          <w:color w:val="auto"/>
          <w:sz w:val="24"/>
          <w:szCs w:val="22"/>
          <w:highlight w:val="none"/>
        </w:rPr>
        <w:t>27.3政府采购合同应当包括采购人与中标人的名称和住所、标的、数量、质量、价款或者报酬、履行期限及地点和方式、验收要求、违约责任、解决争议的方法等内容。</w:t>
      </w:r>
    </w:p>
    <w:p w14:paraId="434B6EF0">
      <w:pPr>
        <w:shd w:val="clear"/>
        <w:spacing w:line="500" w:lineRule="exact"/>
        <w:ind w:firstLine="420" w:firstLineChars="175"/>
        <w:rPr>
          <w:rFonts w:hAnsi="宋体" w:cs="宋体"/>
          <w:color w:val="auto"/>
          <w:sz w:val="24"/>
          <w:szCs w:val="22"/>
          <w:highlight w:val="none"/>
        </w:rPr>
      </w:pPr>
      <w:r>
        <w:rPr>
          <w:rFonts w:hint="eastAsia" w:hAnsi="宋体" w:cs="宋体"/>
          <w:color w:val="auto"/>
          <w:sz w:val="24"/>
          <w:szCs w:val="22"/>
          <w:highlight w:val="none"/>
        </w:rPr>
        <w:t>27.4</w:t>
      </w:r>
      <w:r>
        <w:rPr>
          <w:rFonts w:hint="eastAsia" w:hAnsi="宋体" w:cs="宋体"/>
          <w:color w:val="auto"/>
          <w:sz w:val="24"/>
          <w:highlight w:val="none"/>
        </w:rPr>
        <w:t>中标人因不可抗力原因不能履行采购合同或放弃中标的，采购人可以与排在中标人之后第一</w:t>
      </w:r>
      <w:r>
        <w:rPr>
          <w:rFonts w:hint="eastAsia" w:hAnsi="宋体" w:cs="宋体"/>
          <w:color w:val="auto"/>
          <w:sz w:val="24"/>
          <w:szCs w:val="22"/>
          <w:highlight w:val="none"/>
        </w:rPr>
        <w:t>位的中标候选人签订采购合同，以此类推。</w:t>
      </w:r>
    </w:p>
    <w:p w14:paraId="55E72646">
      <w:pPr>
        <w:pStyle w:val="5"/>
        <w:shd w:val="clear"/>
        <w:spacing w:line="500" w:lineRule="exact"/>
        <w:ind w:firstLine="482" w:firstLineChars="200"/>
        <w:rPr>
          <w:rFonts w:hint="eastAsia" w:hAnsi="宋体" w:cs="宋体"/>
          <w:color w:val="auto"/>
          <w:sz w:val="24"/>
          <w:szCs w:val="22"/>
          <w:highlight w:val="none"/>
        </w:rPr>
      </w:pPr>
      <w:r>
        <w:rPr>
          <w:rFonts w:hint="eastAsia" w:hAnsi="宋体" w:cs="宋体"/>
          <w:color w:val="auto"/>
          <w:sz w:val="24"/>
          <w:szCs w:val="24"/>
          <w:highlight w:val="none"/>
        </w:rPr>
        <w:t>28. 合同分包（实质性要求）</w:t>
      </w:r>
    </w:p>
    <w:p w14:paraId="46E7BECB">
      <w:pPr>
        <w:shd w:val="clear"/>
        <w:spacing w:line="500" w:lineRule="exact"/>
        <w:ind w:firstLine="420" w:firstLineChars="175"/>
        <w:rPr>
          <w:rFonts w:hAnsi="宋体" w:cs="宋体"/>
          <w:color w:val="auto"/>
          <w:highlight w:val="none"/>
        </w:rPr>
      </w:pPr>
      <w:r>
        <w:rPr>
          <w:rFonts w:hint="eastAsia" w:hAnsi="宋体" w:cs="宋体"/>
          <w:color w:val="auto"/>
          <w:sz w:val="24"/>
          <w:szCs w:val="22"/>
          <w:highlight w:val="none"/>
        </w:rPr>
        <w:t xml:space="preserve">  </w:t>
      </w:r>
      <w:r>
        <w:rPr>
          <w:rFonts w:hint="eastAsia" w:hAnsi="宋体" w:cs="宋体"/>
          <w:color w:val="auto"/>
          <w:sz w:val="24"/>
          <w:szCs w:val="24"/>
          <w:highlight w:val="none"/>
        </w:rPr>
        <w:t>本项目不允许合同分包。</w:t>
      </w:r>
    </w:p>
    <w:p w14:paraId="05EE36E3">
      <w:pPr>
        <w:pStyle w:val="5"/>
        <w:shd w:val="clear"/>
        <w:spacing w:line="500" w:lineRule="exact"/>
        <w:ind w:firstLine="482" w:firstLineChars="200"/>
        <w:rPr>
          <w:rFonts w:hAnsi="宋体" w:cs="宋体"/>
          <w:color w:val="auto"/>
          <w:sz w:val="24"/>
          <w:szCs w:val="24"/>
          <w:highlight w:val="none"/>
        </w:rPr>
      </w:pPr>
      <w:r>
        <w:rPr>
          <w:rFonts w:hint="eastAsia" w:hAnsi="宋体" w:cs="宋体"/>
          <w:color w:val="auto"/>
          <w:sz w:val="24"/>
          <w:szCs w:val="24"/>
          <w:highlight w:val="none"/>
        </w:rPr>
        <w:t>29.合同转包（实质性要求）</w:t>
      </w:r>
    </w:p>
    <w:p w14:paraId="4D710850">
      <w:pPr>
        <w:shd w:val="clear"/>
        <w:spacing w:line="500" w:lineRule="exact"/>
        <w:ind w:firstLine="540" w:firstLineChars="225"/>
        <w:rPr>
          <w:rFonts w:hAnsi="宋体" w:cs="宋体"/>
          <w:color w:val="auto"/>
          <w:sz w:val="24"/>
          <w:highlight w:val="none"/>
        </w:rPr>
      </w:pPr>
      <w:r>
        <w:rPr>
          <w:rFonts w:hint="eastAsia" w:hAnsi="宋体" w:cs="宋体"/>
          <w:color w:val="auto"/>
          <w:sz w:val="24"/>
          <w:highlight w:val="none"/>
        </w:rPr>
        <w:t>本采购项目严禁中标人将任何政府采购合同义务转包。本项目所称转包，是指中标人将政府采购合同义务转让给第三人，并退出现有政府采购合同当事人双方的权利义务关系，受让人（即第三人）成为政府采购合同的另一方当事人的行为。</w:t>
      </w:r>
    </w:p>
    <w:p w14:paraId="58231EB8">
      <w:pPr>
        <w:shd w:val="clear"/>
        <w:spacing w:line="500" w:lineRule="exact"/>
        <w:ind w:firstLine="540" w:firstLineChars="225"/>
        <w:rPr>
          <w:rFonts w:hAnsi="宋体" w:cs="宋体"/>
          <w:color w:val="auto"/>
          <w:sz w:val="24"/>
          <w:highlight w:val="none"/>
        </w:rPr>
      </w:pPr>
      <w:r>
        <w:rPr>
          <w:rFonts w:hint="eastAsia" w:hAnsi="宋体" w:cs="宋体"/>
          <w:color w:val="auto"/>
          <w:sz w:val="24"/>
          <w:highlight w:val="none"/>
        </w:rPr>
        <w:t>中标人转包的，视同拒绝履行政府采购合同义务，将依法追究法律责任。</w:t>
      </w:r>
    </w:p>
    <w:p w14:paraId="000C8128">
      <w:pPr>
        <w:pStyle w:val="5"/>
        <w:shd w:val="clear"/>
        <w:spacing w:line="500" w:lineRule="exact"/>
        <w:ind w:firstLine="482" w:firstLineChars="200"/>
        <w:rPr>
          <w:rFonts w:hAnsi="宋体" w:cs="宋体"/>
          <w:color w:val="auto"/>
          <w:sz w:val="24"/>
          <w:szCs w:val="24"/>
          <w:highlight w:val="none"/>
        </w:rPr>
      </w:pPr>
      <w:bookmarkStart w:id="103" w:name="_Toc217446066"/>
      <w:r>
        <w:rPr>
          <w:rFonts w:hint="eastAsia" w:hAnsi="宋体" w:cs="宋体"/>
          <w:color w:val="auto"/>
          <w:sz w:val="24"/>
          <w:szCs w:val="24"/>
          <w:highlight w:val="none"/>
        </w:rPr>
        <w:t>30.</w:t>
      </w:r>
      <w:bookmarkEnd w:id="103"/>
      <w:r>
        <w:rPr>
          <w:rFonts w:hint="eastAsia" w:hAnsi="宋体" w:cs="宋体"/>
          <w:color w:val="auto"/>
          <w:sz w:val="24"/>
          <w:highlight w:val="none"/>
        </w:rPr>
        <w:t>采购人增加合同标的权利</w:t>
      </w:r>
    </w:p>
    <w:p w14:paraId="641B60FE">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 xml:space="preserve">采购合同履行过程中，采购人需要追加与合同标的相同的货物或者服务的，在不改变合同其他条款的前提下，可以与中标投标人协商签订补充合同，但所有补充合同的采购金额不得超过原合同采购金额的百分之十，该补充合同应当在原政府采购合同履行过程中，不得在原政府采购合同履行结束后，且采购货物、工程和服务的名称、价格、履约方式、验收标准等必须与原政府采购合同一致。 </w:t>
      </w:r>
    </w:p>
    <w:p w14:paraId="09E65A3B">
      <w:pPr>
        <w:pStyle w:val="5"/>
        <w:shd w:val="clear"/>
        <w:spacing w:line="500" w:lineRule="exact"/>
        <w:ind w:firstLine="482" w:firstLineChars="200"/>
        <w:rPr>
          <w:rFonts w:hAnsi="宋体" w:cs="宋体"/>
          <w:color w:val="auto"/>
          <w:sz w:val="24"/>
          <w:szCs w:val="24"/>
          <w:highlight w:val="none"/>
        </w:rPr>
      </w:pPr>
      <w:bookmarkStart w:id="104" w:name="_Toc217446069"/>
      <w:bookmarkStart w:id="105" w:name="_Toc308164813"/>
      <w:r>
        <w:rPr>
          <w:rFonts w:hint="eastAsia" w:hAnsi="宋体" w:cs="宋体"/>
          <w:color w:val="auto"/>
          <w:sz w:val="24"/>
          <w:szCs w:val="24"/>
          <w:highlight w:val="none"/>
        </w:rPr>
        <w:t>31.合同公告</w:t>
      </w:r>
    </w:p>
    <w:p w14:paraId="58A158AD">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采购人应当自政府采购合同签订（双方当事人均已签字盖章）之日起2个工作日内，将政府采购合同在省级以上人民政府财政部门指定的媒体上公告（四川政府采购网），但政府采购合同中涉及国家秘密、商业秘密的内容除外。</w:t>
      </w:r>
    </w:p>
    <w:p w14:paraId="0D4BDA96">
      <w:pPr>
        <w:pStyle w:val="5"/>
        <w:shd w:val="clear"/>
        <w:spacing w:line="500" w:lineRule="exact"/>
        <w:ind w:firstLine="482" w:firstLineChars="200"/>
        <w:rPr>
          <w:rFonts w:hAnsi="宋体" w:cs="宋体"/>
          <w:color w:val="auto"/>
          <w:sz w:val="24"/>
          <w:szCs w:val="24"/>
          <w:highlight w:val="none"/>
        </w:rPr>
      </w:pPr>
      <w:r>
        <w:rPr>
          <w:rFonts w:hint="eastAsia" w:hAnsi="宋体" w:cs="宋体"/>
          <w:color w:val="auto"/>
          <w:sz w:val="24"/>
          <w:szCs w:val="24"/>
          <w:highlight w:val="none"/>
        </w:rPr>
        <w:t>32.合同备案</w:t>
      </w:r>
    </w:p>
    <w:p w14:paraId="2B50E5E2">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采购人应当将政府采购合同副本自签订（双方当事人均已签字盖章）之日起七个工作日内通过四川政府采购网报同级财政备案。</w:t>
      </w:r>
    </w:p>
    <w:p w14:paraId="3850F073">
      <w:pPr>
        <w:pStyle w:val="5"/>
        <w:shd w:val="clear"/>
        <w:spacing w:line="500" w:lineRule="exact"/>
        <w:ind w:firstLine="482" w:firstLineChars="200"/>
        <w:rPr>
          <w:rFonts w:hAnsi="宋体" w:cs="宋体"/>
          <w:b w:val="0"/>
          <w:color w:val="auto"/>
          <w:sz w:val="24"/>
          <w:szCs w:val="24"/>
          <w:highlight w:val="none"/>
        </w:rPr>
      </w:pPr>
      <w:r>
        <w:rPr>
          <w:rFonts w:hint="eastAsia" w:hAnsi="宋体" w:cs="宋体"/>
          <w:color w:val="auto"/>
          <w:sz w:val="24"/>
          <w:szCs w:val="24"/>
          <w:highlight w:val="none"/>
        </w:rPr>
        <w:t>33. 履行合同</w:t>
      </w:r>
      <w:bookmarkEnd w:id="104"/>
      <w:bookmarkEnd w:id="105"/>
    </w:p>
    <w:p w14:paraId="396E026E">
      <w:pPr>
        <w:shd w:val="clear"/>
        <w:spacing w:line="500" w:lineRule="exact"/>
        <w:rPr>
          <w:rFonts w:hAnsi="宋体" w:cs="宋体"/>
          <w:color w:val="auto"/>
          <w:sz w:val="24"/>
          <w:highlight w:val="none"/>
        </w:rPr>
      </w:pPr>
      <w:r>
        <w:rPr>
          <w:rFonts w:hint="eastAsia" w:hAnsi="宋体" w:cs="宋体"/>
          <w:color w:val="auto"/>
          <w:sz w:val="24"/>
          <w:highlight w:val="none"/>
        </w:rPr>
        <w:t xml:space="preserve">   33.1 中标人与采购人签订合同后，合同双方应严格执行合同条款，履行合同规定的义务，保证合同的顺利完成。</w:t>
      </w:r>
    </w:p>
    <w:p w14:paraId="162EE336">
      <w:pPr>
        <w:shd w:val="clear"/>
        <w:spacing w:line="500" w:lineRule="exact"/>
        <w:rPr>
          <w:rFonts w:hAnsi="宋体" w:cs="宋体"/>
          <w:color w:val="auto"/>
          <w:sz w:val="24"/>
          <w:highlight w:val="none"/>
        </w:rPr>
      </w:pPr>
      <w:r>
        <w:rPr>
          <w:rFonts w:hint="eastAsia" w:hAnsi="宋体" w:cs="宋体"/>
          <w:color w:val="auto"/>
          <w:sz w:val="24"/>
          <w:szCs w:val="22"/>
          <w:highlight w:val="none"/>
        </w:rPr>
        <w:t xml:space="preserve">   33.2 政府采购合同的履行、违约责任和解决争议的方法等适用《中华人民共和国民法典》。</w:t>
      </w:r>
    </w:p>
    <w:p w14:paraId="59212642">
      <w:pPr>
        <w:pStyle w:val="5"/>
        <w:shd w:val="clear"/>
        <w:spacing w:line="500" w:lineRule="exact"/>
        <w:ind w:firstLine="482" w:firstLineChars="200"/>
        <w:rPr>
          <w:rFonts w:hAnsi="宋体" w:cs="宋体"/>
          <w:b w:val="0"/>
          <w:color w:val="auto"/>
          <w:sz w:val="24"/>
          <w:szCs w:val="24"/>
          <w:highlight w:val="none"/>
        </w:rPr>
      </w:pPr>
      <w:bookmarkStart w:id="106" w:name="_Toc308164814"/>
      <w:bookmarkStart w:id="107" w:name="_Toc217446070"/>
      <w:r>
        <w:rPr>
          <w:rFonts w:hint="eastAsia" w:hAnsi="宋体" w:cs="宋体"/>
          <w:color w:val="auto"/>
          <w:sz w:val="24"/>
          <w:szCs w:val="24"/>
          <w:highlight w:val="none"/>
        </w:rPr>
        <w:t>34. 验收</w:t>
      </w:r>
      <w:bookmarkEnd w:id="106"/>
      <w:bookmarkEnd w:id="107"/>
    </w:p>
    <w:p w14:paraId="4F94AF25">
      <w:pPr>
        <w:shd w:val="clear"/>
        <w:spacing w:line="500" w:lineRule="exact"/>
        <w:ind w:firstLine="480" w:firstLineChars="200"/>
        <w:rPr>
          <w:color w:val="auto"/>
          <w:highlight w:val="none"/>
        </w:rPr>
      </w:pPr>
      <w:bookmarkStart w:id="108" w:name="_Toc308164818"/>
      <w:bookmarkStart w:id="109" w:name="_Toc217446077"/>
      <w:bookmarkStart w:id="110" w:name="_Toc217446071"/>
      <w:r>
        <w:rPr>
          <w:rFonts w:hint="eastAsia" w:hAnsi="宋体" w:cs="宋体"/>
          <w:color w:val="auto"/>
          <w:kern w:val="2"/>
          <w:sz w:val="24"/>
          <w:szCs w:val="24"/>
          <w:highlight w:val="none"/>
        </w:rPr>
        <w:t>详见招标文件第六章商务要求验收。</w:t>
      </w:r>
    </w:p>
    <w:p w14:paraId="7839A5D2">
      <w:pPr>
        <w:pStyle w:val="5"/>
        <w:shd w:val="clear"/>
        <w:spacing w:line="500" w:lineRule="exact"/>
        <w:ind w:firstLine="482" w:firstLineChars="200"/>
        <w:rPr>
          <w:rFonts w:hAnsi="宋体" w:cs="宋体"/>
          <w:color w:val="auto"/>
          <w:sz w:val="24"/>
          <w:szCs w:val="24"/>
          <w:highlight w:val="none"/>
        </w:rPr>
      </w:pPr>
      <w:r>
        <w:rPr>
          <w:rFonts w:hint="eastAsia" w:hAnsi="宋体" w:cs="宋体"/>
          <w:color w:val="auto"/>
          <w:sz w:val="24"/>
          <w:szCs w:val="24"/>
          <w:highlight w:val="none"/>
        </w:rPr>
        <w:t>35.资金支付</w:t>
      </w:r>
      <w:bookmarkEnd w:id="108"/>
      <w:bookmarkEnd w:id="109"/>
    </w:p>
    <w:p w14:paraId="782EF486">
      <w:pPr>
        <w:shd w:val="clear"/>
        <w:spacing w:line="500" w:lineRule="exact"/>
        <w:ind w:firstLine="480" w:firstLineChars="200"/>
        <w:rPr>
          <w:rFonts w:hAnsi="宋体" w:cs="宋体"/>
          <w:color w:val="auto"/>
          <w:sz w:val="24"/>
          <w:szCs w:val="22"/>
          <w:highlight w:val="none"/>
        </w:rPr>
      </w:pPr>
      <w:r>
        <w:rPr>
          <w:rFonts w:hint="eastAsia" w:hAnsi="宋体" w:cs="宋体"/>
          <w:color w:val="auto"/>
          <w:sz w:val="24"/>
          <w:szCs w:val="22"/>
          <w:highlight w:val="none"/>
        </w:rPr>
        <w:t>采购人将按照政府采购合同规定，及时向中标人支付采购资金。本项目采购资金付款详见第六章商务要求中付款方式。</w:t>
      </w:r>
    </w:p>
    <w:bookmarkEnd w:id="99"/>
    <w:bookmarkEnd w:id="100"/>
    <w:bookmarkEnd w:id="110"/>
    <w:p w14:paraId="0096C0FD">
      <w:pPr>
        <w:pStyle w:val="4"/>
        <w:shd w:val="clear"/>
        <w:spacing w:line="500" w:lineRule="exact"/>
        <w:jc w:val="center"/>
        <w:rPr>
          <w:rFonts w:ascii="宋体" w:hAnsi="宋体" w:eastAsia="宋体" w:cs="宋体"/>
          <w:color w:val="auto"/>
          <w:szCs w:val="28"/>
          <w:highlight w:val="none"/>
        </w:rPr>
      </w:pPr>
      <w:bookmarkStart w:id="111" w:name="_Toc217446074"/>
      <w:bookmarkStart w:id="112" w:name="_Toc308164815"/>
      <w:bookmarkStart w:id="113" w:name="_Toc183682380"/>
      <w:bookmarkStart w:id="114" w:name="_Toc183582243"/>
      <w:r>
        <w:rPr>
          <w:rFonts w:hint="eastAsia" w:ascii="宋体" w:hAnsi="宋体" w:eastAsia="宋体" w:cs="宋体"/>
          <w:color w:val="auto"/>
          <w:szCs w:val="28"/>
          <w:highlight w:val="none"/>
        </w:rPr>
        <w:t>七、投标纪律要求</w:t>
      </w:r>
      <w:bookmarkEnd w:id="111"/>
      <w:bookmarkEnd w:id="112"/>
    </w:p>
    <w:p w14:paraId="61BF484B">
      <w:pPr>
        <w:pStyle w:val="5"/>
        <w:shd w:val="clear"/>
        <w:spacing w:line="500" w:lineRule="exact"/>
        <w:ind w:firstLine="482" w:firstLineChars="200"/>
        <w:rPr>
          <w:rFonts w:hAnsi="宋体" w:cs="宋体"/>
          <w:bCs w:val="0"/>
          <w:color w:val="auto"/>
          <w:sz w:val="24"/>
          <w:szCs w:val="24"/>
          <w:highlight w:val="none"/>
        </w:rPr>
      </w:pPr>
      <w:bookmarkStart w:id="115" w:name="_Toc217446075"/>
      <w:bookmarkStart w:id="116" w:name="_Toc308164816"/>
      <w:r>
        <w:rPr>
          <w:rFonts w:hint="eastAsia" w:hAnsi="宋体" w:cs="宋体"/>
          <w:color w:val="auto"/>
          <w:sz w:val="24"/>
          <w:highlight w:val="none"/>
        </w:rPr>
        <w:t xml:space="preserve">36. </w:t>
      </w:r>
      <w:r>
        <w:rPr>
          <w:rFonts w:hint="eastAsia" w:hAnsi="宋体" w:cs="宋体"/>
          <w:bCs w:val="0"/>
          <w:color w:val="auto"/>
          <w:sz w:val="24"/>
          <w:szCs w:val="24"/>
          <w:highlight w:val="none"/>
        </w:rPr>
        <w:t>投标人不得具有的情形</w:t>
      </w:r>
      <w:bookmarkEnd w:id="115"/>
      <w:bookmarkEnd w:id="116"/>
    </w:p>
    <w:p w14:paraId="1E5E037C">
      <w:pPr>
        <w:pStyle w:val="8"/>
        <w:shd w:val="clear"/>
        <w:spacing w:line="500" w:lineRule="exact"/>
        <w:ind w:firstLine="480"/>
        <w:rPr>
          <w:rFonts w:hAnsi="宋体" w:cs="宋体"/>
          <w:color w:val="auto"/>
          <w:sz w:val="24"/>
          <w:highlight w:val="none"/>
        </w:rPr>
      </w:pPr>
      <w:r>
        <w:rPr>
          <w:rFonts w:hint="eastAsia" w:hAnsi="宋体" w:cs="宋体"/>
          <w:color w:val="auto"/>
          <w:sz w:val="24"/>
          <w:highlight w:val="none"/>
        </w:rPr>
        <w:t>36.1投标人参加本项目投标不得有下列情形：</w:t>
      </w:r>
    </w:p>
    <w:p w14:paraId="0C59DB70">
      <w:pPr>
        <w:shd w:val="clear"/>
        <w:spacing w:line="500" w:lineRule="exact"/>
        <w:ind w:firstLine="460" w:firstLineChars="192"/>
        <w:rPr>
          <w:rFonts w:hAnsi="宋体" w:cs="宋体"/>
          <w:color w:val="auto"/>
          <w:sz w:val="24"/>
          <w:highlight w:val="none"/>
        </w:rPr>
      </w:pPr>
      <w:r>
        <w:rPr>
          <w:rFonts w:hint="eastAsia" w:hAnsi="宋体" w:cs="宋体"/>
          <w:color w:val="auto"/>
          <w:sz w:val="24"/>
          <w:highlight w:val="none"/>
        </w:rPr>
        <w:t>（1）提供虚假材料谋取中标；</w:t>
      </w:r>
    </w:p>
    <w:p w14:paraId="552EEBE2">
      <w:pPr>
        <w:shd w:val="clear"/>
        <w:spacing w:line="500" w:lineRule="exact"/>
        <w:ind w:firstLine="460" w:firstLineChars="192"/>
        <w:rPr>
          <w:rFonts w:hAnsi="宋体" w:cs="宋体"/>
          <w:color w:val="auto"/>
          <w:sz w:val="24"/>
          <w:highlight w:val="none"/>
        </w:rPr>
      </w:pPr>
      <w:r>
        <w:rPr>
          <w:rFonts w:hint="eastAsia" w:hAnsi="宋体" w:cs="宋体"/>
          <w:color w:val="auto"/>
          <w:sz w:val="24"/>
          <w:highlight w:val="none"/>
        </w:rPr>
        <w:t>（2）采取不正当手段诋毁、排挤其他投标人；</w:t>
      </w:r>
    </w:p>
    <w:p w14:paraId="52CCC897">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（3）与招标采购单位、其他投标人恶意串通；</w:t>
      </w:r>
    </w:p>
    <w:p w14:paraId="2A637213">
      <w:pPr>
        <w:shd w:val="clear"/>
        <w:spacing w:line="500" w:lineRule="exact"/>
        <w:ind w:firstLine="460" w:firstLineChars="192"/>
        <w:rPr>
          <w:rFonts w:hAnsi="宋体" w:cs="宋体"/>
          <w:color w:val="auto"/>
          <w:sz w:val="24"/>
          <w:highlight w:val="none"/>
        </w:rPr>
      </w:pPr>
      <w:r>
        <w:rPr>
          <w:rFonts w:hint="eastAsia" w:hAnsi="宋体" w:cs="宋体"/>
          <w:color w:val="auto"/>
          <w:sz w:val="24"/>
          <w:highlight w:val="none"/>
        </w:rPr>
        <w:t>（4）向招标采购单位、评标委员会成员行贿或者提供其他不正当利益；</w:t>
      </w:r>
    </w:p>
    <w:p w14:paraId="132783DC">
      <w:pPr>
        <w:shd w:val="clear"/>
        <w:spacing w:line="500" w:lineRule="exact"/>
        <w:ind w:firstLine="460" w:firstLineChars="192"/>
        <w:rPr>
          <w:rFonts w:hAnsi="宋体" w:cs="宋体"/>
          <w:color w:val="auto"/>
          <w:sz w:val="24"/>
          <w:highlight w:val="none"/>
        </w:rPr>
      </w:pPr>
      <w:r>
        <w:rPr>
          <w:rFonts w:hint="eastAsia" w:hAnsi="宋体" w:cs="宋体"/>
          <w:color w:val="auto"/>
          <w:sz w:val="24"/>
          <w:highlight w:val="none"/>
        </w:rPr>
        <w:t>（5）在招标过程中与招标采购单位进行协商谈判；</w:t>
      </w:r>
    </w:p>
    <w:p w14:paraId="5E7608A0">
      <w:pPr>
        <w:shd w:val="clear"/>
        <w:spacing w:line="500" w:lineRule="exact"/>
        <w:ind w:firstLine="460" w:firstLineChars="192"/>
        <w:rPr>
          <w:rFonts w:hAnsi="宋体" w:cs="宋体"/>
          <w:color w:val="auto"/>
          <w:sz w:val="24"/>
          <w:highlight w:val="none"/>
        </w:rPr>
      </w:pPr>
      <w:r>
        <w:rPr>
          <w:rFonts w:hint="eastAsia" w:hAnsi="宋体" w:cs="宋体"/>
          <w:color w:val="auto"/>
          <w:sz w:val="24"/>
          <w:highlight w:val="none"/>
        </w:rPr>
        <w:t>（6）中标或者成交后无正当理由拒不与采购人签订政府采购合同；</w:t>
      </w:r>
    </w:p>
    <w:p w14:paraId="35A20CCE">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（7）未按照采购文件确定的事项签订政府采购合同；</w:t>
      </w:r>
    </w:p>
    <w:p w14:paraId="38B39891">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（8）将政府采购合同转包或者违规分包；</w:t>
      </w:r>
    </w:p>
    <w:p w14:paraId="4143E179">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（9）提供假冒伪劣产品；</w:t>
      </w:r>
    </w:p>
    <w:p w14:paraId="672EA4DE">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（10）擅自变更、中止或者终止政府采购合同；</w:t>
      </w:r>
    </w:p>
    <w:p w14:paraId="16AC9E43">
      <w:pPr>
        <w:shd w:val="clear"/>
        <w:spacing w:line="500" w:lineRule="exact"/>
        <w:ind w:firstLine="460" w:firstLineChars="192"/>
        <w:rPr>
          <w:rFonts w:hAnsi="宋体" w:cs="宋体"/>
          <w:color w:val="auto"/>
          <w:sz w:val="24"/>
          <w:highlight w:val="none"/>
        </w:rPr>
      </w:pPr>
      <w:r>
        <w:rPr>
          <w:rFonts w:hint="eastAsia" w:hAnsi="宋体" w:cs="宋体"/>
          <w:color w:val="auto"/>
          <w:sz w:val="24"/>
          <w:highlight w:val="none"/>
        </w:rPr>
        <w:t>（11）</w:t>
      </w:r>
      <w:r>
        <w:rPr>
          <w:rFonts w:hint="eastAsia" w:hAnsi="宋体" w:cs="宋体"/>
          <w:color w:val="auto"/>
          <w:sz w:val="24"/>
          <w:szCs w:val="22"/>
          <w:highlight w:val="none"/>
        </w:rPr>
        <w:t>被列入失信被执行人、重大税收违法案件当事人名单、政府采购严重违法失信行为记录名单（如投标人在参加政府采购活动前被禁止在一定期限内参加政府采购活动，期限届满的，可以参加政府采购活动），参加政府采购活动前三年内，在经营活动中有重大违法记录（如投标人在参加政府采购活动前3年内因违法经营被禁止在一定期限内参加政府采购活动，期限届满的，可以参加政府采购活动）；</w:t>
      </w:r>
    </w:p>
    <w:p w14:paraId="2CABD262">
      <w:pPr>
        <w:shd w:val="clear"/>
        <w:spacing w:line="500" w:lineRule="exact"/>
        <w:ind w:firstLine="460" w:firstLineChars="192"/>
        <w:rPr>
          <w:rFonts w:hAnsi="宋体" w:cs="宋体"/>
          <w:color w:val="auto"/>
          <w:sz w:val="24"/>
          <w:szCs w:val="22"/>
          <w:highlight w:val="none"/>
        </w:rPr>
      </w:pPr>
      <w:r>
        <w:rPr>
          <w:rFonts w:hint="eastAsia" w:hAnsi="宋体" w:cs="宋体"/>
          <w:color w:val="auto"/>
          <w:sz w:val="24"/>
          <w:szCs w:val="22"/>
          <w:highlight w:val="none"/>
        </w:rPr>
        <w:t>（12）在行贿犯罪信息查询期限内，根据中国裁判文书网</w:t>
      </w:r>
    </w:p>
    <w:p w14:paraId="64069FA6">
      <w:pPr>
        <w:shd w:val="clear"/>
        <w:spacing w:line="500" w:lineRule="exact"/>
        <w:rPr>
          <w:rFonts w:hAnsi="宋体" w:cs="宋体"/>
          <w:color w:val="auto"/>
          <w:sz w:val="24"/>
          <w:szCs w:val="22"/>
          <w:highlight w:val="none"/>
        </w:rPr>
      </w:pPr>
      <w:r>
        <w:rPr>
          <w:rFonts w:hint="eastAsia" w:hAnsi="宋体" w:cs="宋体"/>
          <w:color w:val="auto"/>
          <w:sz w:val="24"/>
          <w:szCs w:val="22"/>
          <w:highlight w:val="none"/>
        </w:rPr>
        <w:t>（http://wenshu.court.gov.cn/）查询结果投标人及其现任法定代表人/主要负责人有行贿犯罪记录；</w:t>
      </w:r>
    </w:p>
    <w:p w14:paraId="230F120A">
      <w:pPr>
        <w:shd w:val="clear"/>
        <w:spacing w:line="500" w:lineRule="exact"/>
        <w:ind w:firstLine="480" w:firstLineChars="200"/>
        <w:rPr>
          <w:rFonts w:hAnsi="宋体" w:cs="宋体"/>
          <w:b/>
          <w:bCs/>
          <w:color w:val="auto"/>
          <w:sz w:val="24"/>
          <w:szCs w:val="22"/>
          <w:highlight w:val="none"/>
        </w:rPr>
      </w:pPr>
      <w:r>
        <w:rPr>
          <w:rFonts w:hint="eastAsia" w:hAnsi="宋体" w:cs="宋体"/>
          <w:color w:val="auto"/>
          <w:sz w:val="24"/>
          <w:szCs w:val="22"/>
          <w:highlight w:val="none"/>
        </w:rPr>
        <w:t>（13）</w:t>
      </w:r>
      <w:r>
        <w:rPr>
          <w:rFonts w:hint="eastAsia" w:hAnsi="宋体" w:cs="宋体"/>
          <w:color w:val="auto"/>
          <w:sz w:val="24"/>
          <w:highlight w:val="none"/>
        </w:rPr>
        <w:t>拒绝有关部门的监督检查或者向监督检查部门提供虚假情况；</w:t>
      </w:r>
    </w:p>
    <w:p w14:paraId="2D8B23E5">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（14）法律法规规定的其他情形。</w:t>
      </w:r>
    </w:p>
    <w:p w14:paraId="4CE0EA59">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投标人有上述情形的，按照规定追究法律责任，具备（1）-（12）条情形之一的，同时将取消中标资格或者认定中标无效。</w:t>
      </w:r>
    </w:p>
    <w:p w14:paraId="67DC2BCB">
      <w:pPr>
        <w:shd w:val="clear"/>
        <w:spacing w:line="500" w:lineRule="exact"/>
        <w:ind w:firstLine="480" w:firstLineChars="200"/>
        <w:rPr>
          <w:rFonts w:hAnsi="宋体" w:cs="宋体"/>
          <w:color w:val="auto"/>
          <w:sz w:val="24"/>
          <w:szCs w:val="22"/>
          <w:highlight w:val="none"/>
        </w:rPr>
      </w:pPr>
      <w:r>
        <w:rPr>
          <w:rFonts w:hint="eastAsia" w:hAnsi="宋体" w:cs="宋体"/>
          <w:color w:val="auto"/>
          <w:sz w:val="24"/>
          <w:szCs w:val="22"/>
          <w:highlight w:val="none"/>
        </w:rPr>
        <w:t>36.2有下列情形之一的，视为投标人串通投标，其投标无效：</w:t>
      </w:r>
    </w:p>
    <w:p w14:paraId="30F818AA">
      <w:pPr>
        <w:shd w:val="clear"/>
        <w:spacing w:line="500" w:lineRule="exact"/>
        <w:ind w:firstLine="480" w:firstLineChars="200"/>
        <w:rPr>
          <w:rFonts w:hAnsi="宋体" w:cs="宋体"/>
          <w:color w:val="auto"/>
          <w:sz w:val="24"/>
          <w:szCs w:val="22"/>
          <w:highlight w:val="none"/>
        </w:rPr>
      </w:pPr>
      <w:r>
        <w:rPr>
          <w:rFonts w:hint="eastAsia" w:hAnsi="宋体" w:cs="宋体"/>
          <w:color w:val="auto"/>
          <w:sz w:val="24"/>
          <w:szCs w:val="22"/>
          <w:highlight w:val="none"/>
        </w:rPr>
        <w:t>（1）不同投标人的投标文件由同一单位或者个人编制；</w:t>
      </w:r>
    </w:p>
    <w:p w14:paraId="0F071B26">
      <w:pPr>
        <w:shd w:val="clear"/>
        <w:spacing w:line="500" w:lineRule="exact"/>
        <w:ind w:firstLine="480" w:firstLineChars="200"/>
        <w:rPr>
          <w:rFonts w:hAnsi="宋体" w:cs="宋体"/>
          <w:color w:val="auto"/>
          <w:sz w:val="24"/>
          <w:szCs w:val="22"/>
          <w:highlight w:val="none"/>
        </w:rPr>
      </w:pPr>
      <w:r>
        <w:rPr>
          <w:rFonts w:hint="eastAsia" w:hAnsi="宋体" w:cs="宋体"/>
          <w:color w:val="auto"/>
          <w:sz w:val="24"/>
          <w:szCs w:val="22"/>
          <w:highlight w:val="none"/>
        </w:rPr>
        <w:t>（2）不同投标人委托同一单位或者个人办理投标事宜；</w:t>
      </w:r>
    </w:p>
    <w:p w14:paraId="65A139DB">
      <w:pPr>
        <w:shd w:val="clear"/>
        <w:spacing w:line="500" w:lineRule="exact"/>
        <w:ind w:firstLine="480" w:firstLineChars="200"/>
        <w:rPr>
          <w:rFonts w:hAnsi="宋体" w:cs="宋体"/>
          <w:color w:val="auto"/>
          <w:sz w:val="24"/>
          <w:szCs w:val="22"/>
          <w:highlight w:val="none"/>
        </w:rPr>
      </w:pPr>
      <w:r>
        <w:rPr>
          <w:rFonts w:hint="eastAsia" w:hAnsi="宋体" w:cs="宋体"/>
          <w:color w:val="auto"/>
          <w:sz w:val="24"/>
          <w:szCs w:val="22"/>
          <w:highlight w:val="none"/>
        </w:rPr>
        <w:t>（3）不同投标人的投标文件载明的项目管理成员或者联系人员为同一人；</w:t>
      </w:r>
    </w:p>
    <w:p w14:paraId="5C9B4D31">
      <w:pPr>
        <w:shd w:val="clear"/>
        <w:spacing w:line="500" w:lineRule="exact"/>
        <w:ind w:firstLine="480" w:firstLineChars="200"/>
        <w:rPr>
          <w:rFonts w:hAnsi="宋体" w:cs="宋体"/>
          <w:color w:val="auto"/>
          <w:sz w:val="24"/>
          <w:szCs w:val="22"/>
          <w:highlight w:val="none"/>
        </w:rPr>
      </w:pPr>
      <w:r>
        <w:rPr>
          <w:rFonts w:hint="eastAsia" w:hAnsi="宋体" w:cs="宋体"/>
          <w:color w:val="auto"/>
          <w:sz w:val="24"/>
          <w:szCs w:val="22"/>
          <w:highlight w:val="none"/>
        </w:rPr>
        <w:t>（4）不同投标人的投标文件异常一致或者投标报价呈规律性差异；</w:t>
      </w:r>
    </w:p>
    <w:p w14:paraId="7AC26A38">
      <w:pPr>
        <w:shd w:val="clear"/>
        <w:spacing w:line="500" w:lineRule="exact"/>
        <w:ind w:firstLine="480" w:firstLineChars="200"/>
        <w:rPr>
          <w:rFonts w:hAnsi="宋体" w:cs="宋体"/>
          <w:color w:val="auto"/>
          <w:sz w:val="24"/>
          <w:szCs w:val="22"/>
          <w:highlight w:val="none"/>
        </w:rPr>
      </w:pPr>
      <w:r>
        <w:rPr>
          <w:rFonts w:hint="eastAsia" w:hAnsi="宋体" w:cs="宋体"/>
          <w:color w:val="auto"/>
          <w:sz w:val="24"/>
          <w:szCs w:val="22"/>
          <w:highlight w:val="none"/>
        </w:rPr>
        <w:t>（5）不同投标人的投标文件相互混装；</w:t>
      </w:r>
    </w:p>
    <w:p w14:paraId="37466F57">
      <w:pPr>
        <w:shd w:val="clear"/>
        <w:spacing w:line="500" w:lineRule="exact"/>
        <w:ind w:firstLine="480" w:firstLineChars="200"/>
        <w:rPr>
          <w:rFonts w:hAnsi="宋体" w:cs="宋体"/>
          <w:color w:val="auto"/>
          <w:sz w:val="24"/>
          <w:szCs w:val="22"/>
          <w:highlight w:val="none"/>
        </w:rPr>
      </w:pPr>
      <w:r>
        <w:rPr>
          <w:rFonts w:hint="eastAsia" w:hAnsi="宋体" w:cs="宋体"/>
          <w:color w:val="auto"/>
          <w:sz w:val="24"/>
          <w:szCs w:val="22"/>
          <w:highlight w:val="none"/>
        </w:rPr>
        <w:t>（6）不同投标人的投标保证金从同一单位或者个人的账户转出。</w:t>
      </w:r>
    </w:p>
    <w:p w14:paraId="632B924A">
      <w:pPr>
        <w:pStyle w:val="5"/>
        <w:shd w:val="clear"/>
        <w:spacing w:line="500" w:lineRule="exact"/>
        <w:ind w:firstLine="482" w:firstLineChars="200"/>
        <w:rPr>
          <w:rFonts w:hAnsi="宋体" w:cs="宋体"/>
          <w:bCs w:val="0"/>
          <w:color w:val="auto"/>
          <w:sz w:val="24"/>
          <w:szCs w:val="24"/>
          <w:highlight w:val="none"/>
        </w:rPr>
      </w:pPr>
      <w:r>
        <w:rPr>
          <w:rFonts w:hint="eastAsia" w:hAnsi="宋体" w:cs="宋体"/>
          <w:bCs w:val="0"/>
          <w:color w:val="auto"/>
          <w:sz w:val="24"/>
          <w:szCs w:val="24"/>
          <w:highlight w:val="none"/>
        </w:rPr>
        <w:t>37.保密</w:t>
      </w:r>
    </w:p>
    <w:p w14:paraId="75FE968C">
      <w:pPr>
        <w:shd w:val="clear"/>
        <w:spacing w:line="500" w:lineRule="exact"/>
        <w:ind w:firstLine="480" w:firstLineChars="200"/>
        <w:rPr>
          <w:rFonts w:hAnsi="宋体" w:cs="宋体"/>
          <w:color w:val="auto"/>
          <w:highlight w:val="none"/>
        </w:rPr>
      </w:pPr>
      <w:r>
        <w:rPr>
          <w:rFonts w:hint="eastAsia" w:hAnsi="宋体" w:cs="宋体"/>
          <w:color w:val="auto"/>
          <w:sz w:val="24"/>
          <w:szCs w:val="22"/>
          <w:highlight w:val="none"/>
        </w:rPr>
        <w:t>投标截止时间前，采购人、采购代理机构和有关人员不得向他人透露已获取招标文件的潜在投标人的名称、数量以及可能影响公平竞争的有关招标投标的其他情况。</w:t>
      </w:r>
    </w:p>
    <w:p w14:paraId="241860EB">
      <w:pPr>
        <w:pStyle w:val="4"/>
        <w:shd w:val="clear"/>
        <w:spacing w:line="500" w:lineRule="exact"/>
        <w:jc w:val="center"/>
        <w:rPr>
          <w:rFonts w:ascii="宋体" w:hAnsi="宋体" w:eastAsia="宋体" w:cs="宋体"/>
          <w:bCs w:val="0"/>
          <w:color w:val="auto"/>
          <w:szCs w:val="28"/>
          <w:highlight w:val="none"/>
        </w:rPr>
      </w:pPr>
      <w:bookmarkStart w:id="117" w:name="_Toc217446078"/>
      <w:bookmarkStart w:id="118" w:name="_Toc308164819"/>
      <w:r>
        <w:rPr>
          <w:rFonts w:hint="eastAsia" w:ascii="宋体" w:hAnsi="宋体" w:eastAsia="宋体" w:cs="宋体"/>
          <w:bCs w:val="0"/>
          <w:color w:val="auto"/>
          <w:szCs w:val="28"/>
          <w:highlight w:val="none"/>
        </w:rPr>
        <w:t>八、询问、质疑和投诉</w:t>
      </w:r>
      <w:bookmarkEnd w:id="117"/>
      <w:bookmarkEnd w:id="118"/>
      <w:bookmarkStart w:id="119" w:name="_Toc217446079"/>
    </w:p>
    <w:bookmarkEnd w:id="113"/>
    <w:bookmarkEnd w:id="114"/>
    <w:bookmarkEnd w:id="119"/>
    <w:p w14:paraId="5788B8BD">
      <w:pPr>
        <w:widowControl/>
        <w:shd w:val="clear"/>
        <w:spacing w:line="500" w:lineRule="exact"/>
        <w:ind w:firstLine="472" w:firstLineChars="196"/>
        <w:jc w:val="left"/>
        <w:outlineLvl w:val="1"/>
        <w:rPr>
          <w:rFonts w:hAnsi="宋体" w:cs="宋体"/>
          <w:color w:val="auto"/>
          <w:sz w:val="24"/>
          <w:highlight w:val="none"/>
        </w:rPr>
      </w:pPr>
      <w:r>
        <w:rPr>
          <w:rFonts w:hint="eastAsia" w:hAnsi="宋体" w:cs="宋体"/>
          <w:b/>
          <w:color w:val="auto"/>
          <w:sz w:val="24"/>
          <w:highlight w:val="none"/>
        </w:rPr>
        <w:t>38．</w:t>
      </w:r>
      <w:r>
        <w:rPr>
          <w:rFonts w:hint="eastAsia" w:hAnsi="宋体" w:cs="宋体"/>
          <w:color w:val="auto"/>
          <w:sz w:val="24"/>
          <w:highlight w:val="none"/>
        </w:rPr>
        <w:t>询问、质疑、投诉的接收和处理严格按照《中华人共和国政府采购法》《中华人民共和国政府采购法实施条例》《政府采购货物和服务招标投标管理办法《政府采购质疑和投诉办法》《财政部关于加强政府采购投标人投诉受理审查工作的通知》和《四川省政府采购投标人投诉处理工作规程》等规定办理（详细规定请在四川政府采购网政策法规模块查询）。</w:t>
      </w:r>
    </w:p>
    <w:p w14:paraId="24B1657E">
      <w:pPr>
        <w:pStyle w:val="4"/>
        <w:shd w:val="clear"/>
        <w:spacing w:line="500" w:lineRule="exact"/>
        <w:jc w:val="center"/>
        <w:rPr>
          <w:rFonts w:ascii="宋体" w:hAnsi="宋体" w:eastAsia="宋体" w:cs="宋体"/>
          <w:bCs w:val="0"/>
          <w:color w:val="auto"/>
          <w:szCs w:val="28"/>
          <w:highlight w:val="none"/>
        </w:rPr>
      </w:pPr>
      <w:r>
        <w:rPr>
          <w:rFonts w:hint="eastAsia" w:ascii="宋体" w:hAnsi="宋体" w:eastAsia="宋体" w:cs="宋体"/>
          <w:bCs w:val="0"/>
          <w:color w:val="auto"/>
          <w:szCs w:val="28"/>
          <w:highlight w:val="none"/>
        </w:rPr>
        <w:t>九、其他</w:t>
      </w:r>
    </w:p>
    <w:p w14:paraId="54054DCD">
      <w:pPr>
        <w:shd w:val="clear"/>
        <w:spacing w:line="500" w:lineRule="exact"/>
        <w:ind w:firstLine="482" w:firstLineChars="200"/>
        <w:rPr>
          <w:rFonts w:hAnsi="宋体" w:cs="宋体"/>
          <w:color w:val="auto"/>
          <w:sz w:val="24"/>
          <w:szCs w:val="22"/>
          <w:highlight w:val="none"/>
        </w:rPr>
      </w:pPr>
      <w:r>
        <w:rPr>
          <w:rFonts w:hint="eastAsia" w:hAnsi="宋体" w:cs="宋体"/>
          <w:b/>
          <w:color w:val="auto"/>
          <w:sz w:val="24"/>
          <w:highlight w:val="none"/>
        </w:rPr>
        <w:t>39.</w:t>
      </w:r>
      <w:r>
        <w:rPr>
          <w:rFonts w:hint="eastAsia" w:hAnsi="宋体" w:cs="宋体"/>
          <w:color w:val="auto"/>
          <w:sz w:val="24"/>
          <w:highlight w:val="none"/>
        </w:rPr>
        <w:t>本招标文件中所引相关法律制度规定，在政府采购中有变化的，按照变化后的相关法律制度规定执行。本章和第七章中“1.总则、2.评标方法、3.评标程序”规定的内容条款，在本项目投标截止时间届满后，因相关法律制度规定的变化导致不符合相关</w:t>
      </w:r>
      <w:r>
        <w:rPr>
          <w:rFonts w:hint="eastAsia" w:hAnsi="宋体" w:cs="宋体"/>
          <w:color w:val="auto"/>
          <w:sz w:val="24"/>
          <w:szCs w:val="22"/>
          <w:highlight w:val="none"/>
        </w:rPr>
        <w:t>法律制度规定的，直接按照变化后的相关法律制度规定执行，本招标文件不再做调整。</w:t>
      </w:r>
    </w:p>
    <w:p w14:paraId="09AEA176">
      <w:pPr>
        <w:shd w:val="clear"/>
        <w:spacing w:line="500" w:lineRule="exact"/>
        <w:ind w:firstLine="480" w:firstLineChars="200"/>
        <w:rPr>
          <w:rFonts w:hAnsi="宋体" w:cs="宋体"/>
          <w:color w:val="auto"/>
          <w:sz w:val="24"/>
          <w:szCs w:val="22"/>
          <w:highlight w:val="none"/>
        </w:rPr>
      </w:pPr>
      <w:r>
        <w:rPr>
          <w:rFonts w:hint="eastAsia" w:hAnsi="宋体" w:cs="宋体"/>
          <w:color w:val="auto"/>
          <w:sz w:val="24"/>
          <w:szCs w:val="22"/>
          <w:highlight w:val="none"/>
        </w:rPr>
        <w:t>本招标文件中未引用的相关法律制度规定，按照中华人民共和国政府采购法及其实施条例，以及其他相关的法律、规章的规定执行。</w:t>
      </w:r>
    </w:p>
    <w:p w14:paraId="026941AB">
      <w:pPr>
        <w:widowControl/>
        <w:shd w:val="clear"/>
        <w:spacing w:line="500" w:lineRule="exact"/>
        <w:ind w:firstLine="480" w:firstLineChars="200"/>
        <w:jc w:val="left"/>
        <w:outlineLvl w:val="1"/>
        <w:rPr>
          <w:rFonts w:hAnsi="宋体" w:cs="宋体"/>
          <w:color w:val="auto"/>
          <w:sz w:val="24"/>
          <w:szCs w:val="22"/>
          <w:highlight w:val="none"/>
        </w:rPr>
      </w:pPr>
      <w:r>
        <w:rPr>
          <w:rFonts w:hint="eastAsia" w:hAnsi="宋体" w:cs="宋体"/>
          <w:color w:val="auto"/>
          <w:sz w:val="24"/>
          <w:szCs w:val="22"/>
          <w:highlight w:val="none"/>
        </w:rPr>
        <w:t>40.国家或行业主管部门对投标人和采购产品的技术标准、质量标准和资格资质条件等有强制性规定的，必须符合其要求。（实质性要求）</w:t>
      </w:r>
    </w:p>
    <w:p w14:paraId="6600F416">
      <w:pPr>
        <w:widowControl/>
        <w:shd w:val="clear"/>
        <w:spacing w:line="500" w:lineRule="exact"/>
        <w:ind w:firstLine="480" w:firstLineChars="200"/>
        <w:jc w:val="left"/>
        <w:outlineLvl w:val="1"/>
        <w:rPr>
          <w:rFonts w:hAnsi="宋体" w:cs="宋体"/>
          <w:color w:val="auto"/>
          <w:highlight w:val="none"/>
        </w:rPr>
      </w:pPr>
      <w:r>
        <w:rPr>
          <w:rFonts w:hint="eastAsia" w:hAnsi="宋体" w:cs="宋体"/>
          <w:color w:val="auto"/>
          <w:sz w:val="24"/>
          <w:szCs w:val="22"/>
          <w:highlight w:val="none"/>
        </w:rPr>
        <w:t>41.本章中作为实质性要求的内容，除明确要求提供承诺函等证明材料的外，采购人或采购代理机构或评</w:t>
      </w:r>
      <w:r>
        <w:rPr>
          <w:rFonts w:hint="eastAsia" w:hAnsi="宋体" w:cs="宋体"/>
          <w:color w:val="auto"/>
          <w:sz w:val="24"/>
          <w:highlight w:val="none"/>
        </w:rPr>
        <w:t>标委员会在评审时，仅对投标文件是否违背实质性要求进行审查。</w:t>
      </w:r>
    </w:p>
    <w:p w14:paraId="7B68A9A7">
      <w:pPr>
        <w:widowControl/>
        <w:shd w:val="clear"/>
        <w:spacing w:line="500" w:lineRule="exact"/>
        <w:ind w:firstLine="480" w:firstLineChars="200"/>
        <w:jc w:val="left"/>
        <w:outlineLvl w:val="1"/>
        <w:rPr>
          <w:rFonts w:hAnsi="宋体" w:cs="宋体"/>
          <w:color w:val="auto"/>
          <w:sz w:val="24"/>
          <w:highlight w:val="none"/>
        </w:rPr>
      </w:pPr>
      <w:r>
        <w:rPr>
          <w:rFonts w:hint="eastAsia" w:hAnsi="宋体" w:cs="宋体"/>
          <w:b w:val="0"/>
          <w:bCs/>
          <w:color w:val="auto"/>
          <w:sz w:val="24"/>
          <w:highlight w:val="none"/>
        </w:rPr>
        <w:t>42.</w:t>
      </w:r>
      <w:r>
        <w:rPr>
          <w:rFonts w:hint="eastAsia" w:hAnsi="宋体" w:cs="宋体"/>
          <w:color w:val="auto"/>
          <w:sz w:val="24"/>
          <w:highlight w:val="none"/>
        </w:rPr>
        <w:t>根据《关于在政府采购活动中查询及使用信用记录有关问题的通知》（财库〔2016〕125 号）的要求，采购代理机构将通过“信用中国”网站（www.creditchina.gov.cn）、“中国政府采购网”网站（www.ccgp.gov.cn）等渠道查询投标人在投标截止日前的信用记录并保存信用记录结果网页截图，拒绝列入失信被执行人、重大税收违法案件当事人名单、政府采购严重违法失信行为记录名单中的投标人报名参加本项目的采购活动。（实质性要求）</w:t>
      </w:r>
    </w:p>
    <w:p w14:paraId="724BB7F2">
      <w:pPr>
        <w:widowControl/>
        <w:shd w:val="clear"/>
        <w:spacing w:line="500" w:lineRule="exact"/>
        <w:ind w:firstLine="480" w:firstLineChars="200"/>
        <w:jc w:val="left"/>
        <w:outlineLvl w:val="1"/>
        <w:rPr>
          <w:rFonts w:hAnsi="宋体" w:cs="宋体"/>
          <w:b/>
          <w:color w:val="auto"/>
          <w:sz w:val="24"/>
          <w:highlight w:val="none"/>
        </w:rPr>
      </w:pPr>
      <w:r>
        <w:rPr>
          <w:rFonts w:hint="eastAsia" w:hAnsi="宋体" w:cs="宋体"/>
          <w:color w:val="auto"/>
          <w:sz w:val="24"/>
          <w:highlight w:val="none"/>
        </w:rPr>
        <w:t>43.根据四川省财政厅关于推进四川省政府采购供应商信用融资工作的通知（川财采[2018]123号）的要求，符合通知要求、有融资需求的供应商可根据四川政府采购网公示的银行及其“政采贷”产品，自行选择符合自身情况的“政采贷”银行及其产品，选择“政采贷”银行及其产品的需向代理机构进行登记。凭中标通知书向银行提出贷款意向申请。银行应及时按照有关规定完成对供应商的信用审查以及开设账户等相关工作。</w:t>
      </w:r>
    </w:p>
    <w:p w14:paraId="1B683B55">
      <w:pPr>
        <w:widowControl/>
        <w:shd w:val="clear"/>
        <w:spacing w:line="500" w:lineRule="exact"/>
        <w:jc w:val="center"/>
        <w:outlineLvl w:val="0"/>
        <w:rPr>
          <w:rFonts w:hAnsi="宋体" w:cs="宋体"/>
          <w:b/>
          <w:bCs/>
          <w:color w:val="auto"/>
          <w:sz w:val="36"/>
          <w:szCs w:val="36"/>
          <w:highlight w:val="none"/>
        </w:rPr>
      </w:pPr>
      <w:bookmarkStart w:id="120" w:name="_Toc217446083"/>
      <w:r>
        <w:rPr>
          <w:rFonts w:hint="eastAsia" w:hAnsi="宋体" w:cs="宋体"/>
          <w:b/>
          <w:bCs/>
          <w:color w:val="auto"/>
          <w:sz w:val="36"/>
          <w:szCs w:val="36"/>
          <w:highlight w:val="none"/>
        </w:rPr>
        <w:br w:type="page"/>
      </w:r>
      <w:bookmarkStart w:id="121" w:name="_Toc122"/>
      <w:r>
        <w:rPr>
          <w:rFonts w:hint="eastAsia" w:hAnsi="宋体" w:cs="宋体"/>
          <w:b/>
          <w:bCs/>
          <w:color w:val="auto"/>
          <w:sz w:val="36"/>
          <w:szCs w:val="36"/>
          <w:highlight w:val="none"/>
        </w:rPr>
        <w:t>第三章 投标文件格式</w:t>
      </w:r>
      <w:bookmarkEnd w:id="121"/>
      <w:bookmarkStart w:id="122" w:name="_Toc308164821"/>
      <w:bookmarkStart w:id="123" w:name="_Toc217446082"/>
    </w:p>
    <w:p w14:paraId="29D5ED4C">
      <w:pPr>
        <w:widowControl/>
        <w:shd w:val="clear"/>
        <w:spacing w:line="500" w:lineRule="exact"/>
        <w:ind w:firstLine="470" w:firstLineChars="196"/>
        <w:rPr>
          <w:rFonts w:hAnsi="宋体" w:cs="宋体"/>
          <w:color w:val="auto"/>
          <w:sz w:val="24"/>
          <w:highlight w:val="none"/>
        </w:rPr>
      </w:pPr>
      <w:r>
        <w:rPr>
          <w:rFonts w:hint="eastAsia" w:hAnsi="宋体" w:cs="宋体"/>
          <w:color w:val="auto"/>
          <w:sz w:val="24"/>
          <w:highlight w:val="none"/>
        </w:rPr>
        <w:t>一、本章所制投标文件格式，除格式中明确将该格式作为实质性要求的，一律不具有强制性。</w:t>
      </w:r>
    </w:p>
    <w:p w14:paraId="3231ED36">
      <w:pPr>
        <w:widowControl/>
        <w:shd w:val="clear"/>
        <w:spacing w:line="500" w:lineRule="exact"/>
        <w:ind w:firstLine="470" w:firstLineChars="196"/>
        <w:rPr>
          <w:rFonts w:hAnsi="宋体" w:cs="宋体"/>
          <w:color w:val="auto"/>
          <w:sz w:val="24"/>
          <w:highlight w:val="none"/>
        </w:rPr>
      </w:pPr>
      <w:r>
        <w:rPr>
          <w:rFonts w:hint="eastAsia" w:hAnsi="宋体" w:cs="宋体"/>
          <w:color w:val="auto"/>
          <w:sz w:val="24"/>
          <w:highlight w:val="none"/>
        </w:rPr>
        <w:t>二、本章所制投标文件格式有关表格中的备注栏，由投标人根据自身投标情况作解释性说明，不作为必填项。</w:t>
      </w:r>
    </w:p>
    <w:p w14:paraId="718E78B0">
      <w:pPr>
        <w:widowControl/>
        <w:shd w:val="clear"/>
        <w:spacing w:line="500" w:lineRule="exact"/>
        <w:ind w:firstLine="470" w:firstLineChars="196"/>
        <w:rPr>
          <w:rFonts w:hAnsi="宋体" w:cs="宋体"/>
          <w:color w:val="auto"/>
          <w:sz w:val="24"/>
          <w:highlight w:val="none"/>
        </w:rPr>
      </w:pPr>
      <w:r>
        <w:rPr>
          <w:rFonts w:hint="eastAsia" w:hAnsi="宋体" w:cs="宋体"/>
          <w:color w:val="auto"/>
          <w:sz w:val="24"/>
          <w:highlight w:val="none"/>
        </w:rPr>
        <w:t>三、本章所制投标文件格式中需要填写的相关内容事项，可能会与本采购项目无关，在不改变投标文件原义、不影响本项目采购需求的情况下，投标人可以不予填写，但应当注明。</w:t>
      </w:r>
    </w:p>
    <w:p w14:paraId="4D5B8842">
      <w:pPr>
        <w:widowControl/>
        <w:shd w:val="clear"/>
        <w:spacing w:line="500" w:lineRule="exact"/>
        <w:ind w:firstLine="470" w:firstLineChars="196"/>
        <w:rPr>
          <w:rFonts w:hAnsi="宋体" w:cs="宋体"/>
          <w:color w:val="auto"/>
          <w:sz w:val="24"/>
          <w:highlight w:val="none"/>
        </w:rPr>
      </w:pPr>
      <w:r>
        <w:rPr>
          <w:rFonts w:hint="eastAsia" w:hAnsi="宋体" w:cs="宋体"/>
          <w:color w:val="auto"/>
          <w:sz w:val="24"/>
          <w:highlight w:val="none"/>
        </w:rPr>
        <w:br w:type="page"/>
      </w:r>
    </w:p>
    <w:p w14:paraId="00839E67">
      <w:pPr>
        <w:widowControl/>
        <w:shd w:val="clear"/>
        <w:spacing w:line="480" w:lineRule="exact"/>
        <w:jc w:val="center"/>
        <w:outlineLvl w:val="1"/>
        <w:rPr>
          <w:rFonts w:hAnsi="宋体" w:cs="宋体"/>
          <w:b/>
          <w:color w:val="auto"/>
          <w:sz w:val="24"/>
          <w:highlight w:val="none"/>
        </w:rPr>
      </w:pPr>
      <w:r>
        <w:rPr>
          <w:rFonts w:hint="eastAsia" w:hAnsi="宋体" w:cs="宋体"/>
          <w:b/>
          <w:color w:val="auto"/>
          <w:sz w:val="32"/>
          <w:szCs w:val="32"/>
          <w:highlight w:val="none"/>
        </w:rPr>
        <w:t>一、投 标 函</w:t>
      </w:r>
      <w:bookmarkEnd w:id="122"/>
      <w:bookmarkEnd w:id="123"/>
    </w:p>
    <w:p w14:paraId="1C7C141D">
      <w:pPr>
        <w:widowControl/>
        <w:shd w:val="clear"/>
        <w:spacing w:line="480" w:lineRule="exact"/>
        <w:jc w:val="left"/>
        <w:rPr>
          <w:rFonts w:hAnsi="宋体" w:cs="宋体"/>
          <w:color w:val="auto"/>
          <w:sz w:val="24"/>
          <w:highlight w:val="none"/>
          <w:u w:val="single"/>
        </w:rPr>
      </w:pPr>
      <w:r>
        <w:rPr>
          <w:rFonts w:hint="eastAsia" w:hAnsi="宋体" w:cs="宋体"/>
          <w:color w:val="auto"/>
          <w:sz w:val="24"/>
          <w:highlight w:val="none"/>
          <w:u w:val="single"/>
        </w:rPr>
        <w:t>四川标源招标代理有限公司：</w:t>
      </w:r>
    </w:p>
    <w:p w14:paraId="71F8B23B">
      <w:pPr>
        <w:widowControl/>
        <w:shd w:val="clear"/>
        <w:spacing w:line="480" w:lineRule="exact"/>
        <w:ind w:firstLine="470" w:firstLineChars="196"/>
        <w:jc w:val="left"/>
        <w:rPr>
          <w:rFonts w:hAnsi="宋体" w:cs="宋体"/>
          <w:color w:val="auto"/>
          <w:sz w:val="24"/>
          <w:highlight w:val="none"/>
        </w:rPr>
      </w:pPr>
      <w:r>
        <w:rPr>
          <w:rFonts w:hint="eastAsia" w:hAnsi="宋体" w:cs="宋体"/>
          <w:color w:val="auto"/>
          <w:sz w:val="24"/>
          <w:highlight w:val="none"/>
        </w:rPr>
        <w:t>我方全面研究了“XXXXXXXX”项目（招标编号：XXXX）招标文件，决定参加贵单位组织的本项目投标。我方授权XXXX（姓名、职务）代表我方XXXX（投标单位的名称）全权处理本项目投标的有关事宜。</w:t>
      </w:r>
    </w:p>
    <w:p w14:paraId="7709EFDD">
      <w:pPr>
        <w:widowControl/>
        <w:shd w:val="clear"/>
        <w:spacing w:line="480" w:lineRule="exact"/>
        <w:ind w:firstLine="470" w:firstLineChars="196"/>
        <w:jc w:val="left"/>
        <w:rPr>
          <w:rFonts w:hAnsi="宋体" w:cs="宋体"/>
          <w:color w:val="auto"/>
          <w:sz w:val="24"/>
          <w:highlight w:val="none"/>
        </w:rPr>
      </w:pPr>
      <w:r>
        <w:rPr>
          <w:rFonts w:hint="eastAsia" w:hAnsi="宋体" w:cs="宋体"/>
          <w:color w:val="auto"/>
          <w:sz w:val="24"/>
          <w:szCs w:val="22"/>
          <w:highlight w:val="none"/>
        </w:rPr>
        <w:t>一、我方自愿按照招标文件规定的各项要求向甲方提供所需货物及服务，投标报价为万元</w:t>
      </w:r>
      <w:r>
        <w:rPr>
          <w:rFonts w:hint="eastAsia" w:hAnsi="宋体" w:cs="宋体"/>
          <w:color w:val="auto"/>
          <w:sz w:val="24"/>
          <w:highlight w:val="none"/>
        </w:rPr>
        <w:t>。</w:t>
      </w:r>
    </w:p>
    <w:p w14:paraId="02487D97">
      <w:pPr>
        <w:widowControl/>
        <w:shd w:val="clear"/>
        <w:spacing w:line="480" w:lineRule="exact"/>
        <w:ind w:firstLine="470" w:firstLineChars="196"/>
        <w:jc w:val="left"/>
        <w:rPr>
          <w:rFonts w:hAnsi="宋体" w:cs="宋体"/>
          <w:color w:val="auto"/>
          <w:sz w:val="24"/>
          <w:szCs w:val="22"/>
          <w:highlight w:val="none"/>
        </w:rPr>
      </w:pPr>
      <w:r>
        <w:rPr>
          <w:rFonts w:hint="eastAsia" w:hAnsi="宋体" w:cs="宋体"/>
          <w:color w:val="auto"/>
          <w:sz w:val="24"/>
          <w:szCs w:val="22"/>
          <w:highlight w:val="none"/>
        </w:rPr>
        <w:t>二、一旦我方中标，我方将严格履行合同规定的责任和义务，并完成项目的供货、运输并交付采购人验收、使用。</w:t>
      </w:r>
    </w:p>
    <w:p w14:paraId="34E543CD">
      <w:pPr>
        <w:widowControl/>
        <w:shd w:val="clear"/>
        <w:spacing w:line="480" w:lineRule="exact"/>
        <w:ind w:firstLine="470" w:firstLineChars="196"/>
        <w:jc w:val="left"/>
        <w:rPr>
          <w:rFonts w:hAnsi="宋体" w:cs="宋体"/>
          <w:color w:val="auto"/>
          <w:sz w:val="24"/>
          <w:highlight w:val="none"/>
        </w:rPr>
      </w:pPr>
      <w:r>
        <w:rPr>
          <w:rFonts w:hint="eastAsia" w:hAnsi="宋体" w:cs="宋体"/>
          <w:color w:val="auto"/>
          <w:sz w:val="24"/>
          <w:highlight w:val="none"/>
        </w:rPr>
        <w:t>三、我方为本项目提交的资格性投标文件（正本1份、副本2份）、其他投标文件（正本1份、副本4份）、电子文档1份（U盘或光盘）、开标一览表（一式2份）。</w:t>
      </w:r>
    </w:p>
    <w:p w14:paraId="798137F3">
      <w:pPr>
        <w:widowControl/>
        <w:shd w:val="clear"/>
        <w:spacing w:line="480" w:lineRule="exact"/>
        <w:ind w:firstLine="470" w:firstLineChars="196"/>
        <w:jc w:val="left"/>
        <w:rPr>
          <w:rFonts w:hAnsi="宋体" w:cs="宋体"/>
          <w:color w:val="auto"/>
          <w:sz w:val="24"/>
          <w:szCs w:val="22"/>
          <w:highlight w:val="none"/>
        </w:rPr>
      </w:pPr>
      <w:r>
        <w:rPr>
          <w:rFonts w:hint="eastAsia" w:hAnsi="宋体" w:cs="宋体"/>
          <w:color w:val="auto"/>
          <w:sz w:val="24"/>
          <w:highlight w:val="none"/>
        </w:rPr>
        <w:t>四、我方同意本次招标的投标</w:t>
      </w:r>
      <w:r>
        <w:rPr>
          <w:rFonts w:hint="eastAsia" w:hAnsi="宋体" w:cs="宋体"/>
          <w:color w:val="auto"/>
          <w:sz w:val="24"/>
          <w:szCs w:val="22"/>
          <w:highlight w:val="none"/>
        </w:rPr>
        <w:t>有效期为</w:t>
      </w:r>
      <w:r>
        <w:rPr>
          <w:rFonts w:hint="eastAsia" w:hAnsi="宋体" w:cs="宋体"/>
          <w:color w:val="auto"/>
          <w:sz w:val="24"/>
          <w:szCs w:val="22"/>
          <w:highlight w:val="none"/>
          <w:lang w:val="zh-CN"/>
        </w:rPr>
        <w:t>从提交投标文件的截止之日起90天</w:t>
      </w:r>
      <w:r>
        <w:rPr>
          <w:rFonts w:hint="eastAsia" w:hAnsi="宋体" w:cs="宋体"/>
          <w:color w:val="auto"/>
          <w:sz w:val="24"/>
          <w:szCs w:val="22"/>
          <w:highlight w:val="none"/>
        </w:rPr>
        <w:t>。</w:t>
      </w:r>
    </w:p>
    <w:p w14:paraId="28147E42">
      <w:pPr>
        <w:widowControl/>
        <w:shd w:val="clear"/>
        <w:spacing w:line="480" w:lineRule="exact"/>
        <w:ind w:firstLine="470" w:firstLineChars="196"/>
        <w:jc w:val="left"/>
        <w:rPr>
          <w:rFonts w:hAnsi="宋体" w:cs="宋体"/>
          <w:color w:val="auto"/>
          <w:sz w:val="24"/>
          <w:highlight w:val="none"/>
        </w:rPr>
      </w:pPr>
      <w:r>
        <w:rPr>
          <w:rFonts w:hint="eastAsia" w:hAnsi="宋体" w:cs="宋体"/>
          <w:color w:val="auto"/>
          <w:sz w:val="24"/>
          <w:highlight w:val="none"/>
        </w:rPr>
        <w:t>五、我方愿意提供贵公司可能另外要求的，与投标有关的文件资料，并保证我方已提供和将要提供的文件资料是真实、准确的。</w:t>
      </w:r>
    </w:p>
    <w:p w14:paraId="70C9EAEB">
      <w:pPr>
        <w:widowControl/>
        <w:shd w:val="clear"/>
        <w:spacing w:line="480" w:lineRule="exact"/>
        <w:ind w:firstLine="470" w:firstLineChars="196"/>
        <w:jc w:val="left"/>
        <w:rPr>
          <w:rFonts w:hAnsi="宋体" w:cs="宋体"/>
          <w:color w:val="auto"/>
          <w:sz w:val="24"/>
          <w:szCs w:val="22"/>
          <w:highlight w:val="none"/>
        </w:rPr>
      </w:pPr>
      <w:r>
        <w:rPr>
          <w:rFonts w:hint="eastAsia" w:hAnsi="宋体" w:cs="宋体"/>
          <w:color w:val="auto"/>
          <w:sz w:val="24"/>
          <w:szCs w:val="22"/>
          <w:highlight w:val="none"/>
        </w:rPr>
        <w:t>六、国家或行业主管部门对投标人和采购产品的技术标准、质量标准和资格资质条件等有强制性规定的，我方符合其要求。</w:t>
      </w:r>
    </w:p>
    <w:p w14:paraId="238013CD">
      <w:pPr>
        <w:widowControl/>
        <w:shd w:val="clear"/>
        <w:spacing w:line="480" w:lineRule="exact"/>
        <w:ind w:firstLine="470" w:firstLineChars="196"/>
        <w:jc w:val="left"/>
        <w:rPr>
          <w:rFonts w:hAnsi="宋体" w:cs="宋体"/>
          <w:color w:val="auto"/>
          <w:sz w:val="24"/>
          <w:szCs w:val="22"/>
          <w:highlight w:val="none"/>
        </w:rPr>
      </w:pPr>
      <w:r>
        <w:rPr>
          <w:rFonts w:hint="eastAsia" w:hAnsi="宋体" w:cs="宋体"/>
          <w:color w:val="auto"/>
          <w:sz w:val="24"/>
          <w:highlight w:val="none"/>
        </w:rPr>
        <w:t>七、我方完全响应招标文件中关于知识产权的要求。</w:t>
      </w:r>
    </w:p>
    <w:p w14:paraId="7B5DA7DF">
      <w:pPr>
        <w:widowControl/>
        <w:shd w:val="clear"/>
        <w:spacing w:line="480" w:lineRule="exact"/>
        <w:ind w:firstLine="470" w:firstLineChars="196"/>
        <w:jc w:val="left"/>
        <w:rPr>
          <w:rFonts w:hAnsi="宋体" w:cs="宋体"/>
          <w:color w:val="auto"/>
          <w:sz w:val="24"/>
          <w:szCs w:val="22"/>
          <w:highlight w:val="none"/>
        </w:rPr>
      </w:pPr>
      <w:r>
        <w:rPr>
          <w:rFonts w:hint="eastAsia" w:hAnsi="宋体" w:cs="宋体"/>
          <w:color w:val="auto"/>
          <w:sz w:val="24"/>
          <w:szCs w:val="22"/>
          <w:highlight w:val="none"/>
        </w:rPr>
        <w:t>八、若我方中标，我方承诺按照本招标文件约定支付招标代理服务费，否则视为虚</w:t>
      </w:r>
    </w:p>
    <w:p w14:paraId="26BCB944">
      <w:pPr>
        <w:widowControl/>
        <w:shd w:val="clear"/>
        <w:spacing w:line="480" w:lineRule="exact"/>
        <w:jc w:val="left"/>
        <w:rPr>
          <w:rFonts w:hAnsi="宋体" w:cs="宋体"/>
          <w:color w:val="auto"/>
          <w:sz w:val="24"/>
          <w:szCs w:val="22"/>
          <w:highlight w:val="none"/>
        </w:rPr>
      </w:pPr>
      <w:r>
        <w:rPr>
          <w:rFonts w:hint="eastAsia" w:hAnsi="宋体" w:cs="宋体"/>
          <w:color w:val="auto"/>
          <w:sz w:val="24"/>
          <w:szCs w:val="22"/>
          <w:highlight w:val="none"/>
        </w:rPr>
        <w:t>假应标并承担由此带来的一切后果。</w:t>
      </w:r>
    </w:p>
    <w:p w14:paraId="03B3E076">
      <w:pPr>
        <w:widowControl/>
        <w:shd w:val="clear"/>
        <w:spacing w:line="480" w:lineRule="exact"/>
        <w:ind w:firstLine="470" w:firstLineChars="196"/>
        <w:jc w:val="left"/>
        <w:rPr>
          <w:rFonts w:hAnsi="宋体" w:cs="宋体"/>
          <w:color w:val="auto"/>
          <w:sz w:val="24"/>
          <w:highlight w:val="none"/>
        </w:rPr>
      </w:pPr>
      <w:r>
        <w:rPr>
          <w:rFonts w:hint="eastAsia" w:hAnsi="宋体" w:cs="宋体"/>
          <w:color w:val="auto"/>
          <w:sz w:val="24"/>
          <w:highlight w:val="none"/>
        </w:rPr>
        <w:t>投标人名称：XXXX（单位公章）。</w:t>
      </w:r>
    </w:p>
    <w:p w14:paraId="7CEC1FCB">
      <w:pPr>
        <w:widowControl/>
        <w:shd w:val="clear"/>
        <w:spacing w:line="480" w:lineRule="exact"/>
        <w:ind w:firstLine="470" w:firstLineChars="196"/>
        <w:jc w:val="left"/>
        <w:rPr>
          <w:rFonts w:hAnsi="宋体" w:cs="宋体"/>
          <w:color w:val="auto"/>
          <w:sz w:val="24"/>
          <w:highlight w:val="none"/>
        </w:rPr>
      </w:pPr>
      <w:r>
        <w:rPr>
          <w:rFonts w:hint="eastAsia" w:hAnsi="宋体" w:cs="宋体"/>
          <w:color w:val="auto"/>
          <w:sz w:val="24"/>
          <w:highlight w:val="none"/>
        </w:rPr>
        <w:t>法定代表人或授权代表（签字或加盖个人名章）：XXXX。</w:t>
      </w:r>
    </w:p>
    <w:p w14:paraId="454DD09E">
      <w:pPr>
        <w:widowControl/>
        <w:shd w:val="clear"/>
        <w:spacing w:line="480" w:lineRule="exact"/>
        <w:ind w:firstLine="470" w:firstLineChars="196"/>
        <w:jc w:val="left"/>
        <w:rPr>
          <w:rFonts w:hAnsi="宋体" w:cs="宋体"/>
          <w:color w:val="auto"/>
          <w:sz w:val="24"/>
          <w:highlight w:val="none"/>
        </w:rPr>
      </w:pPr>
      <w:r>
        <w:rPr>
          <w:rFonts w:hint="eastAsia" w:hAnsi="宋体" w:cs="宋体"/>
          <w:color w:val="auto"/>
          <w:sz w:val="24"/>
          <w:highlight w:val="none"/>
        </w:rPr>
        <w:t>通讯地址：XXXX。</w:t>
      </w:r>
    </w:p>
    <w:p w14:paraId="10BE33E3">
      <w:pPr>
        <w:widowControl/>
        <w:shd w:val="clear"/>
        <w:spacing w:line="480" w:lineRule="exact"/>
        <w:ind w:firstLine="470" w:firstLineChars="196"/>
        <w:jc w:val="left"/>
        <w:rPr>
          <w:rFonts w:hAnsi="宋体" w:cs="宋体"/>
          <w:color w:val="auto"/>
          <w:sz w:val="24"/>
          <w:highlight w:val="none"/>
        </w:rPr>
      </w:pPr>
      <w:r>
        <w:rPr>
          <w:rFonts w:hint="eastAsia" w:hAnsi="宋体" w:cs="宋体"/>
          <w:color w:val="auto"/>
          <w:sz w:val="24"/>
          <w:highlight w:val="none"/>
        </w:rPr>
        <w:t>邮政编码：XXXX。</w:t>
      </w:r>
    </w:p>
    <w:p w14:paraId="4A7777C5">
      <w:pPr>
        <w:widowControl/>
        <w:shd w:val="clear"/>
        <w:spacing w:line="480" w:lineRule="exact"/>
        <w:ind w:firstLine="470" w:firstLineChars="196"/>
        <w:jc w:val="left"/>
        <w:rPr>
          <w:rFonts w:hAnsi="宋体" w:cs="宋体"/>
          <w:color w:val="auto"/>
          <w:sz w:val="24"/>
          <w:highlight w:val="none"/>
        </w:rPr>
      </w:pPr>
      <w:r>
        <w:rPr>
          <w:rFonts w:hint="eastAsia" w:hAnsi="宋体" w:cs="宋体"/>
          <w:color w:val="auto"/>
          <w:sz w:val="24"/>
          <w:highlight w:val="none"/>
        </w:rPr>
        <w:t>联系电话：XXXX。</w:t>
      </w:r>
    </w:p>
    <w:p w14:paraId="2147E3CB">
      <w:pPr>
        <w:widowControl/>
        <w:shd w:val="clear"/>
        <w:spacing w:line="480" w:lineRule="exact"/>
        <w:ind w:firstLine="470" w:firstLineChars="196"/>
        <w:jc w:val="left"/>
        <w:rPr>
          <w:rFonts w:hAnsi="宋体" w:cs="宋体"/>
          <w:color w:val="auto"/>
          <w:sz w:val="24"/>
          <w:highlight w:val="none"/>
        </w:rPr>
      </w:pPr>
      <w:r>
        <w:rPr>
          <w:rFonts w:hint="eastAsia" w:hAnsi="宋体" w:cs="宋体"/>
          <w:color w:val="auto"/>
          <w:sz w:val="24"/>
          <w:highlight w:val="none"/>
        </w:rPr>
        <w:t>传    真：XXXX。</w:t>
      </w:r>
    </w:p>
    <w:p w14:paraId="0D3B78F0">
      <w:pPr>
        <w:widowControl/>
        <w:shd w:val="clear"/>
        <w:spacing w:line="480" w:lineRule="exact"/>
        <w:ind w:firstLine="470" w:firstLineChars="196"/>
        <w:jc w:val="left"/>
        <w:rPr>
          <w:rFonts w:hAnsi="宋体" w:cs="宋体"/>
          <w:color w:val="auto"/>
          <w:sz w:val="24"/>
          <w:highlight w:val="none"/>
        </w:rPr>
      </w:pPr>
      <w:r>
        <w:rPr>
          <w:rFonts w:hint="eastAsia" w:hAnsi="宋体" w:cs="宋体"/>
          <w:color w:val="auto"/>
          <w:sz w:val="24"/>
          <w:highlight w:val="none"/>
        </w:rPr>
        <w:t>日    期：XXXX年XXXX月XXXX日。</w:t>
      </w:r>
    </w:p>
    <w:p w14:paraId="1DA4464A">
      <w:pPr>
        <w:pStyle w:val="2"/>
        <w:shd w:val="clear"/>
        <w:rPr>
          <w:rFonts w:hAnsi="宋体" w:cs="宋体"/>
          <w:color w:val="auto"/>
          <w:highlight w:val="none"/>
        </w:rPr>
      </w:pPr>
    </w:p>
    <w:p w14:paraId="13090E41">
      <w:pPr>
        <w:shd w:val="clear"/>
        <w:rPr>
          <w:rFonts w:hAnsi="宋体" w:cs="宋体"/>
          <w:b/>
          <w:color w:val="auto"/>
          <w:sz w:val="32"/>
          <w:szCs w:val="32"/>
          <w:highlight w:val="none"/>
        </w:rPr>
      </w:pPr>
      <w:bookmarkStart w:id="124" w:name="_Toc308164824"/>
      <w:r>
        <w:rPr>
          <w:rFonts w:hint="eastAsia" w:hAnsi="宋体" w:cs="宋体"/>
          <w:b/>
          <w:color w:val="auto"/>
          <w:sz w:val="32"/>
          <w:szCs w:val="32"/>
          <w:highlight w:val="none"/>
        </w:rPr>
        <w:br w:type="page"/>
      </w:r>
    </w:p>
    <w:p w14:paraId="775102C9">
      <w:pPr>
        <w:widowControl/>
        <w:shd w:val="clear"/>
        <w:spacing w:line="500" w:lineRule="exact"/>
        <w:jc w:val="center"/>
        <w:outlineLvl w:val="1"/>
        <w:rPr>
          <w:rFonts w:hAnsi="宋体" w:cs="宋体"/>
          <w:b/>
          <w:color w:val="auto"/>
          <w:sz w:val="32"/>
          <w:szCs w:val="32"/>
          <w:highlight w:val="none"/>
        </w:rPr>
      </w:pPr>
      <w:r>
        <w:rPr>
          <w:rFonts w:hint="eastAsia" w:hAnsi="宋体" w:cs="宋体"/>
          <w:b/>
          <w:color w:val="auto"/>
          <w:sz w:val="32"/>
          <w:szCs w:val="32"/>
          <w:highlight w:val="none"/>
        </w:rPr>
        <w:t>二、</w:t>
      </w:r>
      <w:bookmarkEnd w:id="124"/>
      <w:r>
        <w:rPr>
          <w:rFonts w:hint="eastAsia" w:hAnsi="宋体" w:cs="宋体"/>
          <w:b/>
          <w:color w:val="auto"/>
          <w:sz w:val="32"/>
          <w:szCs w:val="32"/>
          <w:highlight w:val="none"/>
        </w:rPr>
        <w:t>承诺函</w:t>
      </w:r>
    </w:p>
    <w:p w14:paraId="73225C44">
      <w:pPr>
        <w:widowControl/>
        <w:shd w:val="clear"/>
        <w:spacing w:line="500" w:lineRule="exact"/>
        <w:jc w:val="left"/>
        <w:rPr>
          <w:rFonts w:hAnsi="宋体" w:cs="宋体"/>
          <w:color w:val="auto"/>
          <w:sz w:val="24"/>
          <w:highlight w:val="none"/>
          <w:u w:val="single"/>
        </w:rPr>
      </w:pPr>
      <w:r>
        <w:rPr>
          <w:rFonts w:hint="eastAsia" w:hAnsi="宋体" w:cs="宋体"/>
          <w:color w:val="auto"/>
          <w:sz w:val="24"/>
          <w:highlight w:val="none"/>
          <w:u w:val="single"/>
        </w:rPr>
        <w:t>四川标源招标代理有限公司：</w:t>
      </w:r>
    </w:p>
    <w:p w14:paraId="12E3E241">
      <w:pPr>
        <w:widowControl/>
        <w:shd w:val="clear"/>
        <w:spacing w:line="360" w:lineRule="exact"/>
        <w:ind w:firstLine="480" w:firstLineChars="200"/>
        <w:jc w:val="left"/>
        <w:rPr>
          <w:rFonts w:hAnsi="宋体" w:cs="宋体"/>
          <w:color w:val="auto"/>
          <w:sz w:val="24"/>
          <w:highlight w:val="none"/>
        </w:rPr>
      </w:pPr>
      <w:r>
        <w:rPr>
          <w:rFonts w:hint="eastAsia" w:hAnsi="宋体" w:cs="宋体"/>
          <w:color w:val="auto"/>
          <w:sz w:val="24"/>
          <w:highlight w:val="none"/>
        </w:rPr>
        <w:t>我公司作为本次采购项目的投标人，根据招标文件要求，现郑重承诺如下：</w:t>
      </w:r>
    </w:p>
    <w:p w14:paraId="3E574138">
      <w:pPr>
        <w:widowControl/>
        <w:shd w:val="clear"/>
        <w:spacing w:line="360" w:lineRule="exact"/>
        <w:ind w:firstLine="480" w:firstLineChars="200"/>
        <w:jc w:val="left"/>
        <w:rPr>
          <w:rFonts w:hAnsi="宋体" w:cs="宋体"/>
          <w:color w:val="auto"/>
          <w:sz w:val="24"/>
          <w:highlight w:val="none"/>
        </w:rPr>
      </w:pPr>
      <w:r>
        <w:rPr>
          <w:rFonts w:hint="eastAsia" w:hAnsi="宋体" w:cs="宋体"/>
          <w:color w:val="auto"/>
          <w:sz w:val="24"/>
          <w:highlight w:val="none"/>
        </w:rPr>
        <w:t>一、具备《中华人民共和国政府采购法》第二十二条第一款和本项目规定的条件：</w:t>
      </w:r>
    </w:p>
    <w:p w14:paraId="751026F0">
      <w:pPr>
        <w:widowControl/>
        <w:shd w:val="clear"/>
        <w:spacing w:line="360" w:lineRule="exact"/>
        <w:ind w:firstLine="960" w:firstLineChars="400"/>
        <w:jc w:val="left"/>
        <w:rPr>
          <w:rFonts w:hAnsi="宋体" w:cs="宋体"/>
          <w:color w:val="auto"/>
          <w:sz w:val="24"/>
          <w:highlight w:val="none"/>
        </w:rPr>
      </w:pPr>
      <w:r>
        <w:rPr>
          <w:rFonts w:hint="eastAsia" w:hAnsi="宋体" w:cs="宋体"/>
          <w:color w:val="auto"/>
          <w:sz w:val="24"/>
          <w:highlight w:val="none"/>
        </w:rPr>
        <w:t xml:space="preserve">（一）具有独立承担民事责任的能力； </w:t>
      </w:r>
    </w:p>
    <w:p w14:paraId="291A347A">
      <w:pPr>
        <w:widowControl/>
        <w:shd w:val="clear"/>
        <w:spacing w:line="360" w:lineRule="exact"/>
        <w:ind w:firstLine="480" w:firstLineChars="200"/>
        <w:jc w:val="left"/>
        <w:rPr>
          <w:rFonts w:hAnsi="宋体" w:cs="宋体"/>
          <w:color w:val="auto"/>
          <w:sz w:val="24"/>
          <w:highlight w:val="none"/>
        </w:rPr>
      </w:pPr>
      <w:r>
        <w:rPr>
          <w:rFonts w:hint="eastAsia" w:hAnsi="宋体" w:cs="宋体"/>
          <w:color w:val="auto"/>
          <w:sz w:val="24"/>
          <w:highlight w:val="none"/>
        </w:rPr>
        <w:t xml:space="preserve">　　（二）具有良好的商业信誉和健全的财务会计制度； </w:t>
      </w:r>
    </w:p>
    <w:p w14:paraId="740D6FD2">
      <w:pPr>
        <w:widowControl/>
        <w:shd w:val="clear"/>
        <w:spacing w:line="360" w:lineRule="exact"/>
        <w:ind w:firstLine="480" w:firstLineChars="200"/>
        <w:jc w:val="left"/>
        <w:rPr>
          <w:rFonts w:hAnsi="宋体" w:cs="宋体"/>
          <w:color w:val="auto"/>
          <w:sz w:val="24"/>
          <w:highlight w:val="none"/>
        </w:rPr>
      </w:pPr>
      <w:r>
        <w:rPr>
          <w:rFonts w:hint="eastAsia" w:hAnsi="宋体" w:cs="宋体"/>
          <w:color w:val="auto"/>
          <w:sz w:val="24"/>
          <w:highlight w:val="none"/>
        </w:rPr>
        <w:t xml:space="preserve">　　（三）具有履行合同所必需的设备和专业技术能力； </w:t>
      </w:r>
    </w:p>
    <w:p w14:paraId="7FF10DFE">
      <w:pPr>
        <w:widowControl/>
        <w:shd w:val="clear"/>
        <w:spacing w:line="360" w:lineRule="exact"/>
        <w:ind w:firstLine="480" w:firstLineChars="200"/>
        <w:jc w:val="left"/>
        <w:rPr>
          <w:rFonts w:hAnsi="宋体" w:cs="宋体"/>
          <w:color w:val="auto"/>
          <w:sz w:val="24"/>
          <w:highlight w:val="none"/>
        </w:rPr>
      </w:pPr>
      <w:r>
        <w:rPr>
          <w:rFonts w:hint="eastAsia" w:hAnsi="宋体" w:cs="宋体"/>
          <w:color w:val="auto"/>
          <w:sz w:val="24"/>
          <w:highlight w:val="none"/>
        </w:rPr>
        <w:t xml:space="preserve">　　（四）有依法缴纳税收和社会保障资金的良好记录； </w:t>
      </w:r>
    </w:p>
    <w:p w14:paraId="0396C12F">
      <w:pPr>
        <w:widowControl/>
        <w:shd w:val="clear"/>
        <w:spacing w:line="360" w:lineRule="exact"/>
        <w:ind w:firstLine="480" w:firstLineChars="200"/>
        <w:jc w:val="left"/>
        <w:rPr>
          <w:rFonts w:hAnsi="宋体" w:cs="宋体"/>
          <w:color w:val="auto"/>
          <w:sz w:val="24"/>
          <w:highlight w:val="none"/>
        </w:rPr>
      </w:pPr>
      <w:r>
        <w:rPr>
          <w:rFonts w:hint="eastAsia" w:hAnsi="宋体" w:cs="宋体"/>
          <w:color w:val="auto"/>
          <w:sz w:val="24"/>
          <w:highlight w:val="none"/>
        </w:rPr>
        <w:t>　　（五）参加政府采购活动前三年内，在经营活动中没有重大违法记录；</w:t>
      </w:r>
    </w:p>
    <w:p w14:paraId="61F81FAF">
      <w:pPr>
        <w:widowControl/>
        <w:shd w:val="clear"/>
        <w:spacing w:line="360" w:lineRule="exact"/>
        <w:ind w:firstLine="960" w:firstLineChars="400"/>
        <w:jc w:val="left"/>
        <w:rPr>
          <w:rFonts w:hAnsi="宋体" w:cs="宋体"/>
          <w:color w:val="auto"/>
          <w:sz w:val="24"/>
          <w:highlight w:val="none"/>
        </w:rPr>
      </w:pPr>
      <w:r>
        <w:rPr>
          <w:rFonts w:hint="eastAsia" w:hAnsi="宋体" w:cs="宋体"/>
          <w:color w:val="auto"/>
          <w:sz w:val="24"/>
          <w:highlight w:val="none"/>
        </w:rPr>
        <w:t>（六）法律、行政法规规定的其他条件；</w:t>
      </w:r>
    </w:p>
    <w:p w14:paraId="5A576754">
      <w:pPr>
        <w:widowControl/>
        <w:shd w:val="clear"/>
        <w:spacing w:line="360" w:lineRule="exact"/>
        <w:ind w:firstLine="960" w:firstLineChars="400"/>
        <w:jc w:val="left"/>
        <w:rPr>
          <w:rFonts w:hAnsi="宋体" w:cs="宋体"/>
          <w:color w:val="auto"/>
          <w:sz w:val="24"/>
          <w:highlight w:val="none"/>
        </w:rPr>
      </w:pPr>
      <w:r>
        <w:rPr>
          <w:rFonts w:hint="eastAsia" w:hAnsi="宋体" w:cs="宋体"/>
          <w:color w:val="auto"/>
          <w:sz w:val="24"/>
          <w:highlight w:val="none"/>
        </w:rPr>
        <w:t>（七）根据采购项目提出的特殊条件。</w:t>
      </w:r>
    </w:p>
    <w:p w14:paraId="20F8C953">
      <w:pPr>
        <w:widowControl/>
        <w:shd w:val="clear"/>
        <w:spacing w:line="360" w:lineRule="exact"/>
        <w:ind w:firstLine="480" w:firstLineChars="200"/>
        <w:jc w:val="left"/>
        <w:rPr>
          <w:rFonts w:hAnsi="宋体" w:cs="宋体"/>
          <w:color w:val="auto"/>
          <w:sz w:val="24"/>
          <w:highlight w:val="none"/>
        </w:rPr>
      </w:pPr>
      <w:r>
        <w:rPr>
          <w:rFonts w:hint="eastAsia" w:hAnsi="宋体" w:cs="宋体"/>
          <w:color w:val="auto"/>
          <w:sz w:val="24"/>
          <w:highlight w:val="none"/>
        </w:rPr>
        <w:t>二、完全接受和满足本项目招标文件中规定的实质性要求，如对招标文件、招标文件的澄清和修改（如有）及与招标文件相关的文件资料和有关附件有异议，已经在投标截止时间届满前依法进行维权救济，不存在对招标文件有异议的同时又参加投标以求侥幸中标或者为实现其他非法目的的行为。</w:t>
      </w:r>
    </w:p>
    <w:p w14:paraId="0EF37705">
      <w:pPr>
        <w:widowControl/>
        <w:shd w:val="clear"/>
        <w:spacing w:line="360" w:lineRule="exact"/>
        <w:ind w:firstLine="480" w:firstLineChars="200"/>
        <w:jc w:val="left"/>
        <w:rPr>
          <w:rFonts w:hAnsi="宋体" w:cs="宋体"/>
          <w:color w:val="auto"/>
          <w:sz w:val="24"/>
          <w:highlight w:val="none"/>
        </w:rPr>
      </w:pPr>
      <w:r>
        <w:rPr>
          <w:rFonts w:hint="eastAsia" w:hAnsi="宋体" w:cs="宋体"/>
          <w:color w:val="auto"/>
          <w:sz w:val="24"/>
          <w:highlight w:val="none"/>
        </w:rPr>
        <w:t>三、参加本次招标采购活动，不存在与单位负责人为同一人或者存在直接控股、管理关系的其他投标人参与同一合同项下的政府采购活动的行为。</w:t>
      </w:r>
    </w:p>
    <w:p w14:paraId="36C757DF">
      <w:pPr>
        <w:pStyle w:val="2"/>
        <w:shd w:val="clear"/>
        <w:spacing w:line="360" w:lineRule="exact"/>
        <w:rPr>
          <w:rFonts w:hAnsi="宋体" w:cs="宋体"/>
          <w:color w:val="auto"/>
          <w:highlight w:val="none"/>
        </w:rPr>
      </w:pPr>
      <w:r>
        <w:rPr>
          <w:rFonts w:hint="eastAsia" w:hAnsi="宋体" w:cs="宋体"/>
          <w:color w:val="auto"/>
          <w:sz w:val="24"/>
          <w:highlight w:val="none"/>
        </w:rPr>
        <w:t xml:space="preserve">    四、投标人未对本次采购项目提供过整体设计、规范编制或者项目管理、监理、检测等服务。</w:t>
      </w:r>
    </w:p>
    <w:p w14:paraId="47D3F0E5">
      <w:pPr>
        <w:widowControl/>
        <w:shd w:val="clear"/>
        <w:spacing w:line="360" w:lineRule="exact"/>
        <w:ind w:firstLine="480" w:firstLineChars="200"/>
        <w:jc w:val="left"/>
        <w:rPr>
          <w:rFonts w:hAnsi="宋体" w:cs="宋体"/>
          <w:color w:val="auto"/>
          <w:sz w:val="24"/>
          <w:highlight w:val="none"/>
        </w:rPr>
      </w:pPr>
      <w:r>
        <w:rPr>
          <w:rFonts w:hint="eastAsia" w:hAnsi="宋体" w:cs="宋体"/>
          <w:color w:val="auto"/>
          <w:sz w:val="24"/>
          <w:highlight w:val="none"/>
        </w:rPr>
        <w:t>五、参加本次招标采购活动，不存在和其他投标人在同一合同项下的采购项目中，同时委托同一个自然人、同一家庭的人员、同一单位的人员作为代理人的行为。</w:t>
      </w:r>
    </w:p>
    <w:p w14:paraId="3F6A6086">
      <w:pPr>
        <w:widowControl/>
        <w:shd w:val="clear"/>
        <w:spacing w:line="360" w:lineRule="exact"/>
        <w:ind w:firstLine="480" w:firstLineChars="200"/>
        <w:jc w:val="left"/>
        <w:rPr>
          <w:rFonts w:hAnsi="宋体" w:cs="宋体"/>
          <w:color w:val="auto"/>
          <w:sz w:val="24"/>
          <w:highlight w:val="none"/>
        </w:rPr>
      </w:pPr>
      <w:r>
        <w:rPr>
          <w:rFonts w:hint="eastAsia" w:hAnsi="宋体" w:cs="宋体"/>
          <w:color w:val="auto"/>
          <w:sz w:val="24"/>
          <w:highlight w:val="none"/>
        </w:rPr>
        <w:t>六、投标文件中提供的能够给予我公司带来优惠、好处的任何材料资料和技术、服务、商务等响应承诺情况都是真实的、有效的、合法的。</w:t>
      </w:r>
    </w:p>
    <w:p w14:paraId="22A5F6E0">
      <w:pPr>
        <w:widowControl/>
        <w:shd w:val="clear"/>
        <w:spacing w:line="360" w:lineRule="exact"/>
        <w:ind w:firstLine="480" w:firstLineChars="200"/>
        <w:jc w:val="left"/>
        <w:rPr>
          <w:rFonts w:hAnsi="宋体" w:cs="宋体"/>
          <w:color w:val="auto"/>
          <w:sz w:val="24"/>
          <w:highlight w:val="none"/>
        </w:rPr>
      </w:pPr>
      <w:r>
        <w:rPr>
          <w:rFonts w:hint="eastAsia" w:hAnsi="宋体" w:cs="宋体"/>
          <w:color w:val="auto"/>
          <w:sz w:val="24"/>
          <w:highlight w:val="none"/>
        </w:rPr>
        <w:t>七、如本项目评标过程中需要提供样品，则我公司提供的样品即为中标后将要提供的中标产品，我公司对提供样品的性能和质量负责，因样品存在缺陷或者不符合招标文件要求导致未能中标的，我公司愿意承担相应不利后果。</w:t>
      </w:r>
    </w:p>
    <w:p w14:paraId="416A2B78">
      <w:pPr>
        <w:widowControl/>
        <w:shd w:val="clear"/>
        <w:spacing w:line="360" w:lineRule="exact"/>
        <w:ind w:firstLine="480" w:firstLineChars="200"/>
        <w:jc w:val="left"/>
        <w:rPr>
          <w:rFonts w:hAnsi="宋体" w:cs="宋体"/>
          <w:color w:val="auto"/>
          <w:sz w:val="24"/>
          <w:highlight w:val="none"/>
        </w:rPr>
      </w:pPr>
      <w:r>
        <w:rPr>
          <w:rFonts w:hint="eastAsia" w:hAnsi="宋体" w:cs="宋体"/>
          <w:color w:val="auto"/>
          <w:sz w:val="24"/>
          <w:highlight w:val="none"/>
        </w:rPr>
        <w:t>八、我单位承诺截至本项目投标截止日期，未被列入失信被执行人、重大税收违法案件当事人名单、政府采购严重违法失信行为记录名单。</w:t>
      </w:r>
    </w:p>
    <w:p w14:paraId="0AD61C96">
      <w:pPr>
        <w:widowControl/>
        <w:shd w:val="clear"/>
        <w:spacing w:line="360" w:lineRule="exact"/>
        <w:ind w:firstLine="480" w:firstLineChars="200"/>
        <w:jc w:val="left"/>
        <w:rPr>
          <w:rFonts w:hAnsi="宋体" w:cs="宋体"/>
          <w:color w:val="auto"/>
          <w:sz w:val="24"/>
          <w:highlight w:val="none"/>
        </w:rPr>
      </w:pPr>
      <w:r>
        <w:rPr>
          <w:rFonts w:hint="eastAsia" w:hAnsi="宋体" w:cs="宋体"/>
          <w:color w:val="auto"/>
          <w:sz w:val="24"/>
          <w:highlight w:val="none"/>
        </w:rPr>
        <w:t>九、</w:t>
      </w:r>
      <w:r>
        <w:rPr>
          <w:rFonts w:hint="eastAsia" w:hAnsi="宋体" w:cs="宋体"/>
          <w:color w:val="auto"/>
          <w:sz w:val="24"/>
          <w:szCs w:val="24"/>
          <w:highlight w:val="none"/>
        </w:rPr>
        <w:t>正确、妥善处理各种关系，不发生因我方原因造成上访、滋事行为。</w:t>
      </w:r>
    </w:p>
    <w:p w14:paraId="2DD661DC">
      <w:pPr>
        <w:widowControl/>
        <w:shd w:val="clear"/>
        <w:spacing w:line="360" w:lineRule="exact"/>
        <w:ind w:firstLine="480" w:firstLineChars="200"/>
        <w:jc w:val="left"/>
        <w:rPr>
          <w:rFonts w:hAnsi="宋体" w:cs="宋体"/>
          <w:color w:val="auto"/>
          <w:sz w:val="24"/>
          <w:highlight w:val="none"/>
        </w:rPr>
      </w:pPr>
      <w:r>
        <w:rPr>
          <w:rFonts w:hint="eastAsia" w:hAnsi="宋体" w:cs="宋体"/>
          <w:color w:val="auto"/>
          <w:sz w:val="24"/>
          <w:highlight w:val="none"/>
        </w:rPr>
        <w:t>本公司对上述承诺的内容事项真实性负责。如经查实上述承诺的内容事项存在虚假，我公司愿意接受以提供虚假材料谋取中标追究法律责任。</w:t>
      </w:r>
    </w:p>
    <w:p w14:paraId="75789B57">
      <w:pPr>
        <w:widowControl/>
        <w:shd w:val="clear"/>
        <w:spacing w:line="440" w:lineRule="exact"/>
        <w:jc w:val="left"/>
        <w:rPr>
          <w:rFonts w:hAnsi="宋体" w:cs="宋体"/>
          <w:color w:val="auto"/>
          <w:sz w:val="24"/>
          <w:highlight w:val="none"/>
        </w:rPr>
      </w:pPr>
    </w:p>
    <w:p w14:paraId="03DF6A9A">
      <w:pPr>
        <w:widowControl/>
        <w:shd w:val="clear"/>
        <w:spacing w:line="440" w:lineRule="exact"/>
        <w:ind w:firstLine="470" w:firstLineChars="196"/>
        <w:jc w:val="left"/>
        <w:rPr>
          <w:rFonts w:hAnsi="宋体" w:cs="宋体"/>
          <w:color w:val="auto"/>
          <w:sz w:val="24"/>
          <w:highlight w:val="none"/>
        </w:rPr>
      </w:pPr>
      <w:r>
        <w:rPr>
          <w:rFonts w:hint="eastAsia" w:hAnsi="宋体" w:cs="宋体"/>
          <w:color w:val="auto"/>
          <w:sz w:val="24"/>
          <w:highlight w:val="none"/>
        </w:rPr>
        <w:t>投标人名称：XXXX（单位公章）。</w:t>
      </w:r>
    </w:p>
    <w:p w14:paraId="7D21071A">
      <w:pPr>
        <w:widowControl/>
        <w:shd w:val="clear"/>
        <w:spacing w:line="440" w:lineRule="exact"/>
        <w:ind w:firstLine="470" w:firstLineChars="196"/>
        <w:jc w:val="left"/>
        <w:rPr>
          <w:rFonts w:hAnsi="宋体" w:cs="宋体"/>
          <w:color w:val="auto"/>
          <w:sz w:val="24"/>
          <w:highlight w:val="none"/>
        </w:rPr>
      </w:pPr>
      <w:r>
        <w:rPr>
          <w:rFonts w:hint="eastAsia" w:hAnsi="宋体" w:cs="宋体"/>
          <w:color w:val="auto"/>
          <w:sz w:val="24"/>
          <w:highlight w:val="none"/>
        </w:rPr>
        <w:t>法定代表人或授权代表（签字或加盖个人名章）：XXXX。</w:t>
      </w:r>
    </w:p>
    <w:p w14:paraId="12F249C8">
      <w:pPr>
        <w:widowControl/>
        <w:shd w:val="clear"/>
        <w:spacing w:line="440" w:lineRule="exact"/>
        <w:ind w:firstLine="470" w:firstLineChars="196"/>
        <w:jc w:val="left"/>
        <w:rPr>
          <w:rFonts w:hAnsi="宋体" w:cs="宋体"/>
          <w:color w:val="auto"/>
          <w:sz w:val="24"/>
          <w:highlight w:val="none"/>
        </w:rPr>
      </w:pPr>
      <w:r>
        <w:rPr>
          <w:rFonts w:hint="eastAsia" w:hAnsi="宋体" w:cs="宋体"/>
          <w:color w:val="auto"/>
          <w:sz w:val="24"/>
          <w:highlight w:val="none"/>
        </w:rPr>
        <w:t>日    期：XXXX。</w:t>
      </w:r>
    </w:p>
    <w:p w14:paraId="37D01280">
      <w:pPr>
        <w:widowControl/>
        <w:shd w:val="clear"/>
        <w:spacing w:line="500" w:lineRule="exact"/>
        <w:jc w:val="center"/>
        <w:rPr>
          <w:rFonts w:hAnsi="宋体" w:cs="宋体"/>
          <w:b/>
          <w:color w:val="auto"/>
          <w:sz w:val="32"/>
          <w:szCs w:val="32"/>
          <w:highlight w:val="none"/>
        </w:rPr>
      </w:pPr>
      <w:bookmarkStart w:id="125" w:name="_Toc217446085"/>
    </w:p>
    <w:bookmarkEnd w:id="125"/>
    <w:p w14:paraId="00479AD9">
      <w:pPr>
        <w:pStyle w:val="4"/>
        <w:shd w:val="clear"/>
        <w:spacing w:line="400" w:lineRule="exact"/>
        <w:jc w:val="center"/>
        <w:rPr>
          <w:rFonts w:ascii="宋体" w:hAnsi="宋体" w:eastAsia="宋体" w:cs="宋体"/>
          <w:color w:val="auto"/>
          <w:szCs w:val="28"/>
          <w:highlight w:val="none"/>
        </w:rPr>
      </w:pPr>
      <w:r>
        <w:rPr>
          <w:rFonts w:hint="eastAsia" w:ascii="宋体" w:hAnsi="宋体" w:eastAsia="宋体" w:cs="宋体"/>
          <w:color w:val="auto"/>
          <w:szCs w:val="28"/>
          <w:highlight w:val="none"/>
        </w:rPr>
        <w:t>三、法定代表人身份证明</w:t>
      </w:r>
    </w:p>
    <w:p w14:paraId="6F83D4ED">
      <w:pPr>
        <w:shd w:val="clear"/>
        <w:spacing w:line="500" w:lineRule="exact"/>
        <w:ind w:firstLine="480" w:firstLineChars="200"/>
        <w:rPr>
          <w:rFonts w:hAnsi="宋体" w:cs="宋体"/>
          <w:color w:val="auto"/>
          <w:sz w:val="24"/>
          <w:szCs w:val="24"/>
          <w:highlight w:val="none"/>
          <w:u w:val="single"/>
        </w:rPr>
      </w:pPr>
      <w:r>
        <w:rPr>
          <w:rFonts w:hint="eastAsia" w:hAnsi="宋体" w:cs="宋体"/>
          <w:color w:val="auto"/>
          <w:sz w:val="24"/>
          <w:szCs w:val="24"/>
          <w:highlight w:val="none"/>
        </w:rPr>
        <w:t>投标人名称：</w:t>
      </w:r>
      <w:r>
        <w:rPr>
          <w:rFonts w:hint="eastAsia" w:hAnsi="宋体" w:cs="宋体"/>
          <w:color w:val="auto"/>
          <w:sz w:val="24"/>
          <w:szCs w:val="24"/>
          <w:highlight w:val="none"/>
          <w:u w:val="single"/>
        </w:rPr>
        <w:t>XXXX</w:t>
      </w:r>
    </w:p>
    <w:p w14:paraId="33E70209">
      <w:pPr>
        <w:pStyle w:val="2"/>
        <w:shd w:val="clear"/>
        <w:spacing w:line="500" w:lineRule="exact"/>
        <w:ind w:firstLine="436" w:firstLineChars="182"/>
        <w:rPr>
          <w:rFonts w:hAnsi="宋体" w:cs="宋体"/>
          <w:color w:val="auto"/>
          <w:sz w:val="24"/>
          <w:szCs w:val="24"/>
          <w:highlight w:val="none"/>
        </w:rPr>
      </w:pPr>
      <w:r>
        <w:rPr>
          <w:rFonts w:hint="eastAsia" w:hAnsi="宋体" w:cs="宋体"/>
          <w:color w:val="auto"/>
          <w:sz w:val="24"/>
          <w:szCs w:val="24"/>
          <w:highlight w:val="none"/>
        </w:rPr>
        <w:t>单位性质：</w:t>
      </w:r>
      <w:r>
        <w:rPr>
          <w:rFonts w:hint="eastAsia" w:hAnsi="宋体" w:cs="宋体"/>
          <w:color w:val="auto"/>
          <w:sz w:val="24"/>
          <w:szCs w:val="24"/>
          <w:highlight w:val="none"/>
          <w:u w:val="single"/>
        </w:rPr>
        <w:t>XXXX</w:t>
      </w:r>
    </w:p>
    <w:p w14:paraId="1B2DB7EE">
      <w:pPr>
        <w:pStyle w:val="2"/>
        <w:shd w:val="clear"/>
        <w:spacing w:line="500" w:lineRule="exact"/>
        <w:ind w:firstLine="436" w:firstLineChars="182"/>
        <w:rPr>
          <w:rFonts w:hAnsi="宋体" w:cs="宋体"/>
          <w:color w:val="auto"/>
          <w:sz w:val="24"/>
          <w:szCs w:val="24"/>
          <w:highlight w:val="none"/>
        </w:rPr>
      </w:pPr>
      <w:r>
        <w:rPr>
          <w:rFonts w:hint="eastAsia" w:hAnsi="宋体" w:cs="宋体"/>
          <w:color w:val="auto"/>
          <w:sz w:val="24"/>
          <w:szCs w:val="24"/>
          <w:highlight w:val="none"/>
        </w:rPr>
        <w:t>地    址：</w:t>
      </w:r>
      <w:r>
        <w:rPr>
          <w:rFonts w:hint="eastAsia" w:hAnsi="宋体" w:cs="宋体"/>
          <w:color w:val="auto"/>
          <w:sz w:val="24"/>
          <w:szCs w:val="24"/>
          <w:highlight w:val="none"/>
          <w:u w:val="single"/>
        </w:rPr>
        <w:t>XXXX</w:t>
      </w:r>
    </w:p>
    <w:p w14:paraId="39955DDC">
      <w:pPr>
        <w:pStyle w:val="2"/>
        <w:shd w:val="clear"/>
        <w:spacing w:line="500" w:lineRule="exact"/>
        <w:ind w:firstLine="436" w:firstLineChars="182"/>
        <w:rPr>
          <w:rFonts w:hAnsi="宋体" w:cs="宋体"/>
          <w:color w:val="auto"/>
          <w:sz w:val="24"/>
          <w:szCs w:val="24"/>
          <w:highlight w:val="none"/>
          <w:u w:val="single"/>
        </w:rPr>
      </w:pPr>
      <w:r>
        <w:rPr>
          <w:rFonts w:hint="eastAsia" w:hAnsi="宋体" w:cs="宋体"/>
          <w:color w:val="auto"/>
          <w:sz w:val="24"/>
          <w:szCs w:val="24"/>
          <w:highlight w:val="none"/>
        </w:rPr>
        <w:t>成立时间：</w:t>
      </w:r>
      <w:r>
        <w:rPr>
          <w:rFonts w:hint="eastAsia" w:hAnsi="宋体" w:cs="宋体"/>
          <w:color w:val="auto"/>
          <w:sz w:val="24"/>
          <w:szCs w:val="24"/>
          <w:highlight w:val="none"/>
          <w:u w:val="single"/>
        </w:rPr>
        <w:t>XXXX</w:t>
      </w:r>
    </w:p>
    <w:p w14:paraId="75DC0DCD">
      <w:pPr>
        <w:pStyle w:val="2"/>
        <w:shd w:val="clear"/>
        <w:spacing w:line="500" w:lineRule="exact"/>
        <w:ind w:firstLine="436" w:firstLineChars="182"/>
        <w:rPr>
          <w:rFonts w:hAnsi="宋体" w:cs="宋体"/>
          <w:color w:val="auto"/>
          <w:sz w:val="24"/>
          <w:szCs w:val="24"/>
          <w:highlight w:val="none"/>
        </w:rPr>
      </w:pPr>
      <w:r>
        <w:rPr>
          <w:rFonts w:hint="eastAsia" w:hAnsi="宋体" w:cs="宋体"/>
          <w:color w:val="auto"/>
          <w:sz w:val="24"/>
          <w:szCs w:val="24"/>
          <w:highlight w:val="none"/>
        </w:rPr>
        <w:t>经营期限：</w:t>
      </w:r>
      <w:r>
        <w:rPr>
          <w:rFonts w:hint="eastAsia" w:hAnsi="宋体" w:cs="宋体"/>
          <w:color w:val="auto"/>
          <w:sz w:val="24"/>
          <w:szCs w:val="24"/>
          <w:highlight w:val="none"/>
          <w:u w:val="single"/>
        </w:rPr>
        <w:t>XXXX</w:t>
      </w:r>
    </w:p>
    <w:p w14:paraId="0330E72E">
      <w:pPr>
        <w:shd w:val="clear"/>
        <w:spacing w:line="500" w:lineRule="exact"/>
        <w:ind w:firstLine="480" w:firstLineChars="200"/>
        <w:rPr>
          <w:rFonts w:hAnsi="宋体" w:cs="宋体"/>
          <w:color w:val="auto"/>
          <w:sz w:val="24"/>
          <w:szCs w:val="24"/>
          <w:highlight w:val="none"/>
        </w:rPr>
      </w:pPr>
      <w:r>
        <w:rPr>
          <w:rFonts w:hint="eastAsia" w:hAnsi="宋体" w:cs="宋体"/>
          <w:color w:val="auto"/>
          <w:sz w:val="24"/>
          <w:szCs w:val="24"/>
          <w:highlight w:val="none"/>
          <w:u w:val="single"/>
        </w:rPr>
        <w:t>XXXX</w:t>
      </w:r>
      <w:r>
        <w:rPr>
          <w:rFonts w:hint="eastAsia" w:hAnsi="宋体" w:cs="宋体"/>
          <w:color w:val="auto"/>
          <w:sz w:val="24"/>
          <w:szCs w:val="24"/>
          <w:highlight w:val="none"/>
        </w:rPr>
        <w:t>（法定代表人姓名/性别/职务）系</w:t>
      </w:r>
      <w:r>
        <w:rPr>
          <w:rFonts w:hint="eastAsia" w:hAnsi="宋体" w:cs="宋体"/>
          <w:color w:val="auto"/>
          <w:sz w:val="24"/>
          <w:szCs w:val="24"/>
          <w:highlight w:val="none"/>
          <w:u w:val="single"/>
        </w:rPr>
        <w:t>XXXX</w:t>
      </w:r>
      <w:r>
        <w:rPr>
          <w:rFonts w:hint="eastAsia" w:hAnsi="宋体" w:cs="宋体"/>
          <w:color w:val="auto"/>
          <w:sz w:val="24"/>
          <w:szCs w:val="24"/>
          <w:highlight w:val="none"/>
        </w:rPr>
        <w:t>（投标人名称）的法定代表人。</w:t>
      </w:r>
    </w:p>
    <w:p w14:paraId="144EA15E">
      <w:pPr>
        <w:pStyle w:val="2"/>
        <w:shd w:val="clear"/>
        <w:spacing w:line="500" w:lineRule="exact"/>
        <w:rPr>
          <w:rFonts w:hAnsi="宋体" w:cs="宋体"/>
          <w:color w:val="auto"/>
          <w:sz w:val="24"/>
          <w:szCs w:val="24"/>
          <w:highlight w:val="none"/>
        </w:rPr>
      </w:pPr>
      <w:r>
        <w:rPr>
          <w:rFonts w:hint="eastAsia" w:hAnsi="宋体" w:cs="宋体"/>
          <w:color w:val="auto"/>
          <w:sz w:val="24"/>
          <w:szCs w:val="24"/>
          <w:highlight w:val="none"/>
        </w:rPr>
        <w:t xml:space="preserve">   特此证明</w:t>
      </w:r>
    </w:p>
    <w:p w14:paraId="0B0C4D3A">
      <w:pPr>
        <w:shd w:val="clear"/>
        <w:spacing w:line="500" w:lineRule="exact"/>
        <w:jc w:val="left"/>
        <w:rPr>
          <w:rFonts w:hAnsi="宋体" w:cs="宋体"/>
          <w:color w:val="auto"/>
          <w:sz w:val="24"/>
          <w:szCs w:val="24"/>
          <w:highlight w:val="none"/>
        </w:rPr>
      </w:pPr>
    </w:p>
    <w:p w14:paraId="5A09346A">
      <w:pPr>
        <w:shd w:val="clear"/>
        <w:spacing w:line="500" w:lineRule="exact"/>
        <w:jc w:val="right"/>
        <w:rPr>
          <w:rFonts w:hAnsi="宋体" w:cs="宋体"/>
          <w:color w:val="auto"/>
          <w:sz w:val="24"/>
          <w:szCs w:val="24"/>
          <w:highlight w:val="none"/>
        </w:rPr>
      </w:pPr>
      <w:r>
        <w:rPr>
          <w:rFonts w:hint="eastAsia" w:hAnsi="宋体" w:cs="宋体"/>
          <w:color w:val="auto"/>
          <w:sz w:val="24"/>
          <w:szCs w:val="24"/>
          <w:highlight w:val="none"/>
        </w:rPr>
        <w:t xml:space="preserve">  投标人名称：         （盖章）</w:t>
      </w:r>
    </w:p>
    <w:p w14:paraId="736F850C">
      <w:pPr>
        <w:pStyle w:val="8"/>
        <w:shd w:val="clear"/>
        <w:spacing w:line="500" w:lineRule="exact"/>
        <w:ind w:firstLine="0" w:firstLineChars="0"/>
        <w:jc w:val="right"/>
        <w:rPr>
          <w:rFonts w:hAnsi="宋体" w:cs="宋体"/>
          <w:color w:val="auto"/>
          <w:sz w:val="24"/>
          <w:highlight w:val="none"/>
        </w:rPr>
      </w:pPr>
    </w:p>
    <w:p w14:paraId="135B39EB">
      <w:pPr>
        <w:pStyle w:val="8"/>
        <w:shd w:val="clear"/>
        <w:spacing w:line="500" w:lineRule="exact"/>
        <w:ind w:firstLine="0" w:firstLineChars="0"/>
        <w:jc w:val="right"/>
        <w:rPr>
          <w:rFonts w:hAnsi="宋体" w:cs="宋体"/>
          <w:color w:val="auto"/>
          <w:sz w:val="24"/>
          <w:highlight w:val="none"/>
        </w:rPr>
      </w:pPr>
      <w:r>
        <w:rPr>
          <w:rFonts w:hint="eastAsia" w:hAnsi="宋体" w:cs="宋体"/>
          <w:color w:val="auto"/>
          <w:sz w:val="24"/>
          <w:highlight w:val="none"/>
        </w:rPr>
        <w:t xml:space="preserve"> 年     月    日 </w:t>
      </w:r>
    </w:p>
    <w:p w14:paraId="7BB101C4">
      <w:pPr>
        <w:widowControl/>
        <w:shd w:val="clear"/>
        <w:jc w:val="right"/>
        <w:rPr>
          <w:rFonts w:hAnsi="宋体" w:cs="宋体"/>
          <w:color w:val="auto"/>
          <w:sz w:val="24"/>
          <w:szCs w:val="24"/>
          <w:highlight w:val="none"/>
        </w:rPr>
      </w:pPr>
    </w:p>
    <w:p w14:paraId="3B77552F">
      <w:pPr>
        <w:widowControl/>
        <w:shd w:val="clear"/>
        <w:spacing w:line="360" w:lineRule="auto"/>
        <w:jc w:val="left"/>
        <w:rPr>
          <w:rFonts w:hAnsi="宋体" w:cs="宋体"/>
          <w:color w:val="auto"/>
          <w:sz w:val="24"/>
          <w:szCs w:val="24"/>
          <w:highlight w:val="none"/>
        </w:rPr>
      </w:pPr>
    </w:p>
    <w:p w14:paraId="57773C40">
      <w:pPr>
        <w:widowControl/>
        <w:shd w:val="clear"/>
        <w:spacing w:line="360" w:lineRule="auto"/>
        <w:jc w:val="left"/>
        <w:rPr>
          <w:rFonts w:hAnsi="宋体" w:cs="宋体"/>
          <w:b/>
          <w:color w:val="auto"/>
          <w:sz w:val="24"/>
          <w:highlight w:val="none"/>
        </w:rPr>
      </w:pPr>
      <w:r>
        <w:rPr>
          <w:rFonts w:hint="eastAsia" w:hAnsi="宋体" w:cs="宋体"/>
          <w:color w:val="auto"/>
          <w:sz w:val="24"/>
          <w:szCs w:val="24"/>
          <w:highlight w:val="none"/>
        </w:rPr>
        <w:t>注：该项仅为法定代表人参与投标时提供，并</w:t>
      </w:r>
      <w:r>
        <w:rPr>
          <w:rFonts w:hint="eastAsia" w:hAnsi="宋体" w:cs="宋体"/>
          <w:bCs/>
          <w:color w:val="auto"/>
          <w:sz w:val="24"/>
          <w:highlight w:val="none"/>
          <w:lang w:val="zh-CN"/>
        </w:rPr>
        <w:t>附有法定代表人身份证复印件（身份证两面均应复印）时才能生效,不允许粘贴。</w:t>
      </w:r>
    </w:p>
    <w:p w14:paraId="5A066BFE">
      <w:pPr>
        <w:shd w:val="clear"/>
        <w:tabs>
          <w:tab w:val="left" w:pos="720"/>
          <w:tab w:val="left" w:pos="6300"/>
        </w:tabs>
        <w:ind w:firstLine="573"/>
        <w:rPr>
          <w:rFonts w:hAnsi="宋体" w:cs="宋体"/>
          <w:b/>
          <w:color w:val="auto"/>
          <w:sz w:val="24"/>
          <w:highlight w:val="none"/>
          <w:lang w:val="zh-CN"/>
        </w:rPr>
      </w:pPr>
    </w:p>
    <w:p w14:paraId="2BBEEC78">
      <w:pPr>
        <w:pStyle w:val="20"/>
        <w:shd w:val="clear"/>
        <w:spacing w:before="480" w:after="480"/>
        <w:rPr>
          <w:rFonts w:ascii="宋体" w:hAnsi="宋体" w:cs="宋体"/>
          <w:color w:val="auto"/>
          <w:highlight w:val="none"/>
          <w:lang w:val="zh-CN"/>
        </w:rPr>
      </w:pPr>
    </w:p>
    <w:p w14:paraId="53754319">
      <w:pPr>
        <w:shd w:val="clear"/>
        <w:tabs>
          <w:tab w:val="left" w:pos="720"/>
          <w:tab w:val="left" w:pos="6300"/>
        </w:tabs>
        <w:spacing w:line="360" w:lineRule="auto"/>
        <w:ind w:firstLine="573"/>
        <w:rPr>
          <w:rFonts w:hAnsi="宋体" w:cs="宋体"/>
          <w:b/>
          <w:color w:val="auto"/>
          <w:sz w:val="24"/>
          <w:highlight w:val="none"/>
          <w:lang w:val="zh-CN"/>
        </w:rPr>
      </w:pPr>
    </w:p>
    <w:p w14:paraId="083DEA67">
      <w:pPr>
        <w:pStyle w:val="16"/>
        <w:shd w:val="clear"/>
        <w:spacing w:line="240" w:lineRule="auto"/>
        <w:ind w:left="16" w:leftChars="0" w:hanging="16" w:hangingChars="7"/>
        <w:jc w:val="left"/>
        <w:rPr>
          <w:rFonts w:hAnsi="宋体" w:cs="宋体"/>
          <w:bCs/>
          <w:color w:val="auto"/>
          <w:sz w:val="24"/>
          <w:highlight w:val="none"/>
        </w:rPr>
      </w:pPr>
    </w:p>
    <w:p w14:paraId="6B8B9A2D">
      <w:pPr>
        <w:pStyle w:val="16"/>
        <w:shd w:val="clear"/>
        <w:spacing w:line="240" w:lineRule="auto"/>
        <w:ind w:left="16" w:leftChars="0" w:hanging="16" w:hangingChars="7"/>
        <w:jc w:val="left"/>
        <w:rPr>
          <w:rFonts w:hAnsi="宋体" w:cs="宋体"/>
          <w:bCs/>
          <w:color w:val="auto"/>
          <w:sz w:val="24"/>
          <w:highlight w:val="none"/>
        </w:rPr>
      </w:pPr>
    </w:p>
    <w:p w14:paraId="2F6AE8B2">
      <w:pPr>
        <w:pStyle w:val="16"/>
        <w:shd w:val="clear"/>
        <w:spacing w:line="240" w:lineRule="auto"/>
        <w:ind w:left="16" w:leftChars="0" w:hanging="16" w:hangingChars="7"/>
        <w:jc w:val="left"/>
        <w:rPr>
          <w:rFonts w:hAnsi="宋体" w:cs="宋体"/>
          <w:bCs/>
          <w:color w:val="auto"/>
          <w:sz w:val="24"/>
          <w:highlight w:val="none"/>
        </w:rPr>
      </w:pPr>
    </w:p>
    <w:p w14:paraId="7F20E1AE">
      <w:pPr>
        <w:pStyle w:val="16"/>
        <w:shd w:val="clear"/>
        <w:spacing w:line="240" w:lineRule="auto"/>
        <w:ind w:left="16" w:leftChars="0" w:hanging="16" w:hangingChars="7"/>
        <w:jc w:val="left"/>
        <w:rPr>
          <w:rFonts w:hAnsi="宋体" w:cs="宋体"/>
          <w:bCs/>
          <w:color w:val="auto"/>
          <w:sz w:val="24"/>
          <w:highlight w:val="none"/>
        </w:rPr>
      </w:pPr>
    </w:p>
    <w:p w14:paraId="1CFDCFC0">
      <w:pPr>
        <w:pStyle w:val="16"/>
        <w:shd w:val="clear"/>
        <w:spacing w:line="240" w:lineRule="auto"/>
        <w:ind w:left="16" w:leftChars="0" w:hanging="16" w:hangingChars="7"/>
        <w:jc w:val="left"/>
        <w:rPr>
          <w:rFonts w:hAnsi="宋体" w:cs="宋体"/>
          <w:bCs/>
          <w:color w:val="auto"/>
          <w:sz w:val="24"/>
          <w:highlight w:val="none"/>
        </w:rPr>
      </w:pPr>
    </w:p>
    <w:p w14:paraId="47C38F21">
      <w:pPr>
        <w:pStyle w:val="16"/>
        <w:shd w:val="clear"/>
        <w:spacing w:line="240" w:lineRule="auto"/>
        <w:ind w:left="16" w:leftChars="0" w:hanging="16" w:hangingChars="7"/>
        <w:jc w:val="left"/>
        <w:rPr>
          <w:rFonts w:hAnsi="宋体" w:cs="宋体"/>
          <w:bCs/>
          <w:color w:val="auto"/>
          <w:sz w:val="24"/>
          <w:highlight w:val="none"/>
        </w:rPr>
      </w:pPr>
    </w:p>
    <w:p w14:paraId="229871C1">
      <w:pPr>
        <w:pStyle w:val="16"/>
        <w:shd w:val="clear"/>
        <w:spacing w:line="240" w:lineRule="auto"/>
        <w:ind w:left="16" w:leftChars="0" w:hanging="16" w:hangingChars="7"/>
        <w:jc w:val="left"/>
        <w:rPr>
          <w:rFonts w:hAnsi="宋体" w:cs="宋体"/>
          <w:bCs/>
          <w:color w:val="auto"/>
          <w:sz w:val="24"/>
          <w:highlight w:val="none"/>
        </w:rPr>
      </w:pPr>
    </w:p>
    <w:p w14:paraId="7DDEF80D">
      <w:pPr>
        <w:pStyle w:val="16"/>
        <w:shd w:val="clear"/>
        <w:spacing w:line="240" w:lineRule="auto"/>
        <w:ind w:left="16" w:leftChars="0" w:hanging="16" w:hangingChars="7"/>
        <w:jc w:val="left"/>
        <w:rPr>
          <w:rFonts w:hAnsi="宋体" w:cs="宋体"/>
          <w:bCs/>
          <w:color w:val="auto"/>
          <w:sz w:val="24"/>
          <w:highlight w:val="none"/>
        </w:rPr>
      </w:pPr>
    </w:p>
    <w:p w14:paraId="299DDB16">
      <w:pPr>
        <w:pStyle w:val="16"/>
        <w:shd w:val="clear"/>
        <w:spacing w:line="240" w:lineRule="auto"/>
        <w:ind w:left="16" w:leftChars="0" w:hanging="16" w:hangingChars="7"/>
        <w:jc w:val="left"/>
        <w:rPr>
          <w:rFonts w:hAnsi="宋体" w:cs="宋体"/>
          <w:bCs/>
          <w:color w:val="auto"/>
          <w:sz w:val="24"/>
          <w:highlight w:val="none"/>
        </w:rPr>
      </w:pPr>
    </w:p>
    <w:p w14:paraId="07C00E0E">
      <w:pPr>
        <w:pStyle w:val="16"/>
        <w:shd w:val="clear"/>
        <w:spacing w:line="240" w:lineRule="auto"/>
        <w:ind w:left="16" w:leftChars="0" w:hanging="16" w:hangingChars="7"/>
        <w:jc w:val="left"/>
        <w:rPr>
          <w:rFonts w:hAnsi="宋体" w:cs="宋体"/>
          <w:bCs/>
          <w:color w:val="auto"/>
          <w:sz w:val="24"/>
          <w:highlight w:val="none"/>
        </w:rPr>
      </w:pPr>
    </w:p>
    <w:p w14:paraId="2D71455B">
      <w:pPr>
        <w:pStyle w:val="2"/>
        <w:shd w:val="clear"/>
        <w:rPr>
          <w:rFonts w:hAnsi="宋体" w:cs="宋体"/>
          <w:color w:val="auto"/>
          <w:sz w:val="24"/>
          <w:highlight w:val="none"/>
        </w:rPr>
      </w:pPr>
    </w:p>
    <w:p w14:paraId="0416C1BC">
      <w:pPr>
        <w:pStyle w:val="2"/>
        <w:shd w:val="clear"/>
        <w:rPr>
          <w:rFonts w:hAnsi="宋体" w:cs="宋体"/>
          <w:color w:val="auto"/>
          <w:sz w:val="24"/>
          <w:highlight w:val="none"/>
        </w:rPr>
      </w:pPr>
    </w:p>
    <w:p w14:paraId="2A344837">
      <w:pPr>
        <w:pStyle w:val="2"/>
        <w:shd w:val="clear"/>
        <w:rPr>
          <w:rFonts w:hAnsi="宋体" w:cs="宋体"/>
          <w:color w:val="auto"/>
          <w:sz w:val="24"/>
          <w:highlight w:val="none"/>
        </w:rPr>
      </w:pPr>
    </w:p>
    <w:p w14:paraId="5D899D39">
      <w:pPr>
        <w:widowControl/>
        <w:shd w:val="clear"/>
        <w:spacing w:line="500" w:lineRule="exact"/>
        <w:jc w:val="center"/>
        <w:outlineLvl w:val="1"/>
        <w:rPr>
          <w:rFonts w:hAnsi="宋体" w:cs="宋体"/>
          <w:b/>
          <w:color w:val="auto"/>
          <w:sz w:val="32"/>
          <w:szCs w:val="32"/>
          <w:highlight w:val="none"/>
        </w:rPr>
      </w:pPr>
      <w:r>
        <w:rPr>
          <w:rFonts w:hint="eastAsia" w:hAnsi="宋体" w:cs="宋体"/>
          <w:b/>
          <w:color w:val="auto"/>
          <w:sz w:val="32"/>
          <w:szCs w:val="32"/>
          <w:highlight w:val="none"/>
        </w:rPr>
        <w:t>四、法定代表人授权书</w:t>
      </w:r>
      <w:bookmarkEnd w:id="120"/>
    </w:p>
    <w:p w14:paraId="160A9D0E">
      <w:pPr>
        <w:pStyle w:val="2"/>
        <w:shd w:val="clear"/>
        <w:rPr>
          <w:rFonts w:hAnsi="宋体" w:cs="宋体"/>
          <w:color w:val="auto"/>
          <w:highlight w:val="none"/>
        </w:rPr>
      </w:pPr>
    </w:p>
    <w:p w14:paraId="5349CC00">
      <w:pPr>
        <w:widowControl/>
        <w:shd w:val="clear"/>
        <w:spacing w:line="500" w:lineRule="exact"/>
        <w:jc w:val="left"/>
        <w:rPr>
          <w:rFonts w:hAnsi="宋体" w:cs="宋体"/>
          <w:color w:val="auto"/>
          <w:sz w:val="24"/>
          <w:highlight w:val="none"/>
          <w:u w:val="single"/>
        </w:rPr>
      </w:pPr>
      <w:r>
        <w:rPr>
          <w:rFonts w:hint="eastAsia" w:hAnsi="宋体" w:cs="宋体"/>
          <w:color w:val="auto"/>
          <w:sz w:val="24"/>
          <w:highlight w:val="none"/>
          <w:u w:val="single"/>
        </w:rPr>
        <w:t>（代理机构名称）：</w:t>
      </w:r>
    </w:p>
    <w:p w14:paraId="7A806494">
      <w:pPr>
        <w:shd w:val="clear"/>
        <w:spacing w:line="5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本授权声明：</w:t>
      </w:r>
      <w:r>
        <w:rPr>
          <w:rFonts w:hint="eastAsia" w:hAnsi="宋体" w:cs="宋体"/>
          <w:color w:val="auto"/>
          <w:sz w:val="24"/>
          <w:szCs w:val="24"/>
          <w:highlight w:val="none"/>
          <w:u w:val="single"/>
        </w:rPr>
        <w:t>XXXXXXXX</w:t>
      </w:r>
      <w:r>
        <w:rPr>
          <w:rFonts w:hint="eastAsia" w:hAnsi="宋体" w:cs="宋体"/>
          <w:color w:val="auto"/>
          <w:sz w:val="24"/>
          <w:szCs w:val="24"/>
          <w:highlight w:val="none"/>
        </w:rPr>
        <w:t>（投标人名称）</w:t>
      </w:r>
      <w:r>
        <w:rPr>
          <w:rFonts w:hint="eastAsia" w:hAnsi="宋体" w:cs="宋体"/>
          <w:color w:val="auto"/>
          <w:sz w:val="24"/>
          <w:szCs w:val="24"/>
          <w:highlight w:val="none"/>
          <w:u w:val="single"/>
        </w:rPr>
        <w:t>XXXX</w:t>
      </w:r>
      <w:r>
        <w:rPr>
          <w:rFonts w:hint="eastAsia" w:hAnsi="宋体" w:cs="宋体"/>
          <w:color w:val="auto"/>
          <w:sz w:val="24"/>
          <w:szCs w:val="24"/>
          <w:highlight w:val="none"/>
        </w:rPr>
        <w:t>（法定代表人姓名、职务）授权</w:t>
      </w:r>
      <w:r>
        <w:rPr>
          <w:rFonts w:hint="eastAsia" w:hAnsi="宋体" w:cs="宋体"/>
          <w:color w:val="auto"/>
          <w:sz w:val="24"/>
          <w:szCs w:val="24"/>
          <w:highlight w:val="none"/>
          <w:u w:val="single"/>
        </w:rPr>
        <w:t>XXXX</w:t>
      </w:r>
      <w:r>
        <w:rPr>
          <w:rFonts w:hint="eastAsia" w:hAnsi="宋体" w:cs="宋体"/>
          <w:color w:val="auto"/>
          <w:sz w:val="24"/>
          <w:szCs w:val="24"/>
          <w:highlight w:val="none"/>
        </w:rPr>
        <w:t>（被授权人姓名、职务）为我方 “</w:t>
      </w:r>
      <w:r>
        <w:rPr>
          <w:rFonts w:hint="eastAsia" w:hAnsi="宋体" w:cs="宋体"/>
          <w:color w:val="auto"/>
          <w:sz w:val="24"/>
          <w:szCs w:val="24"/>
          <w:highlight w:val="none"/>
          <w:u w:val="single"/>
        </w:rPr>
        <w:t>XXXX</w:t>
      </w:r>
      <w:r>
        <w:rPr>
          <w:rFonts w:hint="eastAsia" w:hAnsi="宋体" w:cs="宋体"/>
          <w:color w:val="auto"/>
          <w:sz w:val="24"/>
          <w:szCs w:val="24"/>
          <w:highlight w:val="none"/>
        </w:rPr>
        <w:t>” 项目（招标编号：</w:t>
      </w:r>
      <w:r>
        <w:rPr>
          <w:rFonts w:hint="eastAsia" w:hAnsi="宋体" w:cs="宋体"/>
          <w:color w:val="auto"/>
          <w:sz w:val="24"/>
          <w:szCs w:val="24"/>
          <w:highlight w:val="none"/>
          <w:u w:val="single"/>
        </w:rPr>
        <w:t>XXXX</w:t>
      </w:r>
      <w:r>
        <w:rPr>
          <w:rFonts w:hint="eastAsia" w:hAnsi="宋体" w:cs="宋体"/>
          <w:color w:val="auto"/>
          <w:sz w:val="24"/>
          <w:szCs w:val="24"/>
          <w:highlight w:val="none"/>
        </w:rPr>
        <w:t>）投标活动的合法代表，以我方名义全权处理该项目有关投标、签订合同以及执行合同等一切事宜，我公司均予承认，所产生的法律后果均由我单位承担。</w:t>
      </w:r>
    </w:p>
    <w:p w14:paraId="1DEA0CA0">
      <w:pPr>
        <w:shd w:val="clear"/>
        <w:spacing w:line="5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代理人无转委托权，本授权书自</w:t>
      </w:r>
      <w:r>
        <w:rPr>
          <w:rFonts w:hint="eastAsia" w:hAnsi="宋体" w:cs="宋体"/>
          <w:color w:val="auto"/>
          <w:sz w:val="24"/>
          <w:szCs w:val="24"/>
          <w:highlight w:val="none"/>
          <w:u w:val="single"/>
        </w:rPr>
        <w:t>XXX</w:t>
      </w:r>
      <w:r>
        <w:rPr>
          <w:rFonts w:hint="eastAsia" w:hAnsi="宋体" w:cs="宋体"/>
          <w:color w:val="auto"/>
          <w:sz w:val="24"/>
          <w:szCs w:val="24"/>
          <w:highlight w:val="none"/>
        </w:rPr>
        <w:t>年</w:t>
      </w:r>
      <w:r>
        <w:rPr>
          <w:rFonts w:hint="eastAsia" w:hAnsi="宋体" w:cs="宋体"/>
          <w:color w:val="auto"/>
          <w:sz w:val="24"/>
          <w:szCs w:val="24"/>
          <w:highlight w:val="none"/>
          <w:u w:val="single"/>
        </w:rPr>
        <w:tab/>
      </w:r>
      <w:r>
        <w:rPr>
          <w:rFonts w:hint="eastAsia" w:hAnsi="宋体" w:cs="宋体"/>
          <w:color w:val="auto"/>
          <w:sz w:val="24"/>
          <w:szCs w:val="24"/>
          <w:highlight w:val="none"/>
          <w:u w:val="single"/>
        </w:rPr>
        <w:t>XXX</w:t>
      </w:r>
      <w:r>
        <w:rPr>
          <w:rFonts w:hint="eastAsia" w:hAnsi="宋体" w:cs="宋体"/>
          <w:color w:val="auto"/>
          <w:sz w:val="24"/>
          <w:szCs w:val="24"/>
          <w:highlight w:val="none"/>
        </w:rPr>
        <w:t>月</w:t>
      </w:r>
      <w:r>
        <w:rPr>
          <w:rFonts w:hint="eastAsia" w:hAnsi="宋体" w:cs="宋体"/>
          <w:color w:val="auto"/>
          <w:sz w:val="24"/>
          <w:szCs w:val="24"/>
          <w:highlight w:val="none"/>
          <w:u w:val="single"/>
        </w:rPr>
        <w:t>XXX</w:t>
      </w:r>
      <w:r>
        <w:rPr>
          <w:rFonts w:hint="eastAsia" w:hAnsi="宋体" w:cs="宋体"/>
          <w:color w:val="auto"/>
          <w:sz w:val="24"/>
          <w:szCs w:val="24"/>
          <w:highlight w:val="none"/>
        </w:rPr>
        <w:t>日生效，特此声明。</w:t>
      </w:r>
    </w:p>
    <w:p w14:paraId="50910134">
      <w:pPr>
        <w:widowControl/>
        <w:shd w:val="clear"/>
        <w:spacing w:line="500" w:lineRule="exact"/>
        <w:ind w:firstLine="470" w:firstLineChars="196"/>
        <w:jc w:val="left"/>
        <w:rPr>
          <w:rFonts w:hAnsi="宋体" w:cs="宋体"/>
          <w:color w:val="auto"/>
          <w:sz w:val="24"/>
          <w:highlight w:val="none"/>
        </w:rPr>
      </w:pPr>
    </w:p>
    <w:p w14:paraId="31399CC1">
      <w:pPr>
        <w:widowControl/>
        <w:shd w:val="clear"/>
        <w:spacing w:line="500" w:lineRule="exact"/>
        <w:ind w:firstLine="470" w:firstLineChars="196"/>
        <w:jc w:val="left"/>
        <w:rPr>
          <w:rFonts w:hAnsi="宋体" w:cs="宋体"/>
          <w:color w:val="auto"/>
          <w:sz w:val="24"/>
          <w:highlight w:val="none"/>
        </w:rPr>
      </w:pPr>
    </w:p>
    <w:p w14:paraId="0FF79F54">
      <w:pPr>
        <w:widowControl/>
        <w:shd w:val="clear"/>
        <w:spacing w:line="500" w:lineRule="exact"/>
        <w:ind w:firstLine="470" w:firstLineChars="196"/>
        <w:jc w:val="left"/>
        <w:rPr>
          <w:rFonts w:hAnsi="宋体" w:cs="宋体"/>
          <w:color w:val="auto"/>
          <w:sz w:val="24"/>
          <w:highlight w:val="none"/>
        </w:rPr>
      </w:pPr>
      <w:r>
        <w:rPr>
          <w:rFonts w:hint="eastAsia" w:hAnsi="宋体" w:cs="宋体"/>
          <w:color w:val="auto"/>
          <w:sz w:val="24"/>
          <w:highlight w:val="none"/>
        </w:rPr>
        <w:t>法定代表人签字或者加盖个人名章：XXXX。</w:t>
      </w:r>
    </w:p>
    <w:p w14:paraId="59063D79">
      <w:pPr>
        <w:widowControl/>
        <w:shd w:val="clear"/>
        <w:spacing w:line="500" w:lineRule="exact"/>
        <w:ind w:firstLine="470" w:firstLineChars="196"/>
        <w:jc w:val="left"/>
        <w:rPr>
          <w:rFonts w:hAnsi="宋体" w:cs="宋体"/>
          <w:color w:val="auto"/>
          <w:sz w:val="24"/>
          <w:highlight w:val="none"/>
        </w:rPr>
      </w:pPr>
      <w:r>
        <w:rPr>
          <w:rFonts w:hint="eastAsia" w:hAnsi="宋体" w:cs="宋体"/>
          <w:color w:val="auto"/>
          <w:sz w:val="24"/>
          <w:highlight w:val="none"/>
        </w:rPr>
        <w:t>授权代表签字：XXXX。</w:t>
      </w:r>
    </w:p>
    <w:p w14:paraId="6835B205">
      <w:pPr>
        <w:widowControl/>
        <w:shd w:val="clear"/>
        <w:spacing w:line="500" w:lineRule="exact"/>
        <w:ind w:firstLine="470" w:firstLineChars="196"/>
        <w:jc w:val="left"/>
        <w:rPr>
          <w:rFonts w:hAnsi="宋体" w:cs="宋体"/>
          <w:color w:val="auto"/>
          <w:sz w:val="24"/>
          <w:highlight w:val="none"/>
        </w:rPr>
      </w:pPr>
      <w:r>
        <w:rPr>
          <w:rFonts w:hint="eastAsia" w:hAnsi="宋体" w:cs="宋体"/>
          <w:color w:val="auto"/>
          <w:sz w:val="24"/>
          <w:highlight w:val="none"/>
        </w:rPr>
        <w:t>投标人名称：XXXX（单位盖章）。</w:t>
      </w:r>
    </w:p>
    <w:p w14:paraId="3F539D88">
      <w:pPr>
        <w:widowControl/>
        <w:shd w:val="clear"/>
        <w:spacing w:line="500" w:lineRule="exact"/>
        <w:ind w:firstLine="470" w:firstLineChars="196"/>
        <w:jc w:val="left"/>
        <w:rPr>
          <w:rFonts w:hAnsi="宋体" w:cs="宋体"/>
          <w:color w:val="auto"/>
          <w:sz w:val="24"/>
          <w:highlight w:val="none"/>
        </w:rPr>
      </w:pPr>
      <w:r>
        <w:rPr>
          <w:rFonts w:hint="eastAsia" w:hAnsi="宋体" w:cs="宋体"/>
          <w:color w:val="auto"/>
          <w:sz w:val="24"/>
          <w:highlight w:val="none"/>
        </w:rPr>
        <w:t>日    期：XXXX。</w:t>
      </w:r>
    </w:p>
    <w:p w14:paraId="2EEB84BF">
      <w:pPr>
        <w:widowControl/>
        <w:shd w:val="clear"/>
        <w:spacing w:line="500" w:lineRule="exact"/>
        <w:jc w:val="left"/>
        <w:rPr>
          <w:rFonts w:hAnsi="宋体" w:cs="宋体"/>
          <w:b/>
          <w:color w:val="auto"/>
          <w:sz w:val="24"/>
          <w:highlight w:val="none"/>
        </w:rPr>
      </w:pPr>
      <w:bookmarkStart w:id="126" w:name="_Toc217446084"/>
    </w:p>
    <w:p w14:paraId="05969DFB">
      <w:pPr>
        <w:widowControl/>
        <w:shd w:val="clear"/>
        <w:spacing w:line="500" w:lineRule="exact"/>
        <w:ind w:firstLine="470" w:firstLineChars="196"/>
        <w:jc w:val="left"/>
        <w:rPr>
          <w:rFonts w:hAnsi="宋体" w:cs="宋体"/>
          <w:color w:val="auto"/>
          <w:sz w:val="24"/>
          <w:szCs w:val="22"/>
          <w:highlight w:val="none"/>
        </w:rPr>
      </w:pPr>
      <w:r>
        <w:rPr>
          <w:rFonts w:hint="eastAsia" w:hAnsi="宋体" w:cs="宋体"/>
          <w:color w:val="auto"/>
          <w:sz w:val="24"/>
          <w:szCs w:val="22"/>
          <w:highlight w:val="none"/>
        </w:rPr>
        <w:t>说明：1）上述证明文件在投标文件中附有法定代表人身份证复印件和代理人身份证复印件（身份证两面均应复印）时才能生效，不允许粘贴。</w:t>
      </w:r>
    </w:p>
    <w:p w14:paraId="4E1FEC6A">
      <w:pPr>
        <w:widowControl/>
        <w:shd w:val="clear"/>
        <w:spacing w:line="500" w:lineRule="exact"/>
        <w:ind w:firstLine="470" w:firstLineChars="196"/>
        <w:jc w:val="left"/>
        <w:rPr>
          <w:rFonts w:hAnsi="宋体" w:cs="宋体"/>
          <w:color w:val="auto"/>
          <w:sz w:val="24"/>
          <w:szCs w:val="22"/>
          <w:highlight w:val="none"/>
        </w:rPr>
      </w:pPr>
      <w:r>
        <w:rPr>
          <w:rFonts w:hint="eastAsia" w:hAnsi="宋体" w:cs="宋体"/>
          <w:color w:val="auto"/>
          <w:sz w:val="24"/>
          <w:szCs w:val="22"/>
          <w:highlight w:val="none"/>
        </w:rPr>
        <w:t>2）投标文件由投标人法定代表人签字或加盖印章的,投标文件中可不提供法定代表人授权委托书及代理人身份证复印件，但必须提供法定代表人身份证复印件及法定代表人身份证明。</w:t>
      </w:r>
    </w:p>
    <w:p w14:paraId="03AD23D7">
      <w:pPr>
        <w:widowControl/>
        <w:shd w:val="clear"/>
        <w:spacing w:line="500" w:lineRule="exact"/>
        <w:jc w:val="left"/>
        <w:rPr>
          <w:rFonts w:hAnsi="宋体" w:cs="宋体"/>
          <w:b/>
          <w:color w:val="auto"/>
          <w:sz w:val="24"/>
          <w:highlight w:val="none"/>
        </w:rPr>
      </w:pPr>
    </w:p>
    <w:p w14:paraId="109900C1">
      <w:pPr>
        <w:widowControl/>
        <w:shd w:val="clear"/>
        <w:spacing w:line="500" w:lineRule="exact"/>
        <w:jc w:val="left"/>
        <w:rPr>
          <w:rFonts w:hAnsi="宋体" w:cs="宋体"/>
          <w:b/>
          <w:color w:val="auto"/>
          <w:sz w:val="24"/>
          <w:highlight w:val="none"/>
        </w:rPr>
      </w:pPr>
    </w:p>
    <w:p w14:paraId="02CE0F04">
      <w:pPr>
        <w:widowControl/>
        <w:shd w:val="clear"/>
        <w:spacing w:line="500" w:lineRule="exact"/>
        <w:jc w:val="left"/>
        <w:rPr>
          <w:rFonts w:hAnsi="宋体" w:cs="宋体"/>
          <w:b/>
          <w:color w:val="auto"/>
          <w:sz w:val="24"/>
          <w:highlight w:val="none"/>
        </w:rPr>
      </w:pPr>
    </w:p>
    <w:p w14:paraId="1398C37E">
      <w:pPr>
        <w:widowControl/>
        <w:shd w:val="clear"/>
        <w:spacing w:line="500" w:lineRule="exact"/>
        <w:jc w:val="left"/>
        <w:rPr>
          <w:rFonts w:hAnsi="宋体" w:cs="宋体"/>
          <w:b/>
          <w:color w:val="auto"/>
          <w:sz w:val="24"/>
          <w:highlight w:val="none"/>
        </w:rPr>
      </w:pPr>
    </w:p>
    <w:p w14:paraId="34CCCD97">
      <w:pPr>
        <w:widowControl/>
        <w:shd w:val="clear"/>
        <w:spacing w:line="500" w:lineRule="exact"/>
        <w:jc w:val="left"/>
        <w:rPr>
          <w:rFonts w:hAnsi="宋体" w:cs="宋体"/>
          <w:b/>
          <w:color w:val="auto"/>
          <w:sz w:val="24"/>
          <w:highlight w:val="none"/>
        </w:rPr>
      </w:pPr>
    </w:p>
    <w:p w14:paraId="671D18A4">
      <w:pPr>
        <w:widowControl/>
        <w:shd w:val="clear"/>
        <w:spacing w:line="500" w:lineRule="exact"/>
        <w:jc w:val="left"/>
        <w:rPr>
          <w:rFonts w:hAnsi="宋体" w:cs="宋体"/>
          <w:b/>
          <w:color w:val="auto"/>
          <w:sz w:val="24"/>
          <w:highlight w:val="none"/>
        </w:rPr>
      </w:pPr>
    </w:p>
    <w:p w14:paraId="05756434">
      <w:pPr>
        <w:widowControl/>
        <w:shd w:val="clear"/>
        <w:spacing w:line="500" w:lineRule="exact"/>
        <w:jc w:val="left"/>
        <w:rPr>
          <w:rFonts w:hAnsi="宋体" w:cs="宋体"/>
          <w:b/>
          <w:color w:val="auto"/>
          <w:sz w:val="24"/>
          <w:highlight w:val="none"/>
        </w:rPr>
      </w:pPr>
    </w:p>
    <w:bookmarkEnd w:id="126"/>
    <w:p w14:paraId="115F6193">
      <w:pPr>
        <w:widowControl/>
        <w:shd w:val="clear"/>
        <w:spacing w:line="500" w:lineRule="exact"/>
        <w:jc w:val="center"/>
        <w:outlineLvl w:val="1"/>
        <w:rPr>
          <w:rFonts w:ascii="黑体" w:eastAsia="黑体"/>
          <w:b/>
          <w:color w:val="auto"/>
          <w:sz w:val="32"/>
          <w:szCs w:val="32"/>
          <w:highlight w:val="none"/>
        </w:rPr>
      </w:pPr>
      <w:bookmarkStart w:id="127" w:name="_Toc217446087"/>
      <w:r>
        <w:rPr>
          <w:rFonts w:hint="eastAsia" w:hAnsi="宋体" w:cs="宋体"/>
          <w:b/>
          <w:color w:val="auto"/>
          <w:sz w:val="32"/>
          <w:szCs w:val="32"/>
          <w:highlight w:val="none"/>
        </w:rPr>
        <w:t>五、</w:t>
      </w:r>
      <w:r>
        <w:rPr>
          <w:rFonts w:hint="eastAsia" w:ascii="黑体" w:eastAsia="黑体"/>
          <w:b/>
          <w:color w:val="auto"/>
          <w:sz w:val="32"/>
          <w:szCs w:val="32"/>
          <w:highlight w:val="none"/>
        </w:rPr>
        <w:t>开标一览表</w:t>
      </w:r>
    </w:p>
    <w:p w14:paraId="3FBB28A2">
      <w:pPr>
        <w:widowControl/>
        <w:shd w:val="clear"/>
        <w:spacing w:line="500" w:lineRule="exact"/>
        <w:ind w:firstLine="480" w:firstLineChars="200"/>
        <w:jc w:val="left"/>
        <w:rPr>
          <w:color w:val="auto"/>
          <w:sz w:val="24"/>
          <w:highlight w:val="none"/>
        </w:rPr>
      </w:pPr>
      <w:r>
        <w:rPr>
          <w:rFonts w:hint="eastAsia"/>
          <w:color w:val="auto"/>
          <w:sz w:val="24"/>
          <w:highlight w:val="none"/>
        </w:rPr>
        <w:t>项目名称：</w:t>
      </w:r>
    </w:p>
    <w:p w14:paraId="0CA378D0">
      <w:pPr>
        <w:widowControl/>
        <w:shd w:val="clear"/>
        <w:spacing w:line="500" w:lineRule="exact"/>
        <w:ind w:firstLine="470" w:firstLineChars="196"/>
        <w:jc w:val="left"/>
        <w:rPr>
          <w:color w:val="auto"/>
          <w:sz w:val="24"/>
          <w:highlight w:val="none"/>
        </w:rPr>
      </w:pPr>
      <w:r>
        <w:rPr>
          <w:rFonts w:hint="eastAsia"/>
          <w:color w:val="auto"/>
          <w:sz w:val="24"/>
          <w:highlight w:val="none"/>
        </w:rPr>
        <w:t>招标编号：</w:t>
      </w:r>
    </w:p>
    <w:tbl>
      <w:tblPr>
        <w:tblStyle w:val="29"/>
        <w:tblW w:w="853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6"/>
        <w:gridCol w:w="3522"/>
        <w:gridCol w:w="2850"/>
        <w:gridCol w:w="1417"/>
      </w:tblGrid>
      <w:tr w14:paraId="0380FE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5" w:hRule="atLeast"/>
          <w:jc w:val="center"/>
        </w:trPr>
        <w:tc>
          <w:tcPr>
            <w:tcW w:w="746" w:type="dxa"/>
            <w:vAlign w:val="center"/>
          </w:tcPr>
          <w:p w14:paraId="1A4941C9">
            <w:pPr>
              <w:widowControl/>
              <w:shd w:val="clear"/>
              <w:spacing w:line="500" w:lineRule="exact"/>
              <w:jc w:val="center"/>
              <w:rPr>
                <w:rFonts w:hAnsi="宋体" w:cs="宋体"/>
                <w:color w:val="auto"/>
                <w:sz w:val="24"/>
                <w:highlight w:val="none"/>
              </w:rPr>
            </w:pPr>
            <w:r>
              <w:rPr>
                <w:rFonts w:hint="eastAsia" w:hAnsi="宋体" w:cs="宋体"/>
                <w:color w:val="auto"/>
                <w:sz w:val="24"/>
                <w:highlight w:val="none"/>
              </w:rPr>
              <w:t>序号</w:t>
            </w:r>
          </w:p>
        </w:tc>
        <w:tc>
          <w:tcPr>
            <w:tcW w:w="3522" w:type="dxa"/>
            <w:vAlign w:val="center"/>
          </w:tcPr>
          <w:p w14:paraId="01AA6DDF">
            <w:pPr>
              <w:widowControl/>
              <w:shd w:val="clear"/>
              <w:spacing w:line="500" w:lineRule="exact"/>
              <w:jc w:val="center"/>
              <w:rPr>
                <w:rFonts w:hAnsi="宋体" w:cs="宋体"/>
                <w:color w:val="auto"/>
                <w:sz w:val="24"/>
                <w:highlight w:val="none"/>
              </w:rPr>
            </w:pPr>
            <w:r>
              <w:rPr>
                <w:rFonts w:hint="eastAsia" w:hAnsi="宋体" w:cs="宋体"/>
                <w:color w:val="auto"/>
                <w:sz w:val="24"/>
                <w:highlight w:val="none"/>
              </w:rPr>
              <w:t>项目名称</w:t>
            </w:r>
          </w:p>
        </w:tc>
        <w:tc>
          <w:tcPr>
            <w:tcW w:w="2850" w:type="dxa"/>
            <w:vAlign w:val="center"/>
          </w:tcPr>
          <w:p w14:paraId="5AF93AAA">
            <w:pPr>
              <w:widowControl/>
              <w:shd w:val="clear"/>
              <w:spacing w:line="500" w:lineRule="exact"/>
              <w:jc w:val="center"/>
              <w:rPr>
                <w:rFonts w:hAnsi="宋体" w:cs="宋体"/>
                <w:color w:val="auto"/>
                <w:sz w:val="24"/>
                <w:highlight w:val="none"/>
              </w:rPr>
            </w:pPr>
            <w:r>
              <w:rPr>
                <w:rFonts w:hint="eastAsia" w:hAnsi="宋体" w:cs="宋体"/>
                <w:color w:val="auto"/>
                <w:sz w:val="24"/>
                <w:highlight w:val="none"/>
              </w:rPr>
              <w:t>投标报价</w:t>
            </w:r>
          </w:p>
          <w:p w14:paraId="7749480D">
            <w:pPr>
              <w:widowControl/>
              <w:shd w:val="clear"/>
              <w:spacing w:line="500" w:lineRule="exact"/>
              <w:jc w:val="center"/>
              <w:rPr>
                <w:rFonts w:hAnsi="宋体" w:cs="宋体"/>
                <w:color w:val="auto"/>
                <w:sz w:val="24"/>
                <w:highlight w:val="none"/>
              </w:rPr>
            </w:pPr>
            <w:r>
              <w:rPr>
                <w:rFonts w:hint="eastAsia" w:hAnsi="宋体" w:cs="宋体"/>
                <w:color w:val="auto"/>
                <w:sz w:val="24"/>
                <w:highlight w:val="none"/>
              </w:rPr>
              <w:t>（万元）</w:t>
            </w:r>
          </w:p>
        </w:tc>
        <w:tc>
          <w:tcPr>
            <w:tcW w:w="1417" w:type="dxa"/>
            <w:vAlign w:val="center"/>
          </w:tcPr>
          <w:p w14:paraId="2D526C1B">
            <w:pPr>
              <w:widowControl/>
              <w:shd w:val="clear"/>
              <w:spacing w:line="500" w:lineRule="exact"/>
              <w:ind w:left="-14" w:leftChars="-4" w:firstLine="84" w:firstLineChars="35"/>
              <w:jc w:val="center"/>
              <w:rPr>
                <w:rFonts w:hAnsi="宋体" w:cs="宋体"/>
                <w:color w:val="auto"/>
                <w:sz w:val="24"/>
                <w:highlight w:val="none"/>
              </w:rPr>
            </w:pPr>
            <w:r>
              <w:rPr>
                <w:rFonts w:hint="eastAsia" w:hAnsi="宋体" w:cs="宋体"/>
                <w:color w:val="auto"/>
                <w:sz w:val="24"/>
                <w:highlight w:val="none"/>
              </w:rPr>
              <w:t>备注</w:t>
            </w:r>
          </w:p>
        </w:tc>
      </w:tr>
      <w:tr w14:paraId="012A77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746" w:type="dxa"/>
            <w:vAlign w:val="center"/>
          </w:tcPr>
          <w:p w14:paraId="3F3EAD34">
            <w:pPr>
              <w:widowControl/>
              <w:shd w:val="clear"/>
              <w:spacing w:line="500" w:lineRule="exact"/>
              <w:jc w:val="center"/>
              <w:rPr>
                <w:rFonts w:hAnsi="宋体" w:cs="宋体"/>
                <w:color w:val="auto"/>
                <w:sz w:val="24"/>
                <w:highlight w:val="none"/>
              </w:rPr>
            </w:pPr>
          </w:p>
        </w:tc>
        <w:tc>
          <w:tcPr>
            <w:tcW w:w="3522" w:type="dxa"/>
            <w:vAlign w:val="center"/>
          </w:tcPr>
          <w:p w14:paraId="4E4AFD81">
            <w:pPr>
              <w:widowControl/>
              <w:shd w:val="clear"/>
              <w:spacing w:line="500" w:lineRule="exact"/>
              <w:jc w:val="center"/>
              <w:rPr>
                <w:rFonts w:hAnsi="宋体" w:cs="宋体"/>
                <w:color w:val="auto"/>
                <w:sz w:val="24"/>
                <w:highlight w:val="none"/>
              </w:rPr>
            </w:pPr>
          </w:p>
        </w:tc>
        <w:tc>
          <w:tcPr>
            <w:tcW w:w="2850" w:type="dxa"/>
            <w:vAlign w:val="center"/>
          </w:tcPr>
          <w:p w14:paraId="1062E096">
            <w:pPr>
              <w:widowControl/>
              <w:shd w:val="clear"/>
              <w:spacing w:line="500" w:lineRule="exact"/>
              <w:jc w:val="center"/>
              <w:rPr>
                <w:rFonts w:hAnsi="宋体" w:cs="宋体"/>
                <w:color w:val="auto"/>
                <w:sz w:val="24"/>
                <w:highlight w:val="none"/>
              </w:rPr>
            </w:pPr>
          </w:p>
        </w:tc>
        <w:tc>
          <w:tcPr>
            <w:tcW w:w="1417" w:type="dxa"/>
            <w:vAlign w:val="center"/>
          </w:tcPr>
          <w:p w14:paraId="658B8430">
            <w:pPr>
              <w:widowControl/>
              <w:shd w:val="clear"/>
              <w:spacing w:line="500" w:lineRule="exact"/>
              <w:jc w:val="center"/>
              <w:rPr>
                <w:rFonts w:hAnsi="宋体" w:cs="宋体"/>
                <w:color w:val="auto"/>
                <w:sz w:val="24"/>
                <w:highlight w:val="none"/>
              </w:rPr>
            </w:pPr>
          </w:p>
        </w:tc>
      </w:tr>
      <w:tr w14:paraId="29CC5B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0" w:hRule="atLeast"/>
          <w:jc w:val="center"/>
        </w:trPr>
        <w:tc>
          <w:tcPr>
            <w:tcW w:w="4268" w:type="dxa"/>
            <w:gridSpan w:val="2"/>
            <w:vAlign w:val="center"/>
          </w:tcPr>
          <w:p w14:paraId="517D933C">
            <w:pPr>
              <w:widowControl/>
              <w:shd w:val="clear"/>
              <w:spacing w:line="500" w:lineRule="exact"/>
              <w:jc w:val="center"/>
              <w:rPr>
                <w:rFonts w:hAnsi="宋体" w:cs="宋体"/>
                <w:color w:val="auto"/>
                <w:sz w:val="24"/>
                <w:highlight w:val="none"/>
              </w:rPr>
            </w:pPr>
            <w:r>
              <w:rPr>
                <w:rFonts w:hint="eastAsia" w:hAnsi="宋体" w:cs="宋体"/>
                <w:color w:val="auto"/>
                <w:sz w:val="24"/>
                <w:highlight w:val="none"/>
              </w:rPr>
              <w:t>合计</w:t>
            </w:r>
          </w:p>
        </w:tc>
        <w:tc>
          <w:tcPr>
            <w:tcW w:w="4267" w:type="dxa"/>
            <w:gridSpan w:val="2"/>
            <w:vAlign w:val="center"/>
          </w:tcPr>
          <w:p w14:paraId="1F8F05C8">
            <w:pPr>
              <w:widowControl/>
              <w:shd w:val="clear"/>
              <w:spacing w:line="500" w:lineRule="exact"/>
              <w:jc w:val="left"/>
              <w:rPr>
                <w:rFonts w:hAnsi="宋体" w:cs="宋体"/>
                <w:color w:val="auto"/>
                <w:sz w:val="24"/>
                <w:highlight w:val="none"/>
              </w:rPr>
            </w:pPr>
            <w:r>
              <w:rPr>
                <w:rFonts w:hint="eastAsia" w:hAnsi="宋体" w:cs="宋体"/>
                <w:color w:val="auto"/>
                <w:sz w:val="24"/>
                <w:highlight w:val="none"/>
              </w:rPr>
              <w:t>大写（元）：</w:t>
            </w:r>
          </w:p>
        </w:tc>
      </w:tr>
    </w:tbl>
    <w:p w14:paraId="0369626F">
      <w:pPr>
        <w:pStyle w:val="2"/>
        <w:shd w:val="clear"/>
        <w:rPr>
          <w:color w:val="auto"/>
          <w:highlight w:val="none"/>
        </w:rPr>
      </w:pPr>
    </w:p>
    <w:p w14:paraId="47C50F1A">
      <w:pPr>
        <w:pStyle w:val="2"/>
        <w:shd w:val="clear"/>
        <w:rPr>
          <w:color w:val="auto"/>
          <w:sz w:val="24"/>
          <w:highlight w:val="none"/>
        </w:rPr>
      </w:pPr>
    </w:p>
    <w:p w14:paraId="710CBFDD">
      <w:pPr>
        <w:shd w:val="clear"/>
        <w:spacing w:line="293" w:lineRule="exact"/>
        <w:jc w:val="left"/>
        <w:rPr>
          <w:rFonts w:hAnsi="宋体" w:cs="宋体"/>
          <w:color w:val="auto"/>
          <w:sz w:val="24"/>
          <w:highlight w:val="none"/>
        </w:rPr>
      </w:pPr>
    </w:p>
    <w:p w14:paraId="4FAF9233">
      <w:pPr>
        <w:shd w:val="clear"/>
        <w:spacing w:line="360" w:lineRule="auto"/>
        <w:rPr>
          <w:b/>
          <w:bCs/>
          <w:color w:val="auto"/>
          <w:sz w:val="24"/>
          <w:szCs w:val="24"/>
          <w:highlight w:val="none"/>
        </w:rPr>
      </w:pPr>
      <w:r>
        <w:rPr>
          <w:rFonts w:hAnsi="宋体" w:cs="宋体"/>
          <w:color w:val="auto"/>
          <w:sz w:val="24"/>
          <w:szCs w:val="24"/>
          <w:highlight w:val="none"/>
        </w:rPr>
        <w:t>注：</w:t>
      </w:r>
      <w:r>
        <w:rPr>
          <w:rFonts w:hint="eastAsia"/>
          <w:color w:val="auto"/>
          <w:sz w:val="24"/>
          <w:szCs w:val="24"/>
          <w:highlight w:val="none"/>
        </w:rPr>
        <w:t>1.以上表格格式行可增减。</w:t>
      </w:r>
    </w:p>
    <w:p w14:paraId="35D1F62B">
      <w:pPr>
        <w:shd w:val="clear"/>
        <w:spacing w:line="360" w:lineRule="auto"/>
        <w:ind w:firstLine="480" w:firstLineChars="200"/>
        <w:rPr>
          <w:color w:val="auto"/>
          <w:sz w:val="24"/>
          <w:szCs w:val="24"/>
          <w:highlight w:val="none"/>
        </w:rPr>
      </w:pPr>
      <w:r>
        <w:rPr>
          <w:rFonts w:hint="eastAsia"/>
          <w:color w:val="auto"/>
          <w:sz w:val="24"/>
          <w:szCs w:val="24"/>
          <w:highlight w:val="none"/>
        </w:rPr>
        <w:t>2.</w:t>
      </w:r>
      <w:r>
        <w:rPr>
          <w:rFonts w:hint="eastAsia"/>
          <w:color w:val="auto"/>
          <w:sz w:val="24"/>
          <w:szCs w:val="22"/>
          <w:highlight w:val="none"/>
        </w:rPr>
        <w:t>投标人的报价是投标人响应招标项目要求的全部工作内容的价格体现，</w:t>
      </w:r>
      <w:r>
        <w:rPr>
          <w:rFonts w:hint="eastAsia" w:hAnsi="宋体" w:cs="宋体"/>
          <w:color w:val="auto"/>
          <w:sz w:val="24"/>
          <w:highlight w:val="none"/>
        </w:rPr>
        <w:t>应</w:t>
      </w:r>
      <w:r>
        <w:rPr>
          <w:rFonts w:hint="eastAsia" w:hAnsi="宋体"/>
          <w:bCs/>
          <w:color w:val="auto"/>
          <w:sz w:val="24"/>
          <w:szCs w:val="22"/>
          <w:highlight w:val="none"/>
        </w:rPr>
        <w:t>包含所有设备及其运输、安装、调试、培训、税费、以及保修期内可能发生的各项费用等，采购人不再支付合同金额以外的其它任何费用。</w:t>
      </w:r>
    </w:p>
    <w:p w14:paraId="16CA0391">
      <w:pPr>
        <w:shd w:val="clear"/>
        <w:spacing w:line="360" w:lineRule="auto"/>
        <w:ind w:firstLine="480" w:firstLineChars="200"/>
        <w:rPr>
          <w:color w:val="auto"/>
          <w:sz w:val="24"/>
          <w:szCs w:val="24"/>
          <w:highlight w:val="none"/>
        </w:rPr>
      </w:pPr>
      <w:r>
        <w:rPr>
          <w:rFonts w:hint="eastAsia"/>
          <w:color w:val="auto"/>
          <w:sz w:val="24"/>
          <w:szCs w:val="24"/>
          <w:highlight w:val="none"/>
        </w:rPr>
        <w:t>3.“开标一览表”为多页的，每页均需加盖投标人公章（实质性要求）。</w:t>
      </w:r>
    </w:p>
    <w:p w14:paraId="1965E4AB">
      <w:pPr>
        <w:widowControl/>
        <w:shd w:val="clear"/>
        <w:spacing w:line="500" w:lineRule="exact"/>
        <w:ind w:firstLine="470" w:firstLineChars="196"/>
        <w:jc w:val="left"/>
        <w:rPr>
          <w:color w:val="auto"/>
          <w:sz w:val="24"/>
          <w:highlight w:val="none"/>
        </w:rPr>
      </w:pPr>
    </w:p>
    <w:p w14:paraId="0DC3E979">
      <w:pPr>
        <w:widowControl/>
        <w:shd w:val="clear"/>
        <w:spacing w:line="500" w:lineRule="exact"/>
        <w:ind w:firstLine="470" w:firstLineChars="196"/>
        <w:jc w:val="left"/>
        <w:rPr>
          <w:color w:val="auto"/>
          <w:sz w:val="24"/>
          <w:highlight w:val="none"/>
        </w:rPr>
      </w:pPr>
      <w:r>
        <w:rPr>
          <w:rFonts w:hint="eastAsia"/>
          <w:color w:val="auto"/>
          <w:sz w:val="24"/>
          <w:highlight w:val="none"/>
        </w:rPr>
        <w:t>投标人名称：XXXX（单位公章）。</w:t>
      </w:r>
    </w:p>
    <w:p w14:paraId="57B0D6A0">
      <w:pPr>
        <w:widowControl/>
        <w:shd w:val="clear"/>
        <w:spacing w:line="500" w:lineRule="exact"/>
        <w:ind w:firstLine="470" w:firstLineChars="196"/>
        <w:jc w:val="left"/>
        <w:rPr>
          <w:color w:val="auto"/>
          <w:sz w:val="24"/>
          <w:highlight w:val="none"/>
        </w:rPr>
      </w:pPr>
      <w:r>
        <w:rPr>
          <w:rFonts w:hint="eastAsia"/>
          <w:color w:val="auto"/>
          <w:sz w:val="24"/>
          <w:highlight w:val="none"/>
        </w:rPr>
        <w:t>法定代表人或授权代表（签字或加盖个人名章）：XXXX。</w:t>
      </w:r>
    </w:p>
    <w:p w14:paraId="158D9260">
      <w:pPr>
        <w:widowControl/>
        <w:shd w:val="clear"/>
        <w:spacing w:line="500" w:lineRule="exact"/>
        <w:ind w:firstLine="470" w:firstLineChars="196"/>
        <w:jc w:val="left"/>
        <w:rPr>
          <w:color w:val="auto"/>
          <w:sz w:val="24"/>
          <w:highlight w:val="none"/>
        </w:rPr>
      </w:pPr>
      <w:r>
        <w:rPr>
          <w:rFonts w:hint="eastAsia"/>
          <w:color w:val="auto"/>
          <w:sz w:val="24"/>
          <w:highlight w:val="none"/>
        </w:rPr>
        <w:t>投标日期：XXXX。</w:t>
      </w:r>
    </w:p>
    <w:p w14:paraId="18EA9749">
      <w:pPr>
        <w:widowControl/>
        <w:shd w:val="clear"/>
        <w:spacing w:line="500" w:lineRule="exact"/>
        <w:ind w:firstLine="470" w:firstLineChars="196"/>
        <w:jc w:val="left"/>
        <w:rPr>
          <w:color w:val="auto"/>
          <w:sz w:val="24"/>
          <w:highlight w:val="none"/>
        </w:rPr>
      </w:pPr>
    </w:p>
    <w:p w14:paraId="76D25541">
      <w:pPr>
        <w:shd w:val="clear"/>
        <w:rPr>
          <w:rFonts w:ascii="黑体" w:eastAsia="黑体"/>
          <w:b/>
          <w:color w:val="auto"/>
          <w:sz w:val="32"/>
          <w:szCs w:val="32"/>
          <w:highlight w:val="none"/>
        </w:rPr>
      </w:pPr>
      <w:r>
        <w:rPr>
          <w:rFonts w:hint="eastAsia" w:ascii="黑体" w:eastAsia="黑体"/>
          <w:b/>
          <w:color w:val="auto"/>
          <w:sz w:val="32"/>
          <w:szCs w:val="32"/>
          <w:highlight w:val="none"/>
        </w:rPr>
        <w:br w:type="page"/>
      </w:r>
    </w:p>
    <w:p w14:paraId="11CED70A">
      <w:pPr>
        <w:widowControl/>
        <w:shd w:val="clear"/>
        <w:spacing w:line="500" w:lineRule="exact"/>
        <w:jc w:val="center"/>
        <w:outlineLvl w:val="1"/>
        <w:rPr>
          <w:rFonts w:ascii="黑体" w:eastAsia="黑体"/>
          <w:b/>
          <w:color w:val="auto"/>
          <w:sz w:val="32"/>
          <w:szCs w:val="32"/>
          <w:highlight w:val="none"/>
        </w:rPr>
      </w:pPr>
      <w:r>
        <w:rPr>
          <w:rFonts w:hint="eastAsia" w:ascii="黑体" w:eastAsia="黑体"/>
          <w:b/>
          <w:color w:val="auto"/>
          <w:sz w:val="32"/>
          <w:szCs w:val="32"/>
          <w:highlight w:val="none"/>
        </w:rPr>
        <w:t>六、分项报价明细表</w:t>
      </w:r>
    </w:p>
    <w:p w14:paraId="68B35720">
      <w:pPr>
        <w:widowControl/>
        <w:shd w:val="clear"/>
        <w:spacing w:line="500" w:lineRule="exact"/>
        <w:ind w:firstLine="480" w:firstLineChars="200"/>
        <w:jc w:val="left"/>
        <w:rPr>
          <w:color w:val="auto"/>
          <w:sz w:val="24"/>
          <w:highlight w:val="none"/>
        </w:rPr>
      </w:pPr>
      <w:r>
        <w:rPr>
          <w:rFonts w:hint="eastAsia"/>
          <w:color w:val="auto"/>
          <w:sz w:val="24"/>
          <w:highlight w:val="none"/>
        </w:rPr>
        <w:t>项目名称：</w:t>
      </w:r>
    </w:p>
    <w:p w14:paraId="3482F727">
      <w:pPr>
        <w:widowControl/>
        <w:shd w:val="clear"/>
        <w:spacing w:line="500" w:lineRule="exact"/>
        <w:ind w:firstLine="470" w:firstLineChars="196"/>
        <w:jc w:val="left"/>
        <w:rPr>
          <w:color w:val="auto"/>
          <w:highlight w:val="none"/>
        </w:rPr>
      </w:pPr>
      <w:r>
        <w:rPr>
          <w:rFonts w:hint="eastAsia"/>
          <w:color w:val="auto"/>
          <w:sz w:val="24"/>
          <w:highlight w:val="none"/>
        </w:rPr>
        <w:t>招标编号：</w:t>
      </w:r>
    </w:p>
    <w:tbl>
      <w:tblPr>
        <w:tblStyle w:val="29"/>
        <w:tblW w:w="89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77"/>
        <w:gridCol w:w="1275"/>
        <w:gridCol w:w="1519"/>
        <w:gridCol w:w="888"/>
        <w:gridCol w:w="957"/>
        <w:gridCol w:w="840"/>
        <w:gridCol w:w="841"/>
        <w:gridCol w:w="876"/>
        <w:gridCol w:w="843"/>
      </w:tblGrid>
      <w:tr w14:paraId="736E60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4" w:hRule="exact"/>
          <w:jc w:val="center"/>
        </w:trPr>
        <w:tc>
          <w:tcPr>
            <w:tcW w:w="877" w:type="dxa"/>
            <w:vAlign w:val="center"/>
          </w:tcPr>
          <w:p w14:paraId="53B799D9">
            <w:pPr>
              <w:widowControl/>
              <w:shd w:val="clear"/>
              <w:spacing w:line="500" w:lineRule="exact"/>
              <w:jc w:val="center"/>
              <w:rPr>
                <w:color w:val="auto"/>
                <w:kern w:val="2"/>
                <w:sz w:val="24"/>
                <w:szCs w:val="22"/>
                <w:highlight w:val="none"/>
              </w:rPr>
            </w:pPr>
            <w:r>
              <w:rPr>
                <w:rFonts w:hint="eastAsia"/>
                <w:color w:val="auto"/>
                <w:kern w:val="2"/>
                <w:sz w:val="24"/>
                <w:szCs w:val="22"/>
                <w:highlight w:val="none"/>
              </w:rPr>
              <w:t>序号</w:t>
            </w:r>
          </w:p>
        </w:tc>
        <w:tc>
          <w:tcPr>
            <w:tcW w:w="1275" w:type="dxa"/>
            <w:vAlign w:val="center"/>
          </w:tcPr>
          <w:p w14:paraId="647601D1">
            <w:pPr>
              <w:widowControl/>
              <w:shd w:val="clear"/>
              <w:spacing w:line="500" w:lineRule="exact"/>
              <w:jc w:val="center"/>
              <w:rPr>
                <w:color w:val="auto"/>
                <w:kern w:val="2"/>
                <w:sz w:val="24"/>
                <w:szCs w:val="22"/>
                <w:highlight w:val="none"/>
              </w:rPr>
            </w:pPr>
            <w:r>
              <w:rPr>
                <w:rFonts w:hint="eastAsia"/>
                <w:color w:val="auto"/>
                <w:kern w:val="2"/>
                <w:sz w:val="24"/>
                <w:szCs w:val="22"/>
                <w:highlight w:val="none"/>
              </w:rPr>
              <w:t>产品名称</w:t>
            </w:r>
          </w:p>
        </w:tc>
        <w:tc>
          <w:tcPr>
            <w:tcW w:w="1519" w:type="dxa"/>
            <w:vAlign w:val="center"/>
          </w:tcPr>
          <w:p w14:paraId="720CA4AC">
            <w:pPr>
              <w:widowControl/>
              <w:shd w:val="clear"/>
              <w:spacing w:line="500" w:lineRule="exact"/>
              <w:jc w:val="center"/>
              <w:rPr>
                <w:color w:val="auto"/>
                <w:kern w:val="2"/>
                <w:sz w:val="24"/>
                <w:szCs w:val="22"/>
                <w:highlight w:val="none"/>
              </w:rPr>
            </w:pPr>
            <w:r>
              <w:rPr>
                <w:rFonts w:hint="eastAsia"/>
                <w:color w:val="auto"/>
                <w:kern w:val="2"/>
                <w:sz w:val="24"/>
                <w:szCs w:val="22"/>
                <w:highlight w:val="none"/>
              </w:rPr>
              <w:t>规格型号</w:t>
            </w:r>
          </w:p>
        </w:tc>
        <w:tc>
          <w:tcPr>
            <w:tcW w:w="888" w:type="dxa"/>
            <w:vAlign w:val="center"/>
          </w:tcPr>
          <w:p w14:paraId="1CCADBC9">
            <w:pPr>
              <w:widowControl/>
              <w:shd w:val="clear"/>
              <w:spacing w:line="500" w:lineRule="exact"/>
              <w:jc w:val="center"/>
              <w:rPr>
                <w:color w:val="auto"/>
                <w:kern w:val="2"/>
                <w:sz w:val="24"/>
                <w:szCs w:val="22"/>
                <w:highlight w:val="none"/>
              </w:rPr>
            </w:pPr>
            <w:r>
              <w:rPr>
                <w:rFonts w:hint="eastAsia"/>
                <w:color w:val="auto"/>
                <w:kern w:val="2"/>
                <w:sz w:val="24"/>
                <w:szCs w:val="22"/>
                <w:highlight w:val="none"/>
              </w:rPr>
              <w:t>品牌</w:t>
            </w:r>
          </w:p>
        </w:tc>
        <w:tc>
          <w:tcPr>
            <w:tcW w:w="957" w:type="dxa"/>
            <w:vAlign w:val="center"/>
          </w:tcPr>
          <w:p w14:paraId="7A9B6A36">
            <w:pPr>
              <w:widowControl/>
              <w:shd w:val="clear"/>
              <w:spacing w:line="500" w:lineRule="exact"/>
              <w:jc w:val="center"/>
              <w:rPr>
                <w:color w:val="auto"/>
                <w:kern w:val="2"/>
                <w:sz w:val="24"/>
                <w:szCs w:val="22"/>
                <w:highlight w:val="none"/>
              </w:rPr>
            </w:pPr>
            <w:r>
              <w:rPr>
                <w:rFonts w:hint="eastAsia"/>
                <w:color w:val="auto"/>
                <w:kern w:val="2"/>
                <w:sz w:val="24"/>
                <w:szCs w:val="22"/>
                <w:highlight w:val="none"/>
              </w:rPr>
              <w:t>单位</w:t>
            </w:r>
          </w:p>
        </w:tc>
        <w:tc>
          <w:tcPr>
            <w:tcW w:w="840" w:type="dxa"/>
            <w:vAlign w:val="center"/>
          </w:tcPr>
          <w:p w14:paraId="00D21894">
            <w:pPr>
              <w:widowControl/>
              <w:shd w:val="clear"/>
              <w:spacing w:line="500" w:lineRule="exact"/>
              <w:jc w:val="center"/>
              <w:rPr>
                <w:color w:val="auto"/>
                <w:kern w:val="2"/>
                <w:sz w:val="24"/>
                <w:szCs w:val="22"/>
                <w:highlight w:val="none"/>
              </w:rPr>
            </w:pPr>
            <w:r>
              <w:rPr>
                <w:rFonts w:hint="eastAsia"/>
                <w:color w:val="auto"/>
                <w:kern w:val="2"/>
                <w:sz w:val="24"/>
                <w:szCs w:val="22"/>
                <w:highlight w:val="none"/>
              </w:rPr>
              <w:t>数量</w:t>
            </w:r>
          </w:p>
        </w:tc>
        <w:tc>
          <w:tcPr>
            <w:tcW w:w="841" w:type="dxa"/>
            <w:vAlign w:val="center"/>
          </w:tcPr>
          <w:p w14:paraId="3274CA9F">
            <w:pPr>
              <w:widowControl/>
              <w:shd w:val="clear"/>
              <w:spacing w:line="500" w:lineRule="exact"/>
              <w:jc w:val="center"/>
              <w:rPr>
                <w:color w:val="auto"/>
                <w:kern w:val="2"/>
                <w:sz w:val="24"/>
                <w:szCs w:val="22"/>
                <w:highlight w:val="none"/>
              </w:rPr>
            </w:pPr>
            <w:r>
              <w:rPr>
                <w:rFonts w:hint="eastAsia"/>
                <w:color w:val="auto"/>
                <w:kern w:val="2"/>
                <w:sz w:val="24"/>
                <w:szCs w:val="22"/>
                <w:highlight w:val="none"/>
              </w:rPr>
              <w:t>单价</w:t>
            </w:r>
          </w:p>
        </w:tc>
        <w:tc>
          <w:tcPr>
            <w:tcW w:w="876" w:type="dxa"/>
            <w:vAlign w:val="center"/>
          </w:tcPr>
          <w:p w14:paraId="144D6DCF">
            <w:pPr>
              <w:widowControl/>
              <w:shd w:val="clear"/>
              <w:spacing w:line="500" w:lineRule="exact"/>
              <w:jc w:val="center"/>
              <w:rPr>
                <w:color w:val="auto"/>
                <w:kern w:val="2"/>
                <w:sz w:val="24"/>
                <w:szCs w:val="22"/>
                <w:highlight w:val="none"/>
              </w:rPr>
            </w:pPr>
            <w:r>
              <w:rPr>
                <w:rFonts w:hint="eastAsia"/>
                <w:color w:val="auto"/>
                <w:kern w:val="2"/>
                <w:sz w:val="24"/>
                <w:szCs w:val="22"/>
                <w:highlight w:val="none"/>
              </w:rPr>
              <w:t>金额</w:t>
            </w:r>
          </w:p>
        </w:tc>
        <w:tc>
          <w:tcPr>
            <w:tcW w:w="843" w:type="dxa"/>
            <w:vAlign w:val="center"/>
          </w:tcPr>
          <w:p w14:paraId="49626438">
            <w:pPr>
              <w:widowControl/>
              <w:shd w:val="clear"/>
              <w:spacing w:line="500" w:lineRule="exact"/>
              <w:jc w:val="center"/>
              <w:rPr>
                <w:color w:val="auto"/>
                <w:kern w:val="2"/>
                <w:sz w:val="24"/>
                <w:szCs w:val="22"/>
                <w:highlight w:val="none"/>
              </w:rPr>
            </w:pPr>
            <w:r>
              <w:rPr>
                <w:rFonts w:hint="eastAsia"/>
                <w:color w:val="auto"/>
                <w:kern w:val="2"/>
                <w:sz w:val="24"/>
                <w:szCs w:val="22"/>
                <w:highlight w:val="none"/>
              </w:rPr>
              <w:t>备注</w:t>
            </w:r>
          </w:p>
        </w:tc>
      </w:tr>
      <w:tr w14:paraId="3532ED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0" w:hRule="atLeast"/>
          <w:jc w:val="center"/>
        </w:trPr>
        <w:tc>
          <w:tcPr>
            <w:tcW w:w="877" w:type="dxa"/>
            <w:vAlign w:val="center"/>
          </w:tcPr>
          <w:p w14:paraId="4777396D">
            <w:pPr>
              <w:widowControl/>
              <w:shd w:val="clear"/>
              <w:spacing w:line="500" w:lineRule="exact"/>
              <w:ind w:firstLine="470" w:firstLineChars="196"/>
              <w:jc w:val="left"/>
              <w:rPr>
                <w:color w:val="auto"/>
                <w:kern w:val="2"/>
                <w:sz w:val="24"/>
                <w:szCs w:val="22"/>
                <w:highlight w:val="none"/>
              </w:rPr>
            </w:pPr>
          </w:p>
        </w:tc>
        <w:tc>
          <w:tcPr>
            <w:tcW w:w="1275" w:type="dxa"/>
            <w:vAlign w:val="center"/>
          </w:tcPr>
          <w:p w14:paraId="1CAA98EE">
            <w:pPr>
              <w:widowControl/>
              <w:shd w:val="clear"/>
              <w:spacing w:line="500" w:lineRule="exact"/>
              <w:ind w:firstLine="470" w:firstLineChars="196"/>
              <w:jc w:val="left"/>
              <w:rPr>
                <w:color w:val="auto"/>
                <w:kern w:val="2"/>
                <w:sz w:val="24"/>
                <w:szCs w:val="22"/>
                <w:highlight w:val="none"/>
              </w:rPr>
            </w:pPr>
          </w:p>
        </w:tc>
        <w:tc>
          <w:tcPr>
            <w:tcW w:w="1519" w:type="dxa"/>
            <w:vAlign w:val="center"/>
          </w:tcPr>
          <w:p w14:paraId="477FFF07">
            <w:pPr>
              <w:widowControl/>
              <w:shd w:val="clear"/>
              <w:spacing w:line="500" w:lineRule="exact"/>
              <w:ind w:firstLine="470" w:firstLineChars="196"/>
              <w:jc w:val="left"/>
              <w:rPr>
                <w:color w:val="auto"/>
                <w:kern w:val="2"/>
                <w:sz w:val="24"/>
                <w:szCs w:val="22"/>
                <w:highlight w:val="none"/>
              </w:rPr>
            </w:pPr>
          </w:p>
        </w:tc>
        <w:tc>
          <w:tcPr>
            <w:tcW w:w="888" w:type="dxa"/>
            <w:vAlign w:val="center"/>
          </w:tcPr>
          <w:p w14:paraId="2EC0A153">
            <w:pPr>
              <w:widowControl/>
              <w:shd w:val="clear"/>
              <w:spacing w:line="500" w:lineRule="exact"/>
              <w:ind w:firstLine="470" w:firstLineChars="196"/>
              <w:jc w:val="left"/>
              <w:rPr>
                <w:color w:val="auto"/>
                <w:kern w:val="2"/>
                <w:sz w:val="24"/>
                <w:szCs w:val="22"/>
                <w:highlight w:val="none"/>
              </w:rPr>
            </w:pPr>
          </w:p>
        </w:tc>
        <w:tc>
          <w:tcPr>
            <w:tcW w:w="957" w:type="dxa"/>
            <w:vAlign w:val="center"/>
          </w:tcPr>
          <w:p w14:paraId="0A0ABAA6">
            <w:pPr>
              <w:widowControl/>
              <w:shd w:val="clear"/>
              <w:spacing w:line="500" w:lineRule="exact"/>
              <w:ind w:firstLine="470" w:firstLineChars="196"/>
              <w:jc w:val="left"/>
              <w:rPr>
                <w:color w:val="auto"/>
                <w:kern w:val="2"/>
                <w:sz w:val="24"/>
                <w:szCs w:val="22"/>
                <w:highlight w:val="none"/>
              </w:rPr>
            </w:pPr>
          </w:p>
        </w:tc>
        <w:tc>
          <w:tcPr>
            <w:tcW w:w="840" w:type="dxa"/>
            <w:vAlign w:val="center"/>
          </w:tcPr>
          <w:p w14:paraId="32FBAFAD">
            <w:pPr>
              <w:widowControl/>
              <w:shd w:val="clear"/>
              <w:spacing w:line="500" w:lineRule="exact"/>
              <w:ind w:firstLine="470" w:firstLineChars="196"/>
              <w:jc w:val="left"/>
              <w:rPr>
                <w:color w:val="auto"/>
                <w:kern w:val="2"/>
                <w:sz w:val="24"/>
                <w:szCs w:val="22"/>
                <w:highlight w:val="none"/>
              </w:rPr>
            </w:pPr>
          </w:p>
        </w:tc>
        <w:tc>
          <w:tcPr>
            <w:tcW w:w="841" w:type="dxa"/>
            <w:vAlign w:val="center"/>
          </w:tcPr>
          <w:p w14:paraId="7180F72F">
            <w:pPr>
              <w:widowControl/>
              <w:shd w:val="clear"/>
              <w:spacing w:line="500" w:lineRule="exact"/>
              <w:ind w:firstLine="470" w:firstLineChars="196"/>
              <w:jc w:val="left"/>
              <w:rPr>
                <w:color w:val="auto"/>
                <w:kern w:val="2"/>
                <w:sz w:val="24"/>
                <w:szCs w:val="22"/>
                <w:highlight w:val="none"/>
              </w:rPr>
            </w:pPr>
          </w:p>
        </w:tc>
        <w:tc>
          <w:tcPr>
            <w:tcW w:w="876" w:type="dxa"/>
            <w:vAlign w:val="center"/>
          </w:tcPr>
          <w:p w14:paraId="1007984A">
            <w:pPr>
              <w:widowControl/>
              <w:shd w:val="clear"/>
              <w:spacing w:line="500" w:lineRule="exact"/>
              <w:ind w:firstLine="470" w:firstLineChars="196"/>
              <w:jc w:val="left"/>
              <w:rPr>
                <w:color w:val="auto"/>
                <w:kern w:val="2"/>
                <w:sz w:val="24"/>
                <w:szCs w:val="22"/>
                <w:highlight w:val="none"/>
              </w:rPr>
            </w:pPr>
          </w:p>
        </w:tc>
        <w:tc>
          <w:tcPr>
            <w:tcW w:w="843" w:type="dxa"/>
            <w:vAlign w:val="center"/>
          </w:tcPr>
          <w:p w14:paraId="422243EF">
            <w:pPr>
              <w:widowControl/>
              <w:shd w:val="clear"/>
              <w:spacing w:line="500" w:lineRule="exact"/>
              <w:ind w:firstLine="470" w:firstLineChars="196"/>
              <w:jc w:val="left"/>
              <w:rPr>
                <w:color w:val="auto"/>
                <w:kern w:val="2"/>
                <w:sz w:val="24"/>
                <w:szCs w:val="22"/>
                <w:highlight w:val="none"/>
              </w:rPr>
            </w:pPr>
          </w:p>
        </w:tc>
      </w:tr>
      <w:tr w14:paraId="3342EF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0" w:hRule="atLeast"/>
          <w:jc w:val="center"/>
        </w:trPr>
        <w:tc>
          <w:tcPr>
            <w:tcW w:w="877" w:type="dxa"/>
            <w:vAlign w:val="center"/>
          </w:tcPr>
          <w:p w14:paraId="5AB815CF">
            <w:pPr>
              <w:widowControl/>
              <w:shd w:val="clear"/>
              <w:spacing w:line="500" w:lineRule="exact"/>
              <w:ind w:firstLine="470" w:firstLineChars="196"/>
              <w:jc w:val="left"/>
              <w:rPr>
                <w:color w:val="auto"/>
                <w:kern w:val="2"/>
                <w:sz w:val="24"/>
                <w:szCs w:val="22"/>
                <w:highlight w:val="none"/>
              </w:rPr>
            </w:pPr>
          </w:p>
        </w:tc>
        <w:tc>
          <w:tcPr>
            <w:tcW w:w="1275" w:type="dxa"/>
            <w:vAlign w:val="center"/>
          </w:tcPr>
          <w:p w14:paraId="08FD37F4">
            <w:pPr>
              <w:widowControl/>
              <w:shd w:val="clear"/>
              <w:spacing w:line="500" w:lineRule="exact"/>
              <w:ind w:firstLine="470" w:firstLineChars="196"/>
              <w:jc w:val="left"/>
              <w:rPr>
                <w:color w:val="auto"/>
                <w:kern w:val="2"/>
                <w:sz w:val="24"/>
                <w:szCs w:val="22"/>
                <w:highlight w:val="none"/>
              </w:rPr>
            </w:pPr>
          </w:p>
        </w:tc>
        <w:tc>
          <w:tcPr>
            <w:tcW w:w="1519" w:type="dxa"/>
            <w:vAlign w:val="center"/>
          </w:tcPr>
          <w:p w14:paraId="6E84544D">
            <w:pPr>
              <w:widowControl/>
              <w:shd w:val="clear"/>
              <w:spacing w:line="500" w:lineRule="exact"/>
              <w:ind w:firstLine="470" w:firstLineChars="196"/>
              <w:jc w:val="left"/>
              <w:rPr>
                <w:color w:val="auto"/>
                <w:kern w:val="2"/>
                <w:sz w:val="24"/>
                <w:szCs w:val="22"/>
                <w:highlight w:val="none"/>
              </w:rPr>
            </w:pPr>
          </w:p>
        </w:tc>
        <w:tc>
          <w:tcPr>
            <w:tcW w:w="888" w:type="dxa"/>
            <w:vAlign w:val="center"/>
          </w:tcPr>
          <w:p w14:paraId="698BB5CA">
            <w:pPr>
              <w:widowControl/>
              <w:shd w:val="clear"/>
              <w:spacing w:line="500" w:lineRule="exact"/>
              <w:ind w:firstLine="470" w:firstLineChars="196"/>
              <w:jc w:val="left"/>
              <w:rPr>
                <w:color w:val="auto"/>
                <w:kern w:val="2"/>
                <w:sz w:val="24"/>
                <w:szCs w:val="22"/>
                <w:highlight w:val="none"/>
              </w:rPr>
            </w:pPr>
          </w:p>
        </w:tc>
        <w:tc>
          <w:tcPr>
            <w:tcW w:w="957" w:type="dxa"/>
            <w:vAlign w:val="center"/>
          </w:tcPr>
          <w:p w14:paraId="6525B6EF">
            <w:pPr>
              <w:widowControl/>
              <w:shd w:val="clear"/>
              <w:spacing w:line="500" w:lineRule="exact"/>
              <w:ind w:firstLine="470" w:firstLineChars="196"/>
              <w:jc w:val="left"/>
              <w:rPr>
                <w:color w:val="auto"/>
                <w:kern w:val="2"/>
                <w:sz w:val="24"/>
                <w:szCs w:val="22"/>
                <w:highlight w:val="none"/>
              </w:rPr>
            </w:pPr>
          </w:p>
        </w:tc>
        <w:tc>
          <w:tcPr>
            <w:tcW w:w="840" w:type="dxa"/>
            <w:vAlign w:val="center"/>
          </w:tcPr>
          <w:p w14:paraId="606FCD89">
            <w:pPr>
              <w:widowControl/>
              <w:shd w:val="clear"/>
              <w:spacing w:line="500" w:lineRule="exact"/>
              <w:ind w:firstLine="470" w:firstLineChars="196"/>
              <w:jc w:val="left"/>
              <w:rPr>
                <w:color w:val="auto"/>
                <w:kern w:val="2"/>
                <w:sz w:val="24"/>
                <w:szCs w:val="22"/>
                <w:highlight w:val="none"/>
              </w:rPr>
            </w:pPr>
          </w:p>
        </w:tc>
        <w:tc>
          <w:tcPr>
            <w:tcW w:w="841" w:type="dxa"/>
            <w:vAlign w:val="center"/>
          </w:tcPr>
          <w:p w14:paraId="264FEC96">
            <w:pPr>
              <w:widowControl/>
              <w:shd w:val="clear"/>
              <w:spacing w:line="500" w:lineRule="exact"/>
              <w:ind w:firstLine="470" w:firstLineChars="196"/>
              <w:jc w:val="left"/>
              <w:rPr>
                <w:color w:val="auto"/>
                <w:kern w:val="2"/>
                <w:sz w:val="24"/>
                <w:szCs w:val="22"/>
                <w:highlight w:val="none"/>
              </w:rPr>
            </w:pPr>
          </w:p>
        </w:tc>
        <w:tc>
          <w:tcPr>
            <w:tcW w:w="876" w:type="dxa"/>
            <w:vAlign w:val="center"/>
          </w:tcPr>
          <w:p w14:paraId="5C05AF7B">
            <w:pPr>
              <w:widowControl/>
              <w:shd w:val="clear"/>
              <w:spacing w:line="500" w:lineRule="exact"/>
              <w:ind w:firstLine="470" w:firstLineChars="196"/>
              <w:jc w:val="left"/>
              <w:rPr>
                <w:color w:val="auto"/>
                <w:kern w:val="2"/>
                <w:sz w:val="24"/>
                <w:szCs w:val="22"/>
                <w:highlight w:val="none"/>
              </w:rPr>
            </w:pPr>
          </w:p>
        </w:tc>
        <w:tc>
          <w:tcPr>
            <w:tcW w:w="843" w:type="dxa"/>
            <w:vAlign w:val="center"/>
          </w:tcPr>
          <w:p w14:paraId="6B7C2443">
            <w:pPr>
              <w:widowControl/>
              <w:shd w:val="clear"/>
              <w:spacing w:line="500" w:lineRule="exact"/>
              <w:ind w:firstLine="470" w:firstLineChars="196"/>
              <w:jc w:val="left"/>
              <w:rPr>
                <w:color w:val="auto"/>
                <w:kern w:val="2"/>
                <w:sz w:val="24"/>
                <w:szCs w:val="22"/>
                <w:highlight w:val="none"/>
              </w:rPr>
            </w:pPr>
          </w:p>
        </w:tc>
      </w:tr>
      <w:tr w14:paraId="239DAE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0" w:hRule="atLeast"/>
          <w:jc w:val="center"/>
        </w:trPr>
        <w:tc>
          <w:tcPr>
            <w:tcW w:w="877" w:type="dxa"/>
            <w:vAlign w:val="center"/>
          </w:tcPr>
          <w:p w14:paraId="7AB4BD1E">
            <w:pPr>
              <w:widowControl/>
              <w:shd w:val="clear"/>
              <w:spacing w:line="500" w:lineRule="exact"/>
              <w:ind w:firstLine="470" w:firstLineChars="196"/>
              <w:jc w:val="left"/>
              <w:rPr>
                <w:color w:val="auto"/>
                <w:kern w:val="2"/>
                <w:sz w:val="24"/>
                <w:szCs w:val="22"/>
                <w:highlight w:val="none"/>
              </w:rPr>
            </w:pPr>
          </w:p>
        </w:tc>
        <w:tc>
          <w:tcPr>
            <w:tcW w:w="1275" w:type="dxa"/>
            <w:vAlign w:val="center"/>
          </w:tcPr>
          <w:p w14:paraId="6E1E478E">
            <w:pPr>
              <w:widowControl/>
              <w:shd w:val="clear"/>
              <w:spacing w:line="500" w:lineRule="exact"/>
              <w:ind w:firstLine="470" w:firstLineChars="196"/>
              <w:jc w:val="left"/>
              <w:rPr>
                <w:color w:val="auto"/>
                <w:kern w:val="2"/>
                <w:sz w:val="24"/>
                <w:szCs w:val="22"/>
                <w:highlight w:val="none"/>
              </w:rPr>
            </w:pPr>
          </w:p>
        </w:tc>
        <w:tc>
          <w:tcPr>
            <w:tcW w:w="1519" w:type="dxa"/>
            <w:vAlign w:val="center"/>
          </w:tcPr>
          <w:p w14:paraId="651DC2C0">
            <w:pPr>
              <w:widowControl/>
              <w:shd w:val="clear"/>
              <w:spacing w:line="500" w:lineRule="exact"/>
              <w:ind w:firstLine="470" w:firstLineChars="196"/>
              <w:jc w:val="left"/>
              <w:rPr>
                <w:color w:val="auto"/>
                <w:kern w:val="2"/>
                <w:sz w:val="24"/>
                <w:szCs w:val="22"/>
                <w:highlight w:val="none"/>
              </w:rPr>
            </w:pPr>
          </w:p>
        </w:tc>
        <w:tc>
          <w:tcPr>
            <w:tcW w:w="888" w:type="dxa"/>
            <w:vAlign w:val="center"/>
          </w:tcPr>
          <w:p w14:paraId="34874C15">
            <w:pPr>
              <w:widowControl/>
              <w:shd w:val="clear"/>
              <w:spacing w:line="500" w:lineRule="exact"/>
              <w:ind w:firstLine="470" w:firstLineChars="196"/>
              <w:jc w:val="left"/>
              <w:rPr>
                <w:color w:val="auto"/>
                <w:kern w:val="2"/>
                <w:sz w:val="24"/>
                <w:szCs w:val="22"/>
                <w:highlight w:val="none"/>
              </w:rPr>
            </w:pPr>
          </w:p>
        </w:tc>
        <w:tc>
          <w:tcPr>
            <w:tcW w:w="957" w:type="dxa"/>
            <w:vAlign w:val="center"/>
          </w:tcPr>
          <w:p w14:paraId="656AA2C3">
            <w:pPr>
              <w:widowControl/>
              <w:shd w:val="clear"/>
              <w:spacing w:line="500" w:lineRule="exact"/>
              <w:ind w:firstLine="470" w:firstLineChars="196"/>
              <w:jc w:val="left"/>
              <w:rPr>
                <w:color w:val="auto"/>
                <w:kern w:val="2"/>
                <w:sz w:val="24"/>
                <w:szCs w:val="22"/>
                <w:highlight w:val="none"/>
              </w:rPr>
            </w:pPr>
          </w:p>
        </w:tc>
        <w:tc>
          <w:tcPr>
            <w:tcW w:w="840" w:type="dxa"/>
            <w:vAlign w:val="center"/>
          </w:tcPr>
          <w:p w14:paraId="46DE527E">
            <w:pPr>
              <w:widowControl/>
              <w:shd w:val="clear"/>
              <w:spacing w:line="500" w:lineRule="exact"/>
              <w:ind w:firstLine="470" w:firstLineChars="196"/>
              <w:jc w:val="left"/>
              <w:rPr>
                <w:color w:val="auto"/>
                <w:kern w:val="2"/>
                <w:sz w:val="24"/>
                <w:szCs w:val="22"/>
                <w:highlight w:val="none"/>
              </w:rPr>
            </w:pPr>
          </w:p>
        </w:tc>
        <w:tc>
          <w:tcPr>
            <w:tcW w:w="841" w:type="dxa"/>
            <w:vAlign w:val="center"/>
          </w:tcPr>
          <w:p w14:paraId="7ED5CE60">
            <w:pPr>
              <w:widowControl/>
              <w:shd w:val="clear"/>
              <w:spacing w:line="500" w:lineRule="exact"/>
              <w:ind w:firstLine="470" w:firstLineChars="196"/>
              <w:jc w:val="left"/>
              <w:rPr>
                <w:color w:val="auto"/>
                <w:kern w:val="2"/>
                <w:sz w:val="24"/>
                <w:szCs w:val="22"/>
                <w:highlight w:val="none"/>
              </w:rPr>
            </w:pPr>
          </w:p>
        </w:tc>
        <w:tc>
          <w:tcPr>
            <w:tcW w:w="876" w:type="dxa"/>
            <w:vAlign w:val="center"/>
          </w:tcPr>
          <w:p w14:paraId="7FE6A168">
            <w:pPr>
              <w:widowControl/>
              <w:shd w:val="clear"/>
              <w:spacing w:line="500" w:lineRule="exact"/>
              <w:ind w:firstLine="470" w:firstLineChars="196"/>
              <w:jc w:val="left"/>
              <w:rPr>
                <w:color w:val="auto"/>
                <w:kern w:val="2"/>
                <w:sz w:val="24"/>
                <w:szCs w:val="22"/>
                <w:highlight w:val="none"/>
              </w:rPr>
            </w:pPr>
          </w:p>
        </w:tc>
        <w:tc>
          <w:tcPr>
            <w:tcW w:w="843" w:type="dxa"/>
            <w:vAlign w:val="center"/>
          </w:tcPr>
          <w:p w14:paraId="5639FB09">
            <w:pPr>
              <w:widowControl/>
              <w:shd w:val="clear"/>
              <w:spacing w:line="500" w:lineRule="exact"/>
              <w:ind w:firstLine="470" w:firstLineChars="196"/>
              <w:jc w:val="left"/>
              <w:rPr>
                <w:color w:val="auto"/>
                <w:kern w:val="2"/>
                <w:sz w:val="24"/>
                <w:szCs w:val="22"/>
                <w:highlight w:val="none"/>
              </w:rPr>
            </w:pPr>
          </w:p>
        </w:tc>
      </w:tr>
      <w:tr w14:paraId="12ACEB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0" w:hRule="atLeast"/>
          <w:jc w:val="center"/>
        </w:trPr>
        <w:tc>
          <w:tcPr>
            <w:tcW w:w="877" w:type="dxa"/>
            <w:tcBorders>
              <w:left w:val="single" w:color="auto" w:sz="4" w:space="0"/>
            </w:tcBorders>
            <w:vAlign w:val="center"/>
          </w:tcPr>
          <w:p w14:paraId="4A1C4084">
            <w:pPr>
              <w:widowControl/>
              <w:shd w:val="clear"/>
              <w:spacing w:line="500" w:lineRule="exact"/>
              <w:ind w:firstLine="470" w:firstLineChars="196"/>
              <w:jc w:val="left"/>
              <w:rPr>
                <w:color w:val="auto"/>
                <w:kern w:val="2"/>
                <w:sz w:val="24"/>
                <w:szCs w:val="22"/>
                <w:highlight w:val="none"/>
              </w:rPr>
            </w:pPr>
          </w:p>
        </w:tc>
        <w:tc>
          <w:tcPr>
            <w:tcW w:w="1275" w:type="dxa"/>
            <w:vAlign w:val="center"/>
          </w:tcPr>
          <w:p w14:paraId="313FA4C5">
            <w:pPr>
              <w:widowControl/>
              <w:shd w:val="clear"/>
              <w:spacing w:line="500" w:lineRule="exact"/>
              <w:ind w:firstLine="470" w:firstLineChars="196"/>
              <w:jc w:val="left"/>
              <w:rPr>
                <w:color w:val="auto"/>
                <w:kern w:val="2"/>
                <w:sz w:val="24"/>
                <w:szCs w:val="22"/>
                <w:highlight w:val="none"/>
              </w:rPr>
            </w:pPr>
          </w:p>
        </w:tc>
        <w:tc>
          <w:tcPr>
            <w:tcW w:w="1519" w:type="dxa"/>
            <w:vAlign w:val="center"/>
          </w:tcPr>
          <w:p w14:paraId="7F6D9970">
            <w:pPr>
              <w:widowControl/>
              <w:shd w:val="clear"/>
              <w:spacing w:line="500" w:lineRule="exact"/>
              <w:ind w:firstLine="470" w:firstLineChars="196"/>
              <w:jc w:val="left"/>
              <w:rPr>
                <w:color w:val="auto"/>
                <w:kern w:val="2"/>
                <w:sz w:val="24"/>
                <w:szCs w:val="22"/>
                <w:highlight w:val="none"/>
              </w:rPr>
            </w:pPr>
          </w:p>
        </w:tc>
        <w:tc>
          <w:tcPr>
            <w:tcW w:w="888" w:type="dxa"/>
            <w:vAlign w:val="center"/>
          </w:tcPr>
          <w:p w14:paraId="012F6E97">
            <w:pPr>
              <w:widowControl/>
              <w:shd w:val="clear"/>
              <w:spacing w:line="500" w:lineRule="exact"/>
              <w:ind w:firstLine="470" w:firstLineChars="196"/>
              <w:jc w:val="left"/>
              <w:rPr>
                <w:color w:val="auto"/>
                <w:kern w:val="2"/>
                <w:sz w:val="24"/>
                <w:szCs w:val="22"/>
                <w:highlight w:val="none"/>
              </w:rPr>
            </w:pPr>
          </w:p>
        </w:tc>
        <w:tc>
          <w:tcPr>
            <w:tcW w:w="957" w:type="dxa"/>
            <w:vAlign w:val="center"/>
          </w:tcPr>
          <w:p w14:paraId="501C20A5">
            <w:pPr>
              <w:widowControl/>
              <w:shd w:val="clear"/>
              <w:spacing w:line="500" w:lineRule="exact"/>
              <w:ind w:firstLine="470" w:firstLineChars="196"/>
              <w:jc w:val="left"/>
              <w:rPr>
                <w:color w:val="auto"/>
                <w:kern w:val="2"/>
                <w:sz w:val="24"/>
                <w:szCs w:val="22"/>
                <w:highlight w:val="none"/>
              </w:rPr>
            </w:pPr>
          </w:p>
        </w:tc>
        <w:tc>
          <w:tcPr>
            <w:tcW w:w="840" w:type="dxa"/>
            <w:vAlign w:val="center"/>
          </w:tcPr>
          <w:p w14:paraId="5595BF1C">
            <w:pPr>
              <w:widowControl/>
              <w:shd w:val="clear"/>
              <w:spacing w:line="500" w:lineRule="exact"/>
              <w:ind w:firstLine="470" w:firstLineChars="196"/>
              <w:jc w:val="left"/>
              <w:rPr>
                <w:color w:val="auto"/>
                <w:kern w:val="2"/>
                <w:sz w:val="24"/>
                <w:szCs w:val="22"/>
                <w:highlight w:val="none"/>
              </w:rPr>
            </w:pPr>
          </w:p>
        </w:tc>
        <w:tc>
          <w:tcPr>
            <w:tcW w:w="841" w:type="dxa"/>
            <w:vAlign w:val="center"/>
          </w:tcPr>
          <w:p w14:paraId="62DF8D37">
            <w:pPr>
              <w:widowControl/>
              <w:shd w:val="clear"/>
              <w:spacing w:line="500" w:lineRule="exact"/>
              <w:ind w:firstLine="470" w:firstLineChars="196"/>
              <w:jc w:val="left"/>
              <w:rPr>
                <w:color w:val="auto"/>
                <w:kern w:val="2"/>
                <w:sz w:val="24"/>
                <w:szCs w:val="22"/>
                <w:highlight w:val="none"/>
              </w:rPr>
            </w:pPr>
          </w:p>
        </w:tc>
        <w:tc>
          <w:tcPr>
            <w:tcW w:w="876" w:type="dxa"/>
            <w:vAlign w:val="center"/>
          </w:tcPr>
          <w:p w14:paraId="54ADF139">
            <w:pPr>
              <w:widowControl/>
              <w:shd w:val="clear"/>
              <w:spacing w:line="500" w:lineRule="exact"/>
              <w:ind w:firstLine="470" w:firstLineChars="196"/>
              <w:jc w:val="left"/>
              <w:rPr>
                <w:color w:val="auto"/>
                <w:kern w:val="2"/>
                <w:sz w:val="24"/>
                <w:szCs w:val="22"/>
                <w:highlight w:val="none"/>
              </w:rPr>
            </w:pPr>
          </w:p>
        </w:tc>
        <w:tc>
          <w:tcPr>
            <w:tcW w:w="843" w:type="dxa"/>
            <w:vAlign w:val="center"/>
          </w:tcPr>
          <w:p w14:paraId="395F28B6">
            <w:pPr>
              <w:widowControl/>
              <w:shd w:val="clear"/>
              <w:spacing w:line="500" w:lineRule="exact"/>
              <w:ind w:firstLine="470" w:firstLineChars="196"/>
              <w:jc w:val="left"/>
              <w:rPr>
                <w:color w:val="auto"/>
                <w:kern w:val="2"/>
                <w:sz w:val="24"/>
                <w:szCs w:val="22"/>
                <w:highlight w:val="none"/>
              </w:rPr>
            </w:pPr>
          </w:p>
        </w:tc>
      </w:tr>
      <w:tr w14:paraId="02D8E3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0" w:hRule="atLeast"/>
          <w:jc w:val="center"/>
        </w:trPr>
        <w:tc>
          <w:tcPr>
            <w:tcW w:w="877" w:type="dxa"/>
            <w:vAlign w:val="center"/>
          </w:tcPr>
          <w:p w14:paraId="2EBE06B2">
            <w:pPr>
              <w:widowControl/>
              <w:shd w:val="clear"/>
              <w:spacing w:line="500" w:lineRule="exact"/>
              <w:ind w:firstLine="470" w:firstLineChars="196"/>
              <w:jc w:val="left"/>
              <w:rPr>
                <w:color w:val="auto"/>
                <w:kern w:val="2"/>
                <w:sz w:val="24"/>
                <w:szCs w:val="22"/>
                <w:highlight w:val="none"/>
              </w:rPr>
            </w:pPr>
          </w:p>
        </w:tc>
        <w:tc>
          <w:tcPr>
            <w:tcW w:w="1275" w:type="dxa"/>
            <w:vAlign w:val="center"/>
          </w:tcPr>
          <w:p w14:paraId="01D8EED6">
            <w:pPr>
              <w:widowControl/>
              <w:shd w:val="clear"/>
              <w:spacing w:line="500" w:lineRule="exact"/>
              <w:ind w:firstLine="470" w:firstLineChars="196"/>
              <w:jc w:val="left"/>
              <w:rPr>
                <w:color w:val="auto"/>
                <w:kern w:val="2"/>
                <w:sz w:val="24"/>
                <w:szCs w:val="22"/>
                <w:highlight w:val="none"/>
              </w:rPr>
            </w:pPr>
          </w:p>
        </w:tc>
        <w:tc>
          <w:tcPr>
            <w:tcW w:w="1519" w:type="dxa"/>
            <w:vAlign w:val="center"/>
          </w:tcPr>
          <w:p w14:paraId="7DD711BE">
            <w:pPr>
              <w:widowControl/>
              <w:shd w:val="clear"/>
              <w:spacing w:line="500" w:lineRule="exact"/>
              <w:ind w:firstLine="470" w:firstLineChars="196"/>
              <w:jc w:val="left"/>
              <w:rPr>
                <w:color w:val="auto"/>
                <w:kern w:val="2"/>
                <w:sz w:val="24"/>
                <w:szCs w:val="22"/>
                <w:highlight w:val="none"/>
              </w:rPr>
            </w:pPr>
          </w:p>
        </w:tc>
        <w:tc>
          <w:tcPr>
            <w:tcW w:w="888" w:type="dxa"/>
            <w:vAlign w:val="center"/>
          </w:tcPr>
          <w:p w14:paraId="0521CDC3">
            <w:pPr>
              <w:widowControl/>
              <w:shd w:val="clear"/>
              <w:spacing w:line="500" w:lineRule="exact"/>
              <w:ind w:firstLine="470" w:firstLineChars="196"/>
              <w:jc w:val="left"/>
              <w:rPr>
                <w:color w:val="auto"/>
                <w:kern w:val="2"/>
                <w:sz w:val="24"/>
                <w:szCs w:val="22"/>
                <w:highlight w:val="none"/>
              </w:rPr>
            </w:pPr>
          </w:p>
        </w:tc>
        <w:tc>
          <w:tcPr>
            <w:tcW w:w="957" w:type="dxa"/>
            <w:vAlign w:val="center"/>
          </w:tcPr>
          <w:p w14:paraId="5C03DBC2">
            <w:pPr>
              <w:widowControl/>
              <w:shd w:val="clear"/>
              <w:spacing w:line="500" w:lineRule="exact"/>
              <w:ind w:firstLine="470" w:firstLineChars="196"/>
              <w:jc w:val="left"/>
              <w:rPr>
                <w:color w:val="auto"/>
                <w:kern w:val="2"/>
                <w:sz w:val="24"/>
                <w:szCs w:val="22"/>
                <w:highlight w:val="none"/>
              </w:rPr>
            </w:pPr>
          </w:p>
        </w:tc>
        <w:tc>
          <w:tcPr>
            <w:tcW w:w="840" w:type="dxa"/>
            <w:vAlign w:val="center"/>
          </w:tcPr>
          <w:p w14:paraId="58BA177F">
            <w:pPr>
              <w:widowControl/>
              <w:shd w:val="clear"/>
              <w:spacing w:line="500" w:lineRule="exact"/>
              <w:ind w:firstLine="470" w:firstLineChars="196"/>
              <w:jc w:val="left"/>
              <w:rPr>
                <w:color w:val="auto"/>
                <w:kern w:val="2"/>
                <w:sz w:val="24"/>
                <w:szCs w:val="22"/>
                <w:highlight w:val="none"/>
              </w:rPr>
            </w:pPr>
          </w:p>
        </w:tc>
        <w:tc>
          <w:tcPr>
            <w:tcW w:w="841" w:type="dxa"/>
            <w:vAlign w:val="center"/>
          </w:tcPr>
          <w:p w14:paraId="73976D36">
            <w:pPr>
              <w:widowControl/>
              <w:shd w:val="clear"/>
              <w:spacing w:line="500" w:lineRule="exact"/>
              <w:ind w:firstLine="470" w:firstLineChars="196"/>
              <w:jc w:val="left"/>
              <w:rPr>
                <w:color w:val="auto"/>
                <w:kern w:val="2"/>
                <w:sz w:val="24"/>
                <w:szCs w:val="22"/>
                <w:highlight w:val="none"/>
              </w:rPr>
            </w:pPr>
          </w:p>
        </w:tc>
        <w:tc>
          <w:tcPr>
            <w:tcW w:w="876" w:type="dxa"/>
            <w:vAlign w:val="center"/>
          </w:tcPr>
          <w:p w14:paraId="5ACCF4B4">
            <w:pPr>
              <w:widowControl/>
              <w:shd w:val="clear"/>
              <w:spacing w:line="500" w:lineRule="exact"/>
              <w:ind w:firstLine="470" w:firstLineChars="196"/>
              <w:jc w:val="left"/>
              <w:rPr>
                <w:color w:val="auto"/>
                <w:kern w:val="2"/>
                <w:sz w:val="24"/>
                <w:szCs w:val="22"/>
                <w:highlight w:val="none"/>
              </w:rPr>
            </w:pPr>
          </w:p>
        </w:tc>
        <w:tc>
          <w:tcPr>
            <w:tcW w:w="843" w:type="dxa"/>
            <w:vAlign w:val="center"/>
          </w:tcPr>
          <w:p w14:paraId="2337BD45">
            <w:pPr>
              <w:widowControl/>
              <w:shd w:val="clear"/>
              <w:spacing w:line="500" w:lineRule="exact"/>
              <w:ind w:firstLine="470" w:firstLineChars="196"/>
              <w:jc w:val="left"/>
              <w:rPr>
                <w:color w:val="auto"/>
                <w:kern w:val="2"/>
                <w:sz w:val="24"/>
                <w:szCs w:val="22"/>
                <w:highlight w:val="none"/>
              </w:rPr>
            </w:pPr>
          </w:p>
        </w:tc>
      </w:tr>
      <w:tr w14:paraId="4EB1AE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0" w:hRule="atLeast"/>
          <w:jc w:val="center"/>
        </w:trPr>
        <w:tc>
          <w:tcPr>
            <w:tcW w:w="877" w:type="dxa"/>
            <w:vAlign w:val="center"/>
          </w:tcPr>
          <w:p w14:paraId="3939FFC6">
            <w:pPr>
              <w:widowControl/>
              <w:shd w:val="clear"/>
              <w:spacing w:line="500" w:lineRule="exact"/>
              <w:ind w:firstLine="470" w:firstLineChars="196"/>
              <w:jc w:val="left"/>
              <w:rPr>
                <w:color w:val="auto"/>
                <w:kern w:val="2"/>
                <w:sz w:val="24"/>
                <w:szCs w:val="22"/>
                <w:highlight w:val="none"/>
              </w:rPr>
            </w:pPr>
          </w:p>
        </w:tc>
        <w:tc>
          <w:tcPr>
            <w:tcW w:w="1275" w:type="dxa"/>
            <w:vAlign w:val="center"/>
          </w:tcPr>
          <w:p w14:paraId="70E552EB">
            <w:pPr>
              <w:widowControl/>
              <w:shd w:val="clear"/>
              <w:spacing w:line="500" w:lineRule="exact"/>
              <w:ind w:firstLine="470" w:firstLineChars="196"/>
              <w:jc w:val="left"/>
              <w:rPr>
                <w:color w:val="auto"/>
                <w:kern w:val="2"/>
                <w:sz w:val="24"/>
                <w:szCs w:val="22"/>
                <w:highlight w:val="none"/>
              </w:rPr>
            </w:pPr>
          </w:p>
        </w:tc>
        <w:tc>
          <w:tcPr>
            <w:tcW w:w="1519" w:type="dxa"/>
            <w:vAlign w:val="center"/>
          </w:tcPr>
          <w:p w14:paraId="6350E9A8">
            <w:pPr>
              <w:widowControl/>
              <w:shd w:val="clear"/>
              <w:spacing w:line="500" w:lineRule="exact"/>
              <w:ind w:firstLine="470" w:firstLineChars="196"/>
              <w:jc w:val="left"/>
              <w:rPr>
                <w:color w:val="auto"/>
                <w:kern w:val="2"/>
                <w:sz w:val="24"/>
                <w:szCs w:val="22"/>
                <w:highlight w:val="none"/>
              </w:rPr>
            </w:pPr>
          </w:p>
        </w:tc>
        <w:tc>
          <w:tcPr>
            <w:tcW w:w="888" w:type="dxa"/>
            <w:vAlign w:val="center"/>
          </w:tcPr>
          <w:p w14:paraId="375D8254">
            <w:pPr>
              <w:widowControl/>
              <w:shd w:val="clear"/>
              <w:spacing w:line="500" w:lineRule="exact"/>
              <w:ind w:firstLine="470" w:firstLineChars="196"/>
              <w:jc w:val="left"/>
              <w:rPr>
                <w:color w:val="auto"/>
                <w:kern w:val="2"/>
                <w:sz w:val="24"/>
                <w:szCs w:val="22"/>
                <w:highlight w:val="none"/>
              </w:rPr>
            </w:pPr>
          </w:p>
        </w:tc>
        <w:tc>
          <w:tcPr>
            <w:tcW w:w="957" w:type="dxa"/>
            <w:vAlign w:val="center"/>
          </w:tcPr>
          <w:p w14:paraId="2DB5CAC5">
            <w:pPr>
              <w:widowControl/>
              <w:shd w:val="clear"/>
              <w:spacing w:line="500" w:lineRule="exact"/>
              <w:ind w:firstLine="470" w:firstLineChars="196"/>
              <w:jc w:val="left"/>
              <w:rPr>
                <w:color w:val="auto"/>
                <w:kern w:val="2"/>
                <w:sz w:val="24"/>
                <w:szCs w:val="22"/>
                <w:highlight w:val="none"/>
              </w:rPr>
            </w:pPr>
          </w:p>
        </w:tc>
        <w:tc>
          <w:tcPr>
            <w:tcW w:w="840" w:type="dxa"/>
            <w:vAlign w:val="center"/>
          </w:tcPr>
          <w:p w14:paraId="00746E2E">
            <w:pPr>
              <w:widowControl/>
              <w:shd w:val="clear"/>
              <w:spacing w:line="500" w:lineRule="exact"/>
              <w:ind w:firstLine="470" w:firstLineChars="196"/>
              <w:jc w:val="left"/>
              <w:rPr>
                <w:color w:val="auto"/>
                <w:kern w:val="2"/>
                <w:sz w:val="24"/>
                <w:szCs w:val="22"/>
                <w:highlight w:val="none"/>
              </w:rPr>
            </w:pPr>
          </w:p>
        </w:tc>
        <w:tc>
          <w:tcPr>
            <w:tcW w:w="841" w:type="dxa"/>
            <w:vAlign w:val="center"/>
          </w:tcPr>
          <w:p w14:paraId="2446DB96">
            <w:pPr>
              <w:widowControl/>
              <w:shd w:val="clear"/>
              <w:spacing w:line="500" w:lineRule="exact"/>
              <w:ind w:firstLine="470" w:firstLineChars="196"/>
              <w:jc w:val="left"/>
              <w:rPr>
                <w:color w:val="auto"/>
                <w:kern w:val="2"/>
                <w:sz w:val="24"/>
                <w:szCs w:val="22"/>
                <w:highlight w:val="none"/>
              </w:rPr>
            </w:pPr>
          </w:p>
        </w:tc>
        <w:tc>
          <w:tcPr>
            <w:tcW w:w="876" w:type="dxa"/>
            <w:vAlign w:val="center"/>
          </w:tcPr>
          <w:p w14:paraId="5BC6C5BC">
            <w:pPr>
              <w:widowControl/>
              <w:shd w:val="clear"/>
              <w:spacing w:line="500" w:lineRule="exact"/>
              <w:ind w:firstLine="470" w:firstLineChars="196"/>
              <w:jc w:val="left"/>
              <w:rPr>
                <w:color w:val="auto"/>
                <w:kern w:val="2"/>
                <w:sz w:val="24"/>
                <w:szCs w:val="22"/>
                <w:highlight w:val="none"/>
              </w:rPr>
            </w:pPr>
          </w:p>
        </w:tc>
        <w:tc>
          <w:tcPr>
            <w:tcW w:w="843" w:type="dxa"/>
            <w:vAlign w:val="center"/>
          </w:tcPr>
          <w:p w14:paraId="4B60DAD0">
            <w:pPr>
              <w:widowControl/>
              <w:shd w:val="clear"/>
              <w:spacing w:line="500" w:lineRule="exact"/>
              <w:ind w:firstLine="470" w:firstLineChars="196"/>
              <w:jc w:val="left"/>
              <w:rPr>
                <w:color w:val="auto"/>
                <w:kern w:val="2"/>
                <w:sz w:val="24"/>
                <w:szCs w:val="22"/>
                <w:highlight w:val="none"/>
              </w:rPr>
            </w:pPr>
          </w:p>
        </w:tc>
      </w:tr>
      <w:tr w14:paraId="140BD2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0" w:hRule="atLeast"/>
          <w:jc w:val="center"/>
        </w:trPr>
        <w:tc>
          <w:tcPr>
            <w:tcW w:w="8916" w:type="dxa"/>
            <w:gridSpan w:val="9"/>
            <w:tcBorders>
              <w:top w:val="single" w:color="auto" w:sz="4" w:space="0"/>
              <w:bottom w:val="single" w:color="auto" w:sz="4" w:space="0"/>
            </w:tcBorders>
            <w:vAlign w:val="center"/>
          </w:tcPr>
          <w:p w14:paraId="22EBE20C">
            <w:pPr>
              <w:widowControl/>
              <w:shd w:val="clear"/>
              <w:spacing w:line="500" w:lineRule="exact"/>
              <w:ind w:firstLine="470" w:firstLineChars="196"/>
              <w:jc w:val="left"/>
              <w:rPr>
                <w:color w:val="auto"/>
                <w:kern w:val="2"/>
                <w:sz w:val="24"/>
                <w:szCs w:val="22"/>
                <w:highlight w:val="none"/>
              </w:rPr>
            </w:pPr>
            <w:r>
              <w:rPr>
                <w:rFonts w:hint="eastAsia"/>
                <w:color w:val="auto"/>
                <w:kern w:val="2"/>
                <w:sz w:val="24"/>
                <w:szCs w:val="22"/>
                <w:highlight w:val="none"/>
              </w:rPr>
              <w:t xml:space="preserve">分项报价合计（万元）：   </w:t>
            </w:r>
            <w:r>
              <w:rPr>
                <w:rFonts w:hint="eastAsia"/>
                <w:color w:val="auto"/>
                <w:kern w:val="2"/>
                <w:sz w:val="24"/>
                <w:szCs w:val="22"/>
                <w:highlight w:val="none"/>
                <w:lang w:val="en-US" w:eastAsia="zh-CN"/>
              </w:rPr>
              <w:t xml:space="preserve">         </w:t>
            </w:r>
            <w:r>
              <w:rPr>
                <w:rFonts w:hint="eastAsia"/>
                <w:color w:val="auto"/>
                <w:kern w:val="2"/>
                <w:sz w:val="24"/>
                <w:szCs w:val="22"/>
                <w:highlight w:val="none"/>
              </w:rPr>
              <w:t>大写：</w:t>
            </w:r>
          </w:p>
        </w:tc>
      </w:tr>
    </w:tbl>
    <w:p w14:paraId="57BC2A2A">
      <w:pPr>
        <w:widowControl/>
        <w:shd w:val="clear"/>
        <w:spacing w:line="500" w:lineRule="exact"/>
        <w:jc w:val="left"/>
        <w:rPr>
          <w:color w:val="auto"/>
          <w:sz w:val="24"/>
          <w:highlight w:val="none"/>
        </w:rPr>
      </w:pPr>
    </w:p>
    <w:p w14:paraId="16E48123">
      <w:pPr>
        <w:widowControl/>
        <w:shd w:val="clear"/>
        <w:spacing w:line="500" w:lineRule="exact"/>
        <w:ind w:firstLine="470" w:firstLineChars="196"/>
        <w:jc w:val="left"/>
        <w:rPr>
          <w:color w:val="auto"/>
          <w:sz w:val="24"/>
          <w:highlight w:val="none"/>
        </w:rPr>
      </w:pPr>
      <w:r>
        <w:rPr>
          <w:rFonts w:hint="eastAsia"/>
          <w:color w:val="auto"/>
          <w:sz w:val="24"/>
          <w:highlight w:val="none"/>
        </w:rPr>
        <w:t>注：1.</w:t>
      </w:r>
      <w:r>
        <w:rPr>
          <w:rFonts w:hint="eastAsia"/>
          <w:color w:val="auto"/>
          <w:sz w:val="24"/>
          <w:szCs w:val="24"/>
          <w:highlight w:val="none"/>
        </w:rPr>
        <w:t>以上表格格式行可增减。</w:t>
      </w:r>
    </w:p>
    <w:p w14:paraId="2925F02A">
      <w:pPr>
        <w:widowControl/>
        <w:shd w:val="clear"/>
        <w:spacing w:line="500" w:lineRule="exact"/>
        <w:ind w:firstLine="950" w:firstLineChars="396"/>
        <w:jc w:val="left"/>
        <w:rPr>
          <w:color w:val="auto"/>
          <w:sz w:val="24"/>
          <w:highlight w:val="none"/>
        </w:rPr>
      </w:pPr>
      <w:r>
        <w:rPr>
          <w:rFonts w:hint="eastAsia"/>
          <w:color w:val="auto"/>
          <w:sz w:val="24"/>
          <w:szCs w:val="22"/>
          <w:highlight w:val="none"/>
        </w:rPr>
        <w:t>2</w:t>
      </w:r>
      <w:r>
        <w:rPr>
          <w:rFonts w:hint="eastAsia"/>
          <w:color w:val="auto"/>
          <w:sz w:val="24"/>
          <w:highlight w:val="none"/>
        </w:rPr>
        <w:t>.投标人必须按“分项报价明细表”的格式详细报出投标总价的各个组成部分的报价，否则作无效投标处理。</w:t>
      </w:r>
    </w:p>
    <w:p w14:paraId="356BECC5">
      <w:pPr>
        <w:widowControl/>
        <w:shd w:val="clear"/>
        <w:spacing w:line="500" w:lineRule="exact"/>
        <w:ind w:firstLine="470" w:firstLineChars="196"/>
        <w:jc w:val="left"/>
        <w:rPr>
          <w:color w:val="auto"/>
          <w:sz w:val="24"/>
          <w:highlight w:val="none"/>
        </w:rPr>
      </w:pPr>
      <w:r>
        <w:rPr>
          <w:rFonts w:hint="eastAsia"/>
          <w:color w:val="auto"/>
          <w:sz w:val="24"/>
          <w:highlight w:val="none"/>
        </w:rPr>
        <w:t xml:space="preserve">    3.“分项报价明细表”各分项报价合计应当与“开标一览表”报价合计相等。</w:t>
      </w:r>
    </w:p>
    <w:p w14:paraId="7FBF51AA">
      <w:pPr>
        <w:widowControl/>
        <w:shd w:val="clear"/>
        <w:spacing w:line="500" w:lineRule="exact"/>
        <w:ind w:firstLine="472" w:firstLineChars="196"/>
        <w:jc w:val="left"/>
        <w:rPr>
          <w:b/>
          <w:color w:val="auto"/>
          <w:sz w:val="24"/>
          <w:highlight w:val="none"/>
        </w:rPr>
      </w:pPr>
    </w:p>
    <w:p w14:paraId="7E14CED2">
      <w:pPr>
        <w:widowControl/>
        <w:shd w:val="clear"/>
        <w:spacing w:line="500" w:lineRule="exact"/>
        <w:ind w:firstLine="472" w:firstLineChars="196"/>
        <w:jc w:val="left"/>
        <w:rPr>
          <w:b/>
          <w:color w:val="auto"/>
          <w:sz w:val="24"/>
          <w:highlight w:val="none"/>
        </w:rPr>
      </w:pPr>
    </w:p>
    <w:p w14:paraId="1F689B15">
      <w:pPr>
        <w:widowControl/>
        <w:shd w:val="clear"/>
        <w:spacing w:line="500" w:lineRule="exact"/>
        <w:ind w:firstLine="470" w:firstLineChars="196"/>
        <w:jc w:val="left"/>
        <w:rPr>
          <w:color w:val="auto"/>
          <w:sz w:val="24"/>
          <w:highlight w:val="none"/>
        </w:rPr>
      </w:pPr>
      <w:r>
        <w:rPr>
          <w:rFonts w:hint="eastAsia"/>
          <w:color w:val="auto"/>
          <w:sz w:val="24"/>
          <w:highlight w:val="none"/>
        </w:rPr>
        <w:t>投标人名称：XXXX（单位盖章）。</w:t>
      </w:r>
    </w:p>
    <w:p w14:paraId="54BF9AEC">
      <w:pPr>
        <w:widowControl/>
        <w:shd w:val="clear"/>
        <w:spacing w:line="500" w:lineRule="exact"/>
        <w:ind w:firstLine="470" w:firstLineChars="196"/>
        <w:jc w:val="left"/>
        <w:rPr>
          <w:color w:val="auto"/>
          <w:sz w:val="24"/>
          <w:highlight w:val="none"/>
        </w:rPr>
      </w:pPr>
      <w:r>
        <w:rPr>
          <w:rFonts w:hint="eastAsia"/>
          <w:color w:val="auto"/>
          <w:sz w:val="24"/>
          <w:highlight w:val="none"/>
        </w:rPr>
        <w:t>法定代表人或授权代表（签字或加盖个人名章）：XXXX。</w:t>
      </w:r>
    </w:p>
    <w:p w14:paraId="772E6D29">
      <w:pPr>
        <w:widowControl/>
        <w:shd w:val="clear"/>
        <w:spacing w:line="500" w:lineRule="exact"/>
        <w:ind w:firstLine="470" w:firstLineChars="196"/>
        <w:jc w:val="left"/>
        <w:rPr>
          <w:color w:val="auto"/>
          <w:sz w:val="24"/>
          <w:highlight w:val="none"/>
        </w:rPr>
      </w:pPr>
      <w:r>
        <w:rPr>
          <w:rFonts w:hint="eastAsia"/>
          <w:color w:val="auto"/>
          <w:sz w:val="24"/>
          <w:highlight w:val="none"/>
        </w:rPr>
        <w:t>投标日期：XXXX。</w:t>
      </w:r>
      <w:bookmarkStart w:id="128" w:name="_Toc217446086"/>
    </w:p>
    <w:p w14:paraId="5109D2EC">
      <w:pPr>
        <w:widowControl/>
        <w:shd w:val="clear"/>
        <w:spacing w:line="500" w:lineRule="exact"/>
        <w:ind w:firstLine="470" w:firstLineChars="196"/>
        <w:jc w:val="left"/>
        <w:rPr>
          <w:color w:val="auto"/>
          <w:sz w:val="24"/>
          <w:highlight w:val="none"/>
        </w:rPr>
      </w:pPr>
    </w:p>
    <w:p w14:paraId="172449DE">
      <w:pPr>
        <w:widowControl/>
        <w:shd w:val="clear"/>
        <w:spacing w:line="500" w:lineRule="exact"/>
        <w:ind w:firstLine="470" w:firstLineChars="196"/>
        <w:jc w:val="left"/>
        <w:rPr>
          <w:color w:val="auto"/>
          <w:sz w:val="24"/>
          <w:highlight w:val="none"/>
        </w:rPr>
      </w:pPr>
    </w:p>
    <w:p w14:paraId="1EFD88C8">
      <w:pPr>
        <w:widowControl/>
        <w:shd w:val="clear"/>
        <w:spacing w:line="500" w:lineRule="exact"/>
        <w:ind w:firstLine="470" w:firstLineChars="196"/>
        <w:jc w:val="left"/>
        <w:rPr>
          <w:color w:val="auto"/>
          <w:sz w:val="24"/>
          <w:highlight w:val="none"/>
        </w:rPr>
      </w:pPr>
    </w:p>
    <w:p w14:paraId="20747106">
      <w:pPr>
        <w:widowControl/>
        <w:shd w:val="clear"/>
        <w:spacing w:line="500" w:lineRule="exact"/>
        <w:ind w:firstLine="470" w:firstLineChars="196"/>
        <w:jc w:val="left"/>
        <w:rPr>
          <w:color w:val="auto"/>
          <w:sz w:val="24"/>
          <w:highlight w:val="none"/>
        </w:rPr>
      </w:pPr>
    </w:p>
    <w:bookmarkEnd w:id="128"/>
    <w:p w14:paraId="27F30092">
      <w:pPr>
        <w:widowControl/>
        <w:shd w:val="clear"/>
        <w:spacing w:line="500" w:lineRule="exact"/>
        <w:jc w:val="center"/>
        <w:outlineLvl w:val="1"/>
        <w:rPr>
          <w:rFonts w:hAnsi="宋体" w:cs="宋体"/>
          <w:b/>
          <w:color w:val="auto"/>
          <w:sz w:val="32"/>
          <w:szCs w:val="32"/>
          <w:highlight w:val="none"/>
        </w:rPr>
      </w:pPr>
      <w:r>
        <w:rPr>
          <w:rFonts w:hint="eastAsia" w:hAnsi="宋体" w:cs="宋体"/>
          <w:b/>
          <w:color w:val="auto"/>
          <w:sz w:val="32"/>
          <w:szCs w:val="32"/>
          <w:highlight w:val="none"/>
        </w:rPr>
        <w:t>七、商务应答表</w:t>
      </w:r>
      <w:bookmarkEnd w:id="127"/>
    </w:p>
    <w:p w14:paraId="1A44CC1B">
      <w:pPr>
        <w:widowControl/>
        <w:shd w:val="clear"/>
        <w:spacing w:line="500" w:lineRule="exact"/>
        <w:ind w:firstLine="472" w:firstLineChars="196"/>
        <w:jc w:val="left"/>
        <w:rPr>
          <w:rFonts w:hAnsi="宋体" w:cs="宋体"/>
          <w:b/>
          <w:color w:val="auto"/>
          <w:sz w:val="24"/>
          <w:highlight w:val="none"/>
        </w:rPr>
      </w:pPr>
    </w:p>
    <w:p w14:paraId="035A93E2">
      <w:pPr>
        <w:widowControl/>
        <w:shd w:val="clear"/>
        <w:spacing w:line="500" w:lineRule="exact"/>
        <w:jc w:val="left"/>
        <w:rPr>
          <w:rFonts w:hAnsi="宋体" w:cs="宋体"/>
          <w:color w:val="auto"/>
          <w:sz w:val="24"/>
          <w:highlight w:val="none"/>
        </w:rPr>
      </w:pPr>
      <w:r>
        <w:rPr>
          <w:rFonts w:hint="eastAsia" w:hAnsi="宋体" w:cs="宋体"/>
          <w:color w:val="auto"/>
          <w:sz w:val="24"/>
          <w:highlight w:val="none"/>
        </w:rPr>
        <w:t>招标编号：</w:t>
      </w:r>
    </w:p>
    <w:tbl>
      <w:tblPr>
        <w:tblStyle w:val="29"/>
        <w:tblW w:w="928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42"/>
        <w:gridCol w:w="4150"/>
        <w:gridCol w:w="4195"/>
      </w:tblGrid>
      <w:tr w14:paraId="236AA6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6" w:hRule="atLeast"/>
        </w:trPr>
        <w:tc>
          <w:tcPr>
            <w:tcW w:w="942" w:type="dxa"/>
            <w:vAlign w:val="center"/>
          </w:tcPr>
          <w:p w14:paraId="3F4711D3">
            <w:pPr>
              <w:widowControl/>
              <w:shd w:val="clear"/>
              <w:spacing w:line="500" w:lineRule="exact"/>
              <w:jc w:val="center"/>
              <w:rPr>
                <w:rFonts w:hAnsi="宋体" w:cs="宋体"/>
                <w:color w:val="auto"/>
                <w:sz w:val="24"/>
                <w:highlight w:val="none"/>
              </w:rPr>
            </w:pPr>
            <w:r>
              <w:rPr>
                <w:rFonts w:hint="eastAsia" w:hAnsi="宋体" w:cs="宋体"/>
                <w:color w:val="auto"/>
                <w:sz w:val="24"/>
                <w:highlight w:val="none"/>
              </w:rPr>
              <w:t>序号</w:t>
            </w:r>
          </w:p>
        </w:tc>
        <w:tc>
          <w:tcPr>
            <w:tcW w:w="4150" w:type="dxa"/>
            <w:vAlign w:val="center"/>
          </w:tcPr>
          <w:p w14:paraId="40AD4F17">
            <w:pPr>
              <w:widowControl/>
              <w:shd w:val="clear"/>
              <w:spacing w:line="500" w:lineRule="exact"/>
              <w:jc w:val="center"/>
              <w:rPr>
                <w:rFonts w:hAnsi="宋体" w:cs="宋体"/>
                <w:color w:val="auto"/>
                <w:sz w:val="24"/>
                <w:highlight w:val="none"/>
              </w:rPr>
            </w:pPr>
            <w:r>
              <w:rPr>
                <w:rFonts w:hint="eastAsia" w:hAnsi="宋体" w:cs="宋体"/>
                <w:color w:val="auto"/>
                <w:sz w:val="24"/>
                <w:highlight w:val="none"/>
              </w:rPr>
              <w:t>商务要求</w:t>
            </w:r>
          </w:p>
        </w:tc>
        <w:tc>
          <w:tcPr>
            <w:tcW w:w="4195" w:type="dxa"/>
            <w:vAlign w:val="center"/>
          </w:tcPr>
          <w:p w14:paraId="6A25401F">
            <w:pPr>
              <w:widowControl/>
              <w:shd w:val="clear"/>
              <w:spacing w:line="500" w:lineRule="exact"/>
              <w:jc w:val="center"/>
              <w:rPr>
                <w:rFonts w:hAnsi="宋体" w:cs="宋体"/>
                <w:color w:val="auto"/>
                <w:sz w:val="24"/>
                <w:highlight w:val="none"/>
              </w:rPr>
            </w:pPr>
            <w:r>
              <w:rPr>
                <w:rFonts w:hint="eastAsia" w:hAnsi="宋体" w:cs="宋体"/>
                <w:color w:val="auto"/>
                <w:sz w:val="24"/>
                <w:highlight w:val="none"/>
              </w:rPr>
              <w:t>投标应答</w:t>
            </w:r>
          </w:p>
        </w:tc>
      </w:tr>
      <w:tr w14:paraId="457F83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0" w:hRule="atLeast"/>
        </w:trPr>
        <w:tc>
          <w:tcPr>
            <w:tcW w:w="942" w:type="dxa"/>
            <w:vAlign w:val="center"/>
          </w:tcPr>
          <w:p w14:paraId="2E65655B">
            <w:pPr>
              <w:widowControl/>
              <w:shd w:val="clear"/>
              <w:spacing w:line="500" w:lineRule="exact"/>
              <w:jc w:val="center"/>
              <w:rPr>
                <w:rFonts w:hAnsi="宋体" w:cs="宋体"/>
                <w:color w:val="auto"/>
                <w:sz w:val="24"/>
                <w:highlight w:val="none"/>
              </w:rPr>
            </w:pPr>
          </w:p>
        </w:tc>
        <w:tc>
          <w:tcPr>
            <w:tcW w:w="4150" w:type="dxa"/>
            <w:vAlign w:val="center"/>
          </w:tcPr>
          <w:p w14:paraId="0F0EE91F">
            <w:pPr>
              <w:widowControl/>
              <w:shd w:val="clear"/>
              <w:spacing w:line="500" w:lineRule="exact"/>
              <w:jc w:val="center"/>
              <w:rPr>
                <w:rFonts w:hAnsi="宋体" w:cs="宋体"/>
                <w:color w:val="auto"/>
                <w:sz w:val="24"/>
                <w:highlight w:val="none"/>
              </w:rPr>
            </w:pPr>
          </w:p>
        </w:tc>
        <w:tc>
          <w:tcPr>
            <w:tcW w:w="4195" w:type="dxa"/>
            <w:vAlign w:val="center"/>
          </w:tcPr>
          <w:p w14:paraId="68AF256F">
            <w:pPr>
              <w:widowControl/>
              <w:shd w:val="clear"/>
              <w:spacing w:line="500" w:lineRule="exact"/>
              <w:jc w:val="center"/>
              <w:rPr>
                <w:rFonts w:hAnsi="宋体" w:cs="宋体"/>
                <w:color w:val="auto"/>
                <w:sz w:val="24"/>
                <w:highlight w:val="none"/>
              </w:rPr>
            </w:pPr>
          </w:p>
        </w:tc>
      </w:tr>
      <w:tr w14:paraId="235D26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0" w:hRule="atLeast"/>
        </w:trPr>
        <w:tc>
          <w:tcPr>
            <w:tcW w:w="942" w:type="dxa"/>
            <w:vAlign w:val="center"/>
          </w:tcPr>
          <w:p w14:paraId="76868FD1">
            <w:pPr>
              <w:widowControl/>
              <w:shd w:val="clear"/>
              <w:spacing w:line="500" w:lineRule="exact"/>
              <w:jc w:val="center"/>
              <w:rPr>
                <w:rFonts w:hAnsi="宋体" w:cs="宋体"/>
                <w:color w:val="auto"/>
                <w:sz w:val="24"/>
                <w:highlight w:val="none"/>
              </w:rPr>
            </w:pPr>
          </w:p>
        </w:tc>
        <w:tc>
          <w:tcPr>
            <w:tcW w:w="4150" w:type="dxa"/>
            <w:vAlign w:val="center"/>
          </w:tcPr>
          <w:p w14:paraId="63F33FFF">
            <w:pPr>
              <w:widowControl/>
              <w:shd w:val="clear"/>
              <w:spacing w:line="500" w:lineRule="exact"/>
              <w:jc w:val="center"/>
              <w:rPr>
                <w:rFonts w:hAnsi="宋体" w:cs="宋体"/>
                <w:color w:val="auto"/>
                <w:sz w:val="24"/>
                <w:highlight w:val="none"/>
              </w:rPr>
            </w:pPr>
          </w:p>
        </w:tc>
        <w:tc>
          <w:tcPr>
            <w:tcW w:w="4195" w:type="dxa"/>
            <w:vAlign w:val="center"/>
          </w:tcPr>
          <w:p w14:paraId="5A6F85D0">
            <w:pPr>
              <w:widowControl/>
              <w:shd w:val="clear"/>
              <w:spacing w:line="500" w:lineRule="exact"/>
              <w:jc w:val="center"/>
              <w:rPr>
                <w:rFonts w:hAnsi="宋体" w:cs="宋体"/>
                <w:color w:val="auto"/>
                <w:sz w:val="24"/>
                <w:highlight w:val="none"/>
              </w:rPr>
            </w:pPr>
          </w:p>
        </w:tc>
      </w:tr>
      <w:tr w14:paraId="16DCD6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0" w:hRule="atLeast"/>
        </w:trPr>
        <w:tc>
          <w:tcPr>
            <w:tcW w:w="942" w:type="dxa"/>
            <w:vAlign w:val="center"/>
          </w:tcPr>
          <w:p w14:paraId="65AAA29F">
            <w:pPr>
              <w:widowControl/>
              <w:shd w:val="clear"/>
              <w:spacing w:line="500" w:lineRule="exact"/>
              <w:jc w:val="center"/>
              <w:rPr>
                <w:rFonts w:hAnsi="宋体" w:cs="宋体"/>
                <w:color w:val="auto"/>
                <w:sz w:val="24"/>
                <w:highlight w:val="none"/>
              </w:rPr>
            </w:pPr>
          </w:p>
        </w:tc>
        <w:tc>
          <w:tcPr>
            <w:tcW w:w="4150" w:type="dxa"/>
            <w:vAlign w:val="center"/>
          </w:tcPr>
          <w:p w14:paraId="65725AB9">
            <w:pPr>
              <w:widowControl/>
              <w:shd w:val="clear"/>
              <w:spacing w:line="500" w:lineRule="exact"/>
              <w:jc w:val="center"/>
              <w:rPr>
                <w:rFonts w:hAnsi="宋体" w:cs="宋体"/>
                <w:color w:val="auto"/>
                <w:sz w:val="24"/>
                <w:highlight w:val="none"/>
              </w:rPr>
            </w:pPr>
          </w:p>
        </w:tc>
        <w:tc>
          <w:tcPr>
            <w:tcW w:w="4195" w:type="dxa"/>
            <w:vAlign w:val="center"/>
          </w:tcPr>
          <w:p w14:paraId="269121DA">
            <w:pPr>
              <w:widowControl/>
              <w:shd w:val="clear"/>
              <w:spacing w:line="500" w:lineRule="exact"/>
              <w:jc w:val="center"/>
              <w:rPr>
                <w:rFonts w:hAnsi="宋体" w:cs="宋体"/>
                <w:color w:val="auto"/>
                <w:sz w:val="24"/>
                <w:highlight w:val="none"/>
              </w:rPr>
            </w:pPr>
          </w:p>
        </w:tc>
      </w:tr>
      <w:tr w14:paraId="330551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0" w:hRule="atLeast"/>
        </w:trPr>
        <w:tc>
          <w:tcPr>
            <w:tcW w:w="942" w:type="dxa"/>
            <w:vAlign w:val="center"/>
          </w:tcPr>
          <w:p w14:paraId="520F8634">
            <w:pPr>
              <w:widowControl/>
              <w:shd w:val="clear"/>
              <w:spacing w:line="500" w:lineRule="exact"/>
              <w:jc w:val="center"/>
              <w:rPr>
                <w:rFonts w:hAnsi="宋体" w:cs="宋体"/>
                <w:color w:val="auto"/>
                <w:sz w:val="24"/>
                <w:highlight w:val="none"/>
              </w:rPr>
            </w:pPr>
          </w:p>
        </w:tc>
        <w:tc>
          <w:tcPr>
            <w:tcW w:w="4150" w:type="dxa"/>
            <w:vAlign w:val="center"/>
          </w:tcPr>
          <w:p w14:paraId="6FDDD4FF">
            <w:pPr>
              <w:widowControl/>
              <w:shd w:val="clear"/>
              <w:spacing w:line="500" w:lineRule="exact"/>
              <w:jc w:val="center"/>
              <w:rPr>
                <w:rFonts w:hAnsi="宋体" w:cs="宋体"/>
                <w:color w:val="auto"/>
                <w:sz w:val="24"/>
                <w:highlight w:val="none"/>
              </w:rPr>
            </w:pPr>
          </w:p>
        </w:tc>
        <w:tc>
          <w:tcPr>
            <w:tcW w:w="4195" w:type="dxa"/>
            <w:vAlign w:val="center"/>
          </w:tcPr>
          <w:p w14:paraId="00EA3D68">
            <w:pPr>
              <w:widowControl/>
              <w:shd w:val="clear"/>
              <w:spacing w:line="500" w:lineRule="exact"/>
              <w:jc w:val="center"/>
              <w:rPr>
                <w:rFonts w:hAnsi="宋体" w:cs="宋体"/>
                <w:color w:val="auto"/>
                <w:sz w:val="24"/>
                <w:highlight w:val="none"/>
              </w:rPr>
            </w:pPr>
          </w:p>
        </w:tc>
      </w:tr>
      <w:tr w14:paraId="64FF29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0" w:hRule="atLeast"/>
        </w:trPr>
        <w:tc>
          <w:tcPr>
            <w:tcW w:w="942" w:type="dxa"/>
            <w:vAlign w:val="center"/>
          </w:tcPr>
          <w:p w14:paraId="71BDB334">
            <w:pPr>
              <w:widowControl/>
              <w:shd w:val="clear"/>
              <w:spacing w:line="500" w:lineRule="exact"/>
              <w:jc w:val="center"/>
              <w:rPr>
                <w:rFonts w:hAnsi="宋体" w:cs="宋体"/>
                <w:color w:val="auto"/>
                <w:sz w:val="24"/>
                <w:highlight w:val="none"/>
              </w:rPr>
            </w:pPr>
          </w:p>
        </w:tc>
        <w:tc>
          <w:tcPr>
            <w:tcW w:w="4150" w:type="dxa"/>
            <w:vAlign w:val="center"/>
          </w:tcPr>
          <w:p w14:paraId="580D2598">
            <w:pPr>
              <w:widowControl/>
              <w:shd w:val="clear"/>
              <w:spacing w:line="500" w:lineRule="exact"/>
              <w:jc w:val="center"/>
              <w:rPr>
                <w:rFonts w:hAnsi="宋体" w:cs="宋体"/>
                <w:color w:val="auto"/>
                <w:sz w:val="24"/>
                <w:highlight w:val="none"/>
              </w:rPr>
            </w:pPr>
          </w:p>
        </w:tc>
        <w:tc>
          <w:tcPr>
            <w:tcW w:w="4195" w:type="dxa"/>
            <w:vAlign w:val="center"/>
          </w:tcPr>
          <w:p w14:paraId="7AF82342">
            <w:pPr>
              <w:widowControl/>
              <w:shd w:val="clear"/>
              <w:spacing w:line="500" w:lineRule="exact"/>
              <w:jc w:val="center"/>
              <w:rPr>
                <w:rFonts w:hAnsi="宋体" w:cs="宋体"/>
                <w:color w:val="auto"/>
                <w:sz w:val="24"/>
                <w:highlight w:val="none"/>
              </w:rPr>
            </w:pPr>
          </w:p>
        </w:tc>
      </w:tr>
    </w:tbl>
    <w:p w14:paraId="2041F884">
      <w:pPr>
        <w:widowControl/>
        <w:shd w:val="clear"/>
        <w:spacing w:line="500" w:lineRule="exact"/>
        <w:jc w:val="left"/>
        <w:rPr>
          <w:rFonts w:hAnsi="宋体" w:cs="宋体"/>
          <w:color w:val="auto"/>
          <w:highlight w:val="none"/>
        </w:rPr>
      </w:pPr>
      <w:r>
        <w:rPr>
          <w:rFonts w:hint="eastAsia" w:hAnsi="宋体" w:cs="宋体"/>
          <w:color w:val="auto"/>
          <w:sz w:val="24"/>
          <w:highlight w:val="none"/>
        </w:rPr>
        <w:t>注：投标人必须据实填写，不得虚假应答，否则将取消其投标或中标资格。</w:t>
      </w:r>
    </w:p>
    <w:p w14:paraId="23C8D8EE">
      <w:pPr>
        <w:widowControl/>
        <w:shd w:val="clear"/>
        <w:spacing w:line="500" w:lineRule="exact"/>
        <w:ind w:firstLine="470" w:firstLineChars="196"/>
        <w:jc w:val="left"/>
        <w:rPr>
          <w:rFonts w:hAnsi="宋体" w:cs="宋体"/>
          <w:color w:val="auto"/>
          <w:sz w:val="24"/>
          <w:highlight w:val="none"/>
        </w:rPr>
      </w:pPr>
    </w:p>
    <w:p w14:paraId="68515EC3">
      <w:pPr>
        <w:widowControl/>
        <w:shd w:val="clear"/>
        <w:spacing w:line="500" w:lineRule="exact"/>
        <w:ind w:firstLine="470" w:firstLineChars="196"/>
        <w:jc w:val="left"/>
        <w:rPr>
          <w:rFonts w:hAnsi="宋体" w:cs="宋体"/>
          <w:color w:val="auto"/>
          <w:sz w:val="24"/>
          <w:highlight w:val="none"/>
        </w:rPr>
      </w:pPr>
      <w:r>
        <w:rPr>
          <w:rFonts w:hint="eastAsia" w:hAnsi="宋体" w:cs="宋体"/>
          <w:color w:val="auto"/>
          <w:sz w:val="24"/>
          <w:highlight w:val="none"/>
        </w:rPr>
        <w:t>投标人名称：XXXX（单位盖章）。</w:t>
      </w:r>
    </w:p>
    <w:p w14:paraId="28BFBFB9">
      <w:pPr>
        <w:widowControl/>
        <w:shd w:val="clear"/>
        <w:spacing w:line="500" w:lineRule="exact"/>
        <w:ind w:firstLine="470" w:firstLineChars="196"/>
        <w:jc w:val="left"/>
        <w:rPr>
          <w:rFonts w:hAnsi="宋体" w:cs="宋体"/>
          <w:color w:val="auto"/>
          <w:sz w:val="24"/>
          <w:highlight w:val="none"/>
        </w:rPr>
      </w:pPr>
      <w:r>
        <w:rPr>
          <w:rFonts w:hint="eastAsia" w:hAnsi="宋体" w:cs="宋体"/>
          <w:color w:val="auto"/>
          <w:sz w:val="24"/>
          <w:highlight w:val="none"/>
        </w:rPr>
        <w:t>法定代表人或授权代表（签字或加盖个人名章）：XXXX。</w:t>
      </w:r>
    </w:p>
    <w:p w14:paraId="1C9EE579">
      <w:pPr>
        <w:widowControl/>
        <w:shd w:val="clear"/>
        <w:spacing w:line="500" w:lineRule="exact"/>
        <w:ind w:firstLine="470" w:firstLineChars="196"/>
        <w:jc w:val="left"/>
        <w:rPr>
          <w:rFonts w:hAnsi="宋体" w:cs="宋体"/>
          <w:color w:val="auto"/>
          <w:sz w:val="24"/>
          <w:highlight w:val="none"/>
        </w:rPr>
      </w:pPr>
      <w:r>
        <w:rPr>
          <w:rFonts w:hint="eastAsia" w:hAnsi="宋体" w:cs="宋体"/>
          <w:color w:val="auto"/>
          <w:sz w:val="24"/>
          <w:highlight w:val="none"/>
        </w:rPr>
        <w:t>投标日期: XXXX。</w:t>
      </w:r>
    </w:p>
    <w:p w14:paraId="4957B1F6">
      <w:pPr>
        <w:widowControl/>
        <w:shd w:val="clear"/>
        <w:spacing w:line="500" w:lineRule="exact"/>
        <w:ind w:firstLine="470" w:firstLineChars="196"/>
        <w:jc w:val="left"/>
        <w:rPr>
          <w:rFonts w:hAnsi="宋体" w:cs="宋体"/>
          <w:color w:val="auto"/>
          <w:sz w:val="24"/>
          <w:highlight w:val="none"/>
        </w:rPr>
      </w:pPr>
    </w:p>
    <w:p w14:paraId="7014DFFF">
      <w:pPr>
        <w:widowControl/>
        <w:shd w:val="clear"/>
        <w:spacing w:line="500" w:lineRule="exact"/>
        <w:ind w:firstLine="472" w:firstLineChars="196"/>
        <w:jc w:val="left"/>
        <w:rPr>
          <w:rFonts w:hAnsi="宋体" w:cs="宋体"/>
          <w:b/>
          <w:color w:val="auto"/>
          <w:sz w:val="24"/>
          <w:highlight w:val="none"/>
        </w:rPr>
      </w:pPr>
    </w:p>
    <w:p w14:paraId="53656038">
      <w:pPr>
        <w:widowControl/>
        <w:shd w:val="clear"/>
        <w:spacing w:line="500" w:lineRule="exact"/>
        <w:ind w:firstLine="472" w:firstLineChars="196"/>
        <w:jc w:val="left"/>
        <w:rPr>
          <w:rFonts w:hAnsi="宋体" w:cs="宋体"/>
          <w:b/>
          <w:color w:val="auto"/>
          <w:sz w:val="24"/>
          <w:highlight w:val="none"/>
        </w:rPr>
      </w:pPr>
    </w:p>
    <w:p w14:paraId="079C4132">
      <w:pPr>
        <w:widowControl/>
        <w:shd w:val="clear"/>
        <w:spacing w:line="500" w:lineRule="exact"/>
        <w:ind w:firstLine="472" w:firstLineChars="196"/>
        <w:jc w:val="left"/>
        <w:rPr>
          <w:rFonts w:hAnsi="宋体" w:cs="宋体"/>
          <w:b/>
          <w:color w:val="auto"/>
          <w:sz w:val="24"/>
          <w:highlight w:val="none"/>
        </w:rPr>
      </w:pPr>
    </w:p>
    <w:p w14:paraId="3D6E42A9">
      <w:pPr>
        <w:widowControl/>
        <w:shd w:val="clear"/>
        <w:spacing w:line="500" w:lineRule="exact"/>
        <w:ind w:firstLine="472" w:firstLineChars="196"/>
        <w:jc w:val="left"/>
        <w:rPr>
          <w:rFonts w:hAnsi="宋体" w:cs="宋体"/>
          <w:b/>
          <w:color w:val="auto"/>
          <w:sz w:val="24"/>
          <w:highlight w:val="none"/>
        </w:rPr>
      </w:pPr>
    </w:p>
    <w:p w14:paraId="791DD2F2">
      <w:pPr>
        <w:widowControl/>
        <w:shd w:val="clear"/>
        <w:spacing w:line="500" w:lineRule="exact"/>
        <w:jc w:val="left"/>
        <w:rPr>
          <w:rFonts w:hAnsi="宋体" w:cs="宋体"/>
          <w:b/>
          <w:color w:val="auto"/>
          <w:sz w:val="24"/>
          <w:highlight w:val="none"/>
        </w:rPr>
      </w:pPr>
      <w:bookmarkStart w:id="129" w:name="_Toc217446088"/>
    </w:p>
    <w:p w14:paraId="52D32943">
      <w:pPr>
        <w:shd w:val="clear"/>
        <w:rPr>
          <w:rFonts w:hAnsi="宋体" w:cs="宋体"/>
          <w:b/>
          <w:color w:val="auto"/>
          <w:sz w:val="32"/>
          <w:szCs w:val="32"/>
          <w:highlight w:val="none"/>
        </w:rPr>
      </w:pPr>
      <w:r>
        <w:rPr>
          <w:rFonts w:hint="eastAsia" w:hAnsi="宋体" w:cs="宋体"/>
          <w:b/>
          <w:color w:val="auto"/>
          <w:sz w:val="32"/>
          <w:szCs w:val="32"/>
          <w:highlight w:val="none"/>
        </w:rPr>
        <w:br w:type="page"/>
      </w:r>
    </w:p>
    <w:p w14:paraId="64BA7C95">
      <w:pPr>
        <w:widowControl/>
        <w:shd w:val="clear"/>
        <w:spacing w:line="500" w:lineRule="exact"/>
        <w:jc w:val="center"/>
        <w:outlineLvl w:val="1"/>
        <w:rPr>
          <w:rFonts w:hAnsi="宋体" w:cs="宋体"/>
          <w:b/>
          <w:color w:val="auto"/>
          <w:sz w:val="32"/>
          <w:szCs w:val="32"/>
          <w:highlight w:val="none"/>
        </w:rPr>
      </w:pPr>
      <w:r>
        <w:rPr>
          <w:rFonts w:hint="eastAsia" w:hAnsi="宋体" w:cs="宋体"/>
          <w:b/>
          <w:color w:val="auto"/>
          <w:sz w:val="32"/>
          <w:szCs w:val="32"/>
          <w:highlight w:val="none"/>
        </w:rPr>
        <w:t>八、投标人基本情况表</w:t>
      </w:r>
      <w:bookmarkEnd w:id="129"/>
    </w:p>
    <w:p w14:paraId="0A84448E">
      <w:pPr>
        <w:widowControl/>
        <w:shd w:val="clear"/>
        <w:spacing w:line="500" w:lineRule="exact"/>
        <w:ind w:firstLine="472" w:firstLineChars="196"/>
        <w:jc w:val="left"/>
        <w:rPr>
          <w:rFonts w:hAnsi="宋体" w:cs="宋体"/>
          <w:b/>
          <w:color w:val="auto"/>
          <w:sz w:val="24"/>
          <w:highlight w:val="none"/>
        </w:rPr>
      </w:pPr>
    </w:p>
    <w:tbl>
      <w:tblPr>
        <w:tblStyle w:val="29"/>
        <w:tblW w:w="9288" w:type="dxa"/>
        <w:tblInd w:w="0" w:type="dxa"/>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Layout w:type="fixed"/>
        <w:tblCellMar>
          <w:top w:w="0" w:type="dxa"/>
          <w:left w:w="108" w:type="dxa"/>
          <w:bottom w:w="0" w:type="dxa"/>
          <w:right w:w="108" w:type="dxa"/>
        </w:tblCellMar>
      </w:tblPr>
      <w:tblGrid>
        <w:gridCol w:w="1721"/>
        <w:gridCol w:w="1082"/>
        <w:gridCol w:w="1401"/>
        <w:gridCol w:w="1410"/>
        <w:gridCol w:w="1492"/>
        <w:gridCol w:w="179"/>
        <w:gridCol w:w="782"/>
        <w:gridCol w:w="1221"/>
      </w:tblGrid>
      <w:tr w14:paraId="0DFF21FF">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462" w:hRule="atLeast"/>
        </w:trPr>
        <w:tc>
          <w:tcPr>
            <w:tcW w:w="1721" w:type="dxa"/>
            <w:vAlign w:val="center"/>
          </w:tcPr>
          <w:p w14:paraId="4411CFBD">
            <w:pPr>
              <w:widowControl/>
              <w:shd w:val="clear"/>
              <w:spacing w:line="500" w:lineRule="exact"/>
              <w:jc w:val="left"/>
              <w:rPr>
                <w:rFonts w:hAnsi="宋体" w:cs="宋体"/>
                <w:color w:val="auto"/>
                <w:sz w:val="24"/>
                <w:highlight w:val="none"/>
              </w:rPr>
            </w:pPr>
            <w:r>
              <w:rPr>
                <w:rFonts w:hint="eastAsia" w:hAnsi="宋体" w:cs="宋体"/>
                <w:color w:val="auto"/>
                <w:sz w:val="24"/>
                <w:highlight w:val="none"/>
              </w:rPr>
              <w:t>投标人名称</w:t>
            </w:r>
          </w:p>
        </w:tc>
        <w:tc>
          <w:tcPr>
            <w:tcW w:w="7567" w:type="dxa"/>
            <w:gridSpan w:val="7"/>
            <w:vAlign w:val="center"/>
          </w:tcPr>
          <w:p w14:paraId="50747FD0">
            <w:pPr>
              <w:widowControl/>
              <w:shd w:val="clear"/>
              <w:spacing w:line="500" w:lineRule="exact"/>
              <w:ind w:firstLine="470" w:firstLineChars="196"/>
              <w:jc w:val="left"/>
              <w:rPr>
                <w:rFonts w:hAnsi="宋体" w:cs="宋体"/>
                <w:color w:val="auto"/>
                <w:sz w:val="24"/>
                <w:highlight w:val="none"/>
              </w:rPr>
            </w:pPr>
          </w:p>
        </w:tc>
      </w:tr>
      <w:tr w14:paraId="2C88BC2C">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462" w:hRule="atLeast"/>
        </w:trPr>
        <w:tc>
          <w:tcPr>
            <w:tcW w:w="1721" w:type="dxa"/>
            <w:vAlign w:val="center"/>
          </w:tcPr>
          <w:p w14:paraId="1AE393E0">
            <w:pPr>
              <w:widowControl/>
              <w:shd w:val="clear"/>
              <w:spacing w:line="500" w:lineRule="exact"/>
              <w:jc w:val="left"/>
              <w:rPr>
                <w:rFonts w:hAnsi="宋体" w:cs="宋体"/>
                <w:color w:val="auto"/>
                <w:sz w:val="24"/>
                <w:highlight w:val="none"/>
              </w:rPr>
            </w:pPr>
            <w:r>
              <w:rPr>
                <w:rFonts w:hint="eastAsia" w:hAnsi="宋体" w:cs="宋体"/>
                <w:color w:val="auto"/>
                <w:sz w:val="24"/>
                <w:highlight w:val="none"/>
              </w:rPr>
              <w:t>注册地址</w:t>
            </w:r>
          </w:p>
        </w:tc>
        <w:tc>
          <w:tcPr>
            <w:tcW w:w="3893" w:type="dxa"/>
            <w:gridSpan w:val="3"/>
            <w:vAlign w:val="center"/>
          </w:tcPr>
          <w:p w14:paraId="1CBF22B3">
            <w:pPr>
              <w:widowControl/>
              <w:shd w:val="clear"/>
              <w:spacing w:line="500" w:lineRule="exact"/>
              <w:ind w:firstLine="470" w:firstLineChars="196"/>
              <w:jc w:val="left"/>
              <w:rPr>
                <w:rFonts w:hAnsi="宋体" w:cs="宋体"/>
                <w:color w:val="auto"/>
                <w:sz w:val="24"/>
                <w:highlight w:val="none"/>
              </w:rPr>
            </w:pPr>
          </w:p>
        </w:tc>
        <w:tc>
          <w:tcPr>
            <w:tcW w:w="1492" w:type="dxa"/>
            <w:vAlign w:val="center"/>
          </w:tcPr>
          <w:p w14:paraId="7DA0F0AE">
            <w:pPr>
              <w:widowControl/>
              <w:shd w:val="clear"/>
              <w:spacing w:line="500" w:lineRule="exact"/>
              <w:jc w:val="left"/>
              <w:rPr>
                <w:rFonts w:hAnsi="宋体" w:cs="宋体"/>
                <w:color w:val="auto"/>
                <w:sz w:val="24"/>
                <w:highlight w:val="none"/>
              </w:rPr>
            </w:pPr>
            <w:r>
              <w:rPr>
                <w:rFonts w:hint="eastAsia" w:hAnsi="宋体" w:cs="宋体"/>
                <w:color w:val="auto"/>
                <w:sz w:val="24"/>
                <w:highlight w:val="none"/>
              </w:rPr>
              <w:t>邮政编码</w:t>
            </w:r>
          </w:p>
        </w:tc>
        <w:tc>
          <w:tcPr>
            <w:tcW w:w="2182" w:type="dxa"/>
            <w:gridSpan w:val="3"/>
            <w:vAlign w:val="center"/>
          </w:tcPr>
          <w:p w14:paraId="7B935134">
            <w:pPr>
              <w:widowControl/>
              <w:shd w:val="clear"/>
              <w:spacing w:line="500" w:lineRule="exact"/>
              <w:ind w:firstLine="470" w:firstLineChars="196"/>
              <w:jc w:val="left"/>
              <w:rPr>
                <w:rFonts w:hAnsi="宋体" w:cs="宋体"/>
                <w:color w:val="auto"/>
                <w:sz w:val="24"/>
                <w:highlight w:val="none"/>
              </w:rPr>
            </w:pPr>
          </w:p>
        </w:tc>
      </w:tr>
      <w:tr w14:paraId="74FF35FD">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442" w:hRule="atLeast"/>
        </w:trPr>
        <w:tc>
          <w:tcPr>
            <w:tcW w:w="1721" w:type="dxa"/>
            <w:vMerge w:val="restart"/>
            <w:vAlign w:val="center"/>
          </w:tcPr>
          <w:p w14:paraId="45753B0F">
            <w:pPr>
              <w:widowControl/>
              <w:shd w:val="clear"/>
              <w:spacing w:line="500" w:lineRule="exact"/>
              <w:jc w:val="left"/>
              <w:rPr>
                <w:rFonts w:hAnsi="宋体" w:cs="宋体"/>
                <w:color w:val="auto"/>
                <w:sz w:val="24"/>
                <w:highlight w:val="none"/>
              </w:rPr>
            </w:pPr>
            <w:r>
              <w:rPr>
                <w:rFonts w:hint="eastAsia" w:hAnsi="宋体" w:cs="宋体"/>
                <w:color w:val="auto"/>
                <w:sz w:val="24"/>
                <w:highlight w:val="none"/>
              </w:rPr>
              <w:t>联系方式</w:t>
            </w:r>
          </w:p>
        </w:tc>
        <w:tc>
          <w:tcPr>
            <w:tcW w:w="1082" w:type="dxa"/>
            <w:vAlign w:val="center"/>
          </w:tcPr>
          <w:p w14:paraId="61FAEB9C">
            <w:pPr>
              <w:widowControl/>
              <w:shd w:val="clear"/>
              <w:spacing w:line="500" w:lineRule="exact"/>
              <w:jc w:val="left"/>
              <w:rPr>
                <w:rFonts w:hAnsi="宋体" w:cs="宋体"/>
                <w:color w:val="auto"/>
                <w:sz w:val="24"/>
                <w:highlight w:val="none"/>
              </w:rPr>
            </w:pPr>
            <w:r>
              <w:rPr>
                <w:rFonts w:hint="eastAsia" w:hAnsi="宋体" w:cs="宋体"/>
                <w:color w:val="auto"/>
                <w:sz w:val="24"/>
                <w:highlight w:val="none"/>
              </w:rPr>
              <w:t>联系人</w:t>
            </w:r>
          </w:p>
        </w:tc>
        <w:tc>
          <w:tcPr>
            <w:tcW w:w="2811" w:type="dxa"/>
            <w:gridSpan w:val="2"/>
            <w:vAlign w:val="center"/>
          </w:tcPr>
          <w:p w14:paraId="73BDD7C6">
            <w:pPr>
              <w:widowControl/>
              <w:shd w:val="clear"/>
              <w:spacing w:line="500" w:lineRule="exact"/>
              <w:ind w:firstLine="470" w:firstLineChars="196"/>
              <w:jc w:val="left"/>
              <w:rPr>
                <w:rFonts w:hAnsi="宋体" w:cs="宋体"/>
                <w:color w:val="auto"/>
                <w:sz w:val="24"/>
                <w:highlight w:val="none"/>
              </w:rPr>
            </w:pPr>
          </w:p>
        </w:tc>
        <w:tc>
          <w:tcPr>
            <w:tcW w:w="1492" w:type="dxa"/>
            <w:vAlign w:val="center"/>
          </w:tcPr>
          <w:p w14:paraId="68C130CE">
            <w:pPr>
              <w:widowControl/>
              <w:shd w:val="clear"/>
              <w:spacing w:line="500" w:lineRule="exact"/>
              <w:ind w:firstLine="470" w:firstLineChars="196"/>
              <w:jc w:val="left"/>
              <w:rPr>
                <w:rFonts w:hAnsi="宋体" w:cs="宋体"/>
                <w:color w:val="auto"/>
                <w:sz w:val="24"/>
                <w:highlight w:val="none"/>
              </w:rPr>
            </w:pPr>
            <w:r>
              <w:rPr>
                <w:rFonts w:hint="eastAsia" w:hAnsi="宋体" w:cs="宋体"/>
                <w:color w:val="auto"/>
                <w:sz w:val="24"/>
                <w:highlight w:val="none"/>
              </w:rPr>
              <w:t>电话</w:t>
            </w:r>
          </w:p>
        </w:tc>
        <w:tc>
          <w:tcPr>
            <w:tcW w:w="2182" w:type="dxa"/>
            <w:gridSpan w:val="3"/>
            <w:vAlign w:val="center"/>
          </w:tcPr>
          <w:p w14:paraId="471196F4">
            <w:pPr>
              <w:widowControl/>
              <w:shd w:val="clear"/>
              <w:spacing w:line="500" w:lineRule="exact"/>
              <w:ind w:firstLine="470" w:firstLineChars="196"/>
              <w:jc w:val="left"/>
              <w:rPr>
                <w:rFonts w:hAnsi="宋体" w:cs="宋体"/>
                <w:color w:val="auto"/>
                <w:sz w:val="24"/>
                <w:highlight w:val="none"/>
              </w:rPr>
            </w:pPr>
          </w:p>
        </w:tc>
      </w:tr>
      <w:tr w14:paraId="280E594A">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148" w:hRule="atLeast"/>
        </w:trPr>
        <w:tc>
          <w:tcPr>
            <w:tcW w:w="1721" w:type="dxa"/>
            <w:vMerge w:val="continue"/>
            <w:vAlign w:val="center"/>
          </w:tcPr>
          <w:p w14:paraId="219BF5D9">
            <w:pPr>
              <w:shd w:val="clear"/>
              <w:spacing w:line="500" w:lineRule="exact"/>
              <w:rPr>
                <w:rFonts w:hAnsi="宋体" w:cs="宋体"/>
                <w:color w:val="auto"/>
                <w:highlight w:val="none"/>
              </w:rPr>
            </w:pPr>
          </w:p>
        </w:tc>
        <w:tc>
          <w:tcPr>
            <w:tcW w:w="1082" w:type="dxa"/>
            <w:vAlign w:val="center"/>
          </w:tcPr>
          <w:p w14:paraId="08A1E9EB">
            <w:pPr>
              <w:widowControl/>
              <w:shd w:val="clear"/>
              <w:spacing w:line="500" w:lineRule="exact"/>
              <w:jc w:val="left"/>
              <w:rPr>
                <w:rFonts w:hAnsi="宋体" w:cs="宋体"/>
                <w:color w:val="auto"/>
                <w:sz w:val="24"/>
                <w:highlight w:val="none"/>
              </w:rPr>
            </w:pPr>
            <w:r>
              <w:rPr>
                <w:rFonts w:hint="eastAsia" w:hAnsi="宋体" w:cs="宋体"/>
                <w:color w:val="auto"/>
                <w:sz w:val="24"/>
                <w:highlight w:val="none"/>
              </w:rPr>
              <w:t>传真</w:t>
            </w:r>
          </w:p>
        </w:tc>
        <w:tc>
          <w:tcPr>
            <w:tcW w:w="2811" w:type="dxa"/>
            <w:gridSpan w:val="2"/>
            <w:vAlign w:val="center"/>
          </w:tcPr>
          <w:p w14:paraId="1D256D64">
            <w:pPr>
              <w:widowControl/>
              <w:shd w:val="clear"/>
              <w:spacing w:line="500" w:lineRule="exact"/>
              <w:ind w:firstLine="470" w:firstLineChars="196"/>
              <w:jc w:val="left"/>
              <w:rPr>
                <w:rFonts w:hAnsi="宋体" w:cs="宋体"/>
                <w:color w:val="auto"/>
                <w:sz w:val="24"/>
                <w:highlight w:val="none"/>
              </w:rPr>
            </w:pPr>
          </w:p>
        </w:tc>
        <w:tc>
          <w:tcPr>
            <w:tcW w:w="1492" w:type="dxa"/>
            <w:vAlign w:val="center"/>
          </w:tcPr>
          <w:p w14:paraId="6728EC20">
            <w:pPr>
              <w:widowControl/>
              <w:shd w:val="clear"/>
              <w:spacing w:line="500" w:lineRule="exact"/>
              <w:ind w:firstLine="470" w:firstLineChars="196"/>
              <w:jc w:val="left"/>
              <w:rPr>
                <w:rFonts w:hAnsi="宋体" w:cs="宋体"/>
                <w:color w:val="auto"/>
                <w:sz w:val="24"/>
                <w:highlight w:val="none"/>
              </w:rPr>
            </w:pPr>
            <w:r>
              <w:rPr>
                <w:rFonts w:hint="eastAsia" w:hAnsi="宋体" w:cs="宋体"/>
                <w:color w:val="auto"/>
                <w:sz w:val="24"/>
                <w:highlight w:val="none"/>
              </w:rPr>
              <w:t>网址</w:t>
            </w:r>
          </w:p>
        </w:tc>
        <w:tc>
          <w:tcPr>
            <w:tcW w:w="2182" w:type="dxa"/>
            <w:gridSpan w:val="3"/>
            <w:vAlign w:val="center"/>
          </w:tcPr>
          <w:p w14:paraId="60A2474D">
            <w:pPr>
              <w:widowControl/>
              <w:shd w:val="clear"/>
              <w:spacing w:line="500" w:lineRule="exact"/>
              <w:ind w:firstLine="470" w:firstLineChars="196"/>
              <w:jc w:val="left"/>
              <w:rPr>
                <w:rFonts w:hAnsi="宋体" w:cs="宋体"/>
                <w:color w:val="auto"/>
                <w:sz w:val="24"/>
                <w:highlight w:val="none"/>
              </w:rPr>
            </w:pPr>
          </w:p>
        </w:tc>
      </w:tr>
      <w:tr w14:paraId="6061CCA6">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442" w:hRule="atLeast"/>
        </w:trPr>
        <w:tc>
          <w:tcPr>
            <w:tcW w:w="1721" w:type="dxa"/>
            <w:vAlign w:val="center"/>
          </w:tcPr>
          <w:p w14:paraId="1C8E9822">
            <w:pPr>
              <w:widowControl/>
              <w:shd w:val="clear"/>
              <w:spacing w:line="500" w:lineRule="exact"/>
              <w:jc w:val="left"/>
              <w:rPr>
                <w:rFonts w:hAnsi="宋体" w:cs="宋体"/>
                <w:color w:val="auto"/>
                <w:sz w:val="24"/>
                <w:highlight w:val="none"/>
              </w:rPr>
            </w:pPr>
            <w:r>
              <w:rPr>
                <w:rFonts w:hint="eastAsia" w:hAnsi="宋体" w:cs="宋体"/>
                <w:color w:val="auto"/>
                <w:sz w:val="24"/>
                <w:highlight w:val="none"/>
              </w:rPr>
              <w:t>组织结构</w:t>
            </w:r>
          </w:p>
        </w:tc>
        <w:tc>
          <w:tcPr>
            <w:tcW w:w="7567" w:type="dxa"/>
            <w:gridSpan w:val="7"/>
            <w:vAlign w:val="center"/>
          </w:tcPr>
          <w:p w14:paraId="03927159">
            <w:pPr>
              <w:widowControl/>
              <w:shd w:val="clear"/>
              <w:spacing w:line="500" w:lineRule="exact"/>
              <w:ind w:firstLine="470" w:firstLineChars="196"/>
              <w:jc w:val="left"/>
              <w:rPr>
                <w:rFonts w:hAnsi="宋体" w:cs="宋体"/>
                <w:color w:val="auto"/>
                <w:sz w:val="24"/>
                <w:highlight w:val="none"/>
              </w:rPr>
            </w:pPr>
          </w:p>
        </w:tc>
      </w:tr>
      <w:tr w14:paraId="54CC421B">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462" w:hRule="atLeast"/>
        </w:trPr>
        <w:tc>
          <w:tcPr>
            <w:tcW w:w="1721" w:type="dxa"/>
            <w:vAlign w:val="center"/>
          </w:tcPr>
          <w:p w14:paraId="140B685F">
            <w:pPr>
              <w:widowControl/>
              <w:shd w:val="clear"/>
              <w:spacing w:line="500" w:lineRule="exact"/>
              <w:jc w:val="left"/>
              <w:rPr>
                <w:rFonts w:hAnsi="宋体" w:cs="宋体"/>
                <w:color w:val="auto"/>
                <w:sz w:val="24"/>
                <w:highlight w:val="none"/>
              </w:rPr>
            </w:pPr>
            <w:r>
              <w:rPr>
                <w:rFonts w:hint="eastAsia" w:hAnsi="宋体" w:cs="宋体"/>
                <w:color w:val="auto"/>
                <w:sz w:val="24"/>
                <w:highlight w:val="none"/>
              </w:rPr>
              <w:t>法定代表人</w:t>
            </w:r>
          </w:p>
        </w:tc>
        <w:tc>
          <w:tcPr>
            <w:tcW w:w="1082" w:type="dxa"/>
            <w:vAlign w:val="center"/>
          </w:tcPr>
          <w:p w14:paraId="35654422">
            <w:pPr>
              <w:widowControl/>
              <w:shd w:val="clear"/>
              <w:spacing w:line="500" w:lineRule="exact"/>
              <w:jc w:val="left"/>
              <w:rPr>
                <w:rFonts w:hAnsi="宋体" w:cs="宋体"/>
                <w:color w:val="auto"/>
                <w:sz w:val="24"/>
                <w:highlight w:val="none"/>
              </w:rPr>
            </w:pPr>
            <w:r>
              <w:rPr>
                <w:rFonts w:hint="eastAsia" w:hAnsi="宋体" w:cs="宋体"/>
                <w:color w:val="auto"/>
                <w:sz w:val="24"/>
                <w:highlight w:val="none"/>
              </w:rPr>
              <w:t>姓名</w:t>
            </w:r>
          </w:p>
        </w:tc>
        <w:tc>
          <w:tcPr>
            <w:tcW w:w="1401" w:type="dxa"/>
            <w:vAlign w:val="center"/>
          </w:tcPr>
          <w:p w14:paraId="42BC611B">
            <w:pPr>
              <w:widowControl/>
              <w:shd w:val="clear"/>
              <w:spacing w:line="500" w:lineRule="exact"/>
              <w:ind w:firstLine="470" w:firstLineChars="196"/>
              <w:jc w:val="left"/>
              <w:rPr>
                <w:rFonts w:hAnsi="宋体" w:cs="宋体"/>
                <w:color w:val="auto"/>
                <w:sz w:val="24"/>
                <w:highlight w:val="none"/>
              </w:rPr>
            </w:pPr>
          </w:p>
        </w:tc>
        <w:tc>
          <w:tcPr>
            <w:tcW w:w="1410" w:type="dxa"/>
            <w:vAlign w:val="center"/>
          </w:tcPr>
          <w:p w14:paraId="19544AE7">
            <w:pPr>
              <w:widowControl/>
              <w:shd w:val="clear"/>
              <w:spacing w:line="500" w:lineRule="exact"/>
              <w:jc w:val="left"/>
              <w:rPr>
                <w:rFonts w:hAnsi="宋体" w:cs="宋体"/>
                <w:color w:val="auto"/>
                <w:sz w:val="24"/>
                <w:highlight w:val="none"/>
              </w:rPr>
            </w:pPr>
            <w:r>
              <w:rPr>
                <w:rFonts w:hint="eastAsia" w:hAnsi="宋体" w:cs="宋体"/>
                <w:color w:val="auto"/>
                <w:sz w:val="24"/>
                <w:highlight w:val="none"/>
              </w:rPr>
              <w:t>技术职称</w:t>
            </w:r>
          </w:p>
        </w:tc>
        <w:tc>
          <w:tcPr>
            <w:tcW w:w="1492" w:type="dxa"/>
            <w:vAlign w:val="center"/>
          </w:tcPr>
          <w:p w14:paraId="6B5E0FC7">
            <w:pPr>
              <w:widowControl/>
              <w:shd w:val="clear"/>
              <w:spacing w:line="500" w:lineRule="exact"/>
              <w:ind w:firstLine="470" w:firstLineChars="196"/>
              <w:jc w:val="left"/>
              <w:rPr>
                <w:rFonts w:hAnsi="宋体" w:cs="宋体"/>
                <w:color w:val="auto"/>
                <w:sz w:val="24"/>
                <w:highlight w:val="none"/>
              </w:rPr>
            </w:pPr>
          </w:p>
        </w:tc>
        <w:tc>
          <w:tcPr>
            <w:tcW w:w="961" w:type="dxa"/>
            <w:gridSpan w:val="2"/>
            <w:vAlign w:val="center"/>
          </w:tcPr>
          <w:p w14:paraId="03C0E046">
            <w:pPr>
              <w:widowControl/>
              <w:shd w:val="clear"/>
              <w:spacing w:line="500" w:lineRule="exact"/>
              <w:jc w:val="left"/>
              <w:rPr>
                <w:rFonts w:hAnsi="宋体" w:cs="宋体"/>
                <w:color w:val="auto"/>
                <w:sz w:val="24"/>
                <w:highlight w:val="none"/>
              </w:rPr>
            </w:pPr>
            <w:r>
              <w:rPr>
                <w:rFonts w:hint="eastAsia" w:hAnsi="宋体" w:cs="宋体"/>
                <w:color w:val="auto"/>
                <w:sz w:val="24"/>
                <w:highlight w:val="none"/>
              </w:rPr>
              <w:t>电话</w:t>
            </w:r>
          </w:p>
        </w:tc>
        <w:tc>
          <w:tcPr>
            <w:tcW w:w="1221" w:type="dxa"/>
            <w:vAlign w:val="center"/>
          </w:tcPr>
          <w:p w14:paraId="661707C8">
            <w:pPr>
              <w:widowControl/>
              <w:shd w:val="clear"/>
              <w:spacing w:line="500" w:lineRule="exact"/>
              <w:ind w:firstLine="470" w:firstLineChars="196"/>
              <w:jc w:val="left"/>
              <w:rPr>
                <w:rFonts w:hAnsi="宋体" w:cs="宋体"/>
                <w:color w:val="auto"/>
                <w:sz w:val="24"/>
                <w:highlight w:val="none"/>
              </w:rPr>
            </w:pPr>
          </w:p>
        </w:tc>
      </w:tr>
      <w:tr w14:paraId="1B1095C7">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trHeight w:val="442" w:hRule="atLeast"/>
        </w:trPr>
        <w:tc>
          <w:tcPr>
            <w:tcW w:w="1721" w:type="dxa"/>
            <w:vAlign w:val="center"/>
          </w:tcPr>
          <w:p w14:paraId="239D08D2">
            <w:pPr>
              <w:widowControl/>
              <w:shd w:val="clear"/>
              <w:spacing w:line="500" w:lineRule="exact"/>
              <w:jc w:val="left"/>
              <w:rPr>
                <w:rFonts w:hAnsi="宋体" w:cs="宋体"/>
                <w:color w:val="auto"/>
                <w:sz w:val="24"/>
                <w:highlight w:val="none"/>
              </w:rPr>
            </w:pPr>
            <w:r>
              <w:rPr>
                <w:rFonts w:hint="eastAsia" w:hAnsi="宋体" w:cs="宋体"/>
                <w:color w:val="auto"/>
                <w:sz w:val="24"/>
                <w:highlight w:val="none"/>
              </w:rPr>
              <w:t>技术负责人</w:t>
            </w:r>
          </w:p>
        </w:tc>
        <w:tc>
          <w:tcPr>
            <w:tcW w:w="1082" w:type="dxa"/>
            <w:vAlign w:val="center"/>
          </w:tcPr>
          <w:p w14:paraId="741BC7B3">
            <w:pPr>
              <w:widowControl/>
              <w:shd w:val="clear"/>
              <w:spacing w:line="500" w:lineRule="exact"/>
              <w:jc w:val="left"/>
              <w:rPr>
                <w:rFonts w:hAnsi="宋体" w:cs="宋体"/>
                <w:color w:val="auto"/>
                <w:sz w:val="24"/>
                <w:highlight w:val="none"/>
              </w:rPr>
            </w:pPr>
            <w:r>
              <w:rPr>
                <w:rFonts w:hint="eastAsia" w:hAnsi="宋体" w:cs="宋体"/>
                <w:color w:val="auto"/>
                <w:sz w:val="24"/>
                <w:highlight w:val="none"/>
              </w:rPr>
              <w:t>姓名</w:t>
            </w:r>
          </w:p>
        </w:tc>
        <w:tc>
          <w:tcPr>
            <w:tcW w:w="1401" w:type="dxa"/>
            <w:vAlign w:val="center"/>
          </w:tcPr>
          <w:p w14:paraId="2D99EAD1">
            <w:pPr>
              <w:widowControl/>
              <w:shd w:val="clear"/>
              <w:spacing w:line="500" w:lineRule="exact"/>
              <w:ind w:firstLine="470" w:firstLineChars="196"/>
              <w:jc w:val="left"/>
              <w:rPr>
                <w:rFonts w:hAnsi="宋体" w:cs="宋体"/>
                <w:color w:val="auto"/>
                <w:sz w:val="24"/>
                <w:highlight w:val="none"/>
              </w:rPr>
            </w:pPr>
          </w:p>
        </w:tc>
        <w:tc>
          <w:tcPr>
            <w:tcW w:w="1410" w:type="dxa"/>
            <w:vAlign w:val="center"/>
          </w:tcPr>
          <w:p w14:paraId="71936383">
            <w:pPr>
              <w:widowControl/>
              <w:shd w:val="clear"/>
              <w:spacing w:line="500" w:lineRule="exact"/>
              <w:jc w:val="left"/>
              <w:rPr>
                <w:rFonts w:hAnsi="宋体" w:cs="宋体"/>
                <w:color w:val="auto"/>
                <w:sz w:val="24"/>
                <w:highlight w:val="none"/>
              </w:rPr>
            </w:pPr>
            <w:r>
              <w:rPr>
                <w:rFonts w:hint="eastAsia" w:hAnsi="宋体" w:cs="宋体"/>
                <w:color w:val="auto"/>
                <w:sz w:val="24"/>
                <w:highlight w:val="none"/>
              </w:rPr>
              <w:t>技术职称</w:t>
            </w:r>
          </w:p>
        </w:tc>
        <w:tc>
          <w:tcPr>
            <w:tcW w:w="1492" w:type="dxa"/>
            <w:vAlign w:val="center"/>
          </w:tcPr>
          <w:p w14:paraId="2AC740F9">
            <w:pPr>
              <w:widowControl/>
              <w:shd w:val="clear"/>
              <w:spacing w:line="500" w:lineRule="exact"/>
              <w:ind w:firstLine="470" w:firstLineChars="196"/>
              <w:jc w:val="left"/>
              <w:rPr>
                <w:rFonts w:hAnsi="宋体" w:cs="宋体"/>
                <w:color w:val="auto"/>
                <w:sz w:val="24"/>
                <w:highlight w:val="none"/>
              </w:rPr>
            </w:pPr>
          </w:p>
        </w:tc>
        <w:tc>
          <w:tcPr>
            <w:tcW w:w="961" w:type="dxa"/>
            <w:gridSpan w:val="2"/>
            <w:vAlign w:val="center"/>
          </w:tcPr>
          <w:p w14:paraId="561DC57F">
            <w:pPr>
              <w:widowControl/>
              <w:shd w:val="clear"/>
              <w:spacing w:line="500" w:lineRule="exact"/>
              <w:jc w:val="left"/>
              <w:rPr>
                <w:rFonts w:hAnsi="宋体" w:cs="宋体"/>
                <w:color w:val="auto"/>
                <w:sz w:val="24"/>
                <w:highlight w:val="none"/>
              </w:rPr>
            </w:pPr>
            <w:r>
              <w:rPr>
                <w:rFonts w:hint="eastAsia" w:hAnsi="宋体" w:cs="宋体"/>
                <w:color w:val="auto"/>
                <w:sz w:val="24"/>
                <w:highlight w:val="none"/>
              </w:rPr>
              <w:t>电话</w:t>
            </w:r>
          </w:p>
        </w:tc>
        <w:tc>
          <w:tcPr>
            <w:tcW w:w="1221" w:type="dxa"/>
            <w:vAlign w:val="center"/>
          </w:tcPr>
          <w:p w14:paraId="6A61BA47">
            <w:pPr>
              <w:widowControl/>
              <w:shd w:val="clear"/>
              <w:spacing w:line="500" w:lineRule="exact"/>
              <w:ind w:firstLine="470" w:firstLineChars="196"/>
              <w:jc w:val="left"/>
              <w:rPr>
                <w:rFonts w:hAnsi="宋体" w:cs="宋体"/>
                <w:color w:val="auto"/>
                <w:sz w:val="24"/>
                <w:highlight w:val="none"/>
              </w:rPr>
            </w:pPr>
          </w:p>
        </w:tc>
      </w:tr>
      <w:tr w14:paraId="017C5F52">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442" w:hRule="atLeast"/>
        </w:trPr>
        <w:tc>
          <w:tcPr>
            <w:tcW w:w="1721" w:type="dxa"/>
            <w:vAlign w:val="center"/>
          </w:tcPr>
          <w:p w14:paraId="19E807BE">
            <w:pPr>
              <w:widowControl/>
              <w:shd w:val="clear"/>
              <w:spacing w:line="500" w:lineRule="exact"/>
              <w:jc w:val="left"/>
              <w:rPr>
                <w:rFonts w:hAnsi="宋体" w:cs="宋体"/>
                <w:color w:val="auto"/>
                <w:sz w:val="24"/>
                <w:highlight w:val="none"/>
              </w:rPr>
            </w:pPr>
            <w:r>
              <w:rPr>
                <w:rFonts w:hint="eastAsia" w:hAnsi="宋体" w:cs="宋体"/>
                <w:color w:val="auto"/>
                <w:sz w:val="24"/>
                <w:highlight w:val="none"/>
              </w:rPr>
              <w:t>成立时间</w:t>
            </w:r>
          </w:p>
        </w:tc>
        <w:tc>
          <w:tcPr>
            <w:tcW w:w="2483" w:type="dxa"/>
            <w:gridSpan w:val="2"/>
            <w:vAlign w:val="center"/>
          </w:tcPr>
          <w:p w14:paraId="65274154">
            <w:pPr>
              <w:widowControl/>
              <w:shd w:val="clear"/>
              <w:spacing w:line="500" w:lineRule="exact"/>
              <w:ind w:firstLine="470" w:firstLineChars="196"/>
              <w:jc w:val="left"/>
              <w:rPr>
                <w:rFonts w:hAnsi="宋体" w:cs="宋体"/>
                <w:color w:val="auto"/>
                <w:sz w:val="24"/>
                <w:highlight w:val="none"/>
              </w:rPr>
            </w:pPr>
          </w:p>
        </w:tc>
        <w:tc>
          <w:tcPr>
            <w:tcW w:w="5084" w:type="dxa"/>
            <w:gridSpan w:val="5"/>
            <w:vAlign w:val="center"/>
          </w:tcPr>
          <w:p w14:paraId="2EC20565">
            <w:pPr>
              <w:widowControl/>
              <w:shd w:val="clear"/>
              <w:spacing w:line="500" w:lineRule="exact"/>
              <w:jc w:val="left"/>
              <w:rPr>
                <w:rFonts w:hAnsi="宋体" w:cs="宋体"/>
                <w:color w:val="auto"/>
                <w:sz w:val="24"/>
                <w:highlight w:val="none"/>
              </w:rPr>
            </w:pPr>
            <w:r>
              <w:rPr>
                <w:rFonts w:hint="eastAsia" w:hAnsi="宋体" w:cs="宋体"/>
                <w:color w:val="auto"/>
                <w:sz w:val="24"/>
                <w:highlight w:val="none"/>
              </w:rPr>
              <w:t>员工总人数：</w:t>
            </w:r>
          </w:p>
        </w:tc>
      </w:tr>
      <w:tr w14:paraId="7A9EA015">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462" w:hRule="atLeast"/>
        </w:trPr>
        <w:tc>
          <w:tcPr>
            <w:tcW w:w="1721" w:type="dxa"/>
            <w:vAlign w:val="center"/>
          </w:tcPr>
          <w:p w14:paraId="0E375B31">
            <w:pPr>
              <w:widowControl/>
              <w:shd w:val="clear"/>
              <w:spacing w:line="500" w:lineRule="exact"/>
              <w:jc w:val="left"/>
              <w:rPr>
                <w:rFonts w:hAnsi="宋体" w:cs="宋体"/>
                <w:color w:val="auto"/>
                <w:sz w:val="24"/>
                <w:highlight w:val="none"/>
              </w:rPr>
            </w:pPr>
            <w:r>
              <w:rPr>
                <w:rFonts w:hint="eastAsia" w:hAnsi="宋体" w:cs="宋体"/>
                <w:color w:val="auto"/>
                <w:sz w:val="24"/>
                <w:highlight w:val="none"/>
              </w:rPr>
              <w:t>企业资质等级</w:t>
            </w:r>
          </w:p>
        </w:tc>
        <w:tc>
          <w:tcPr>
            <w:tcW w:w="2483" w:type="dxa"/>
            <w:gridSpan w:val="2"/>
            <w:vAlign w:val="center"/>
          </w:tcPr>
          <w:p w14:paraId="129AC1F4">
            <w:pPr>
              <w:widowControl/>
              <w:shd w:val="clear"/>
              <w:spacing w:line="500" w:lineRule="exact"/>
              <w:ind w:firstLine="470" w:firstLineChars="196"/>
              <w:jc w:val="left"/>
              <w:rPr>
                <w:rFonts w:hAnsi="宋体" w:cs="宋体"/>
                <w:color w:val="auto"/>
                <w:sz w:val="24"/>
                <w:highlight w:val="none"/>
              </w:rPr>
            </w:pPr>
          </w:p>
        </w:tc>
        <w:tc>
          <w:tcPr>
            <w:tcW w:w="1410" w:type="dxa"/>
            <w:vMerge w:val="restart"/>
            <w:vAlign w:val="center"/>
          </w:tcPr>
          <w:p w14:paraId="5A7F5AB1">
            <w:pPr>
              <w:widowControl/>
              <w:shd w:val="clear"/>
              <w:spacing w:line="500" w:lineRule="exact"/>
              <w:ind w:firstLine="470" w:firstLineChars="196"/>
              <w:jc w:val="left"/>
              <w:rPr>
                <w:rFonts w:hAnsi="宋体" w:cs="宋体"/>
                <w:color w:val="auto"/>
                <w:sz w:val="24"/>
                <w:highlight w:val="none"/>
              </w:rPr>
            </w:pPr>
            <w:r>
              <w:rPr>
                <w:rFonts w:hint="eastAsia" w:hAnsi="宋体" w:cs="宋体"/>
                <w:color w:val="auto"/>
                <w:sz w:val="24"/>
                <w:highlight w:val="none"/>
              </w:rPr>
              <w:t>其中</w:t>
            </w:r>
          </w:p>
        </w:tc>
        <w:tc>
          <w:tcPr>
            <w:tcW w:w="1671" w:type="dxa"/>
            <w:gridSpan w:val="2"/>
            <w:vAlign w:val="center"/>
          </w:tcPr>
          <w:p w14:paraId="7FEFDF8E">
            <w:pPr>
              <w:widowControl/>
              <w:shd w:val="clear"/>
              <w:spacing w:line="500" w:lineRule="exact"/>
              <w:jc w:val="left"/>
              <w:rPr>
                <w:rFonts w:hAnsi="宋体" w:cs="宋体"/>
                <w:color w:val="auto"/>
                <w:sz w:val="24"/>
                <w:highlight w:val="none"/>
              </w:rPr>
            </w:pPr>
            <w:r>
              <w:rPr>
                <w:rFonts w:hint="eastAsia" w:hAnsi="宋体" w:cs="宋体"/>
                <w:color w:val="auto"/>
                <w:sz w:val="24"/>
                <w:highlight w:val="none"/>
              </w:rPr>
              <w:t>项目经理</w:t>
            </w:r>
          </w:p>
        </w:tc>
        <w:tc>
          <w:tcPr>
            <w:tcW w:w="2003" w:type="dxa"/>
            <w:gridSpan w:val="2"/>
            <w:vAlign w:val="center"/>
          </w:tcPr>
          <w:p w14:paraId="19C900A5">
            <w:pPr>
              <w:widowControl/>
              <w:shd w:val="clear"/>
              <w:spacing w:line="500" w:lineRule="exact"/>
              <w:ind w:firstLine="470" w:firstLineChars="196"/>
              <w:jc w:val="left"/>
              <w:rPr>
                <w:rFonts w:hAnsi="宋体" w:cs="宋体"/>
                <w:color w:val="auto"/>
                <w:sz w:val="24"/>
                <w:highlight w:val="none"/>
              </w:rPr>
            </w:pPr>
          </w:p>
        </w:tc>
      </w:tr>
      <w:tr w14:paraId="4553E668">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442" w:hRule="atLeast"/>
        </w:trPr>
        <w:tc>
          <w:tcPr>
            <w:tcW w:w="1721" w:type="dxa"/>
            <w:vAlign w:val="center"/>
          </w:tcPr>
          <w:p w14:paraId="591A1476">
            <w:pPr>
              <w:widowControl/>
              <w:shd w:val="clear"/>
              <w:spacing w:line="500" w:lineRule="exact"/>
              <w:jc w:val="left"/>
              <w:rPr>
                <w:rFonts w:hAnsi="宋体" w:cs="宋体"/>
                <w:color w:val="auto"/>
                <w:sz w:val="24"/>
                <w:highlight w:val="none"/>
              </w:rPr>
            </w:pPr>
            <w:r>
              <w:rPr>
                <w:rFonts w:hint="eastAsia" w:hAnsi="宋体" w:cs="宋体"/>
                <w:color w:val="auto"/>
                <w:sz w:val="24"/>
                <w:highlight w:val="none"/>
              </w:rPr>
              <w:t>营业执照号</w:t>
            </w:r>
          </w:p>
        </w:tc>
        <w:tc>
          <w:tcPr>
            <w:tcW w:w="2483" w:type="dxa"/>
            <w:gridSpan w:val="2"/>
            <w:vAlign w:val="center"/>
          </w:tcPr>
          <w:p w14:paraId="7356E458">
            <w:pPr>
              <w:widowControl/>
              <w:shd w:val="clear"/>
              <w:spacing w:line="500" w:lineRule="exact"/>
              <w:ind w:firstLine="470" w:firstLineChars="196"/>
              <w:jc w:val="left"/>
              <w:rPr>
                <w:rFonts w:hAnsi="宋体" w:cs="宋体"/>
                <w:color w:val="auto"/>
                <w:sz w:val="24"/>
                <w:highlight w:val="none"/>
              </w:rPr>
            </w:pPr>
          </w:p>
        </w:tc>
        <w:tc>
          <w:tcPr>
            <w:tcW w:w="1410" w:type="dxa"/>
            <w:vMerge w:val="continue"/>
            <w:vAlign w:val="center"/>
          </w:tcPr>
          <w:p w14:paraId="2F081F30">
            <w:pPr>
              <w:shd w:val="clear"/>
              <w:spacing w:line="500" w:lineRule="exact"/>
              <w:rPr>
                <w:rFonts w:hAnsi="宋体" w:cs="宋体"/>
                <w:color w:val="auto"/>
                <w:highlight w:val="none"/>
              </w:rPr>
            </w:pPr>
          </w:p>
        </w:tc>
        <w:tc>
          <w:tcPr>
            <w:tcW w:w="1671" w:type="dxa"/>
            <w:gridSpan w:val="2"/>
            <w:vAlign w:val="center"/>
          </w:tcPr>
          <w:p w14:paraId="46A434B3">
            <w:pPr>
              <w:widowControl/>
              <w:shd w:val="clear"/>
              <w:spacing w:line="500" w:lineRule="exact"/>
              <w:jc w:val="left"/>
              <w:rPr>
                <w:rFonts w:hAnsi="宋体" w:cs="宋体"/>
                <w:color w:val="auto"/>
                <w:sz w:val="24"/>
                <w:highlight w:val="none"/>
              </w:rPr>
            </w:pPr>
            <w:r>
              <w:rPr>
                <w:rFonts w:hint="eastAsia" w:hAnsi="宋体" w:cs="宋体"/>
                <w:color w:val="auto"/>
                <w:sz w:val="24"/>
                <w:highlight w:val="none"/>
              </w:rPr>
              <w:t>高级职称人员</w:t>
            </w:r>
          </w:p>
        </w:tc>
        <w:tc>
          <w:tcPr>
            <w:tcW w:w="2003" w:type="dxa"/>
            <w:gridSpan w:val="2"/>
            <w:vAlign w:val="center"/>
          </w:tcPr>
          <w:p w14:paraId="42CDE952">
            <w:pPr>
              <w:widowControl/>
              <w:shd w:val="clear"/>
              <w:spacing w:line="500" w:lineRule="exact"/>
              <w:ind w:firstLine="470" w:firstLineChars="196"/>
              <w:jc w:val="left"/>
              <w:rPr>
                <w:rFonts w:hAnsi="宋体" w:cs="宋体"/>
                <w:color w:val="auto"/>
                <w:sz w:val="24"/>
                <w:highlight w:val="none"/>
              </w:rPr>
            </w:pPr>
          </w:p>
        </w:tc>
      </w:tr>
      <w:tr w14:paraId="009B56DF">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442" w:hRule="atLeast"/>
        </w:trPr>
        <w:tc>
          <w:tcPr>
            <w:tcW w:w="1721" w:type="dxa"/>
            <w:vAlign w:val="center"/>
          </w:tcPr>
          <w:p w14:paraId="23079FFF">
            <w:pPr>
              <w:widowControl/>
              <w:shd w:val="clear"/>
              <w:spacing w:line="500" w:lineRule="exact"/>
              <w:jc w:val="left"/>
              <w:rPr>
                <w:rFonts w:hAnsi="宋体" w:cs="宋体"/>
                <w:color w:val="auto"/>
                <w:sz w:val="24"/>
                <w:highlight w:val="none"/>
              </w:rPr>
            </w:pPr>
            <w:r>
              <w:rPr>
                <w:rFonts w:hint="eastAsia" w:hAnsi="宋体" w:cs="宋体"/>
                <w:color w:val="auto"/>
                <w:sz w:val="24"/>
                <w:highlight w:val="none"/>
              </w:rPr>
              <w:t>注册资金</w:t>
            </w:r>
          </w:p>
        </w:tc>
        <w:tc>
          <w:tcPr>
            <w:tcW w:w="2483" w:type="dxa"/>
            <w:gridSpan w:val="2"/>
            <w:vAlign w:val="center"/>
          </w:tcPr>
          <w:p w14:paraId="232FEA94">
            <w:pPr>
              <w:widowControl/>
              <w:shd w:val="clear"/>
              <w:spacing w:line="500" w:lineRule="exact"/>
              <w:ind w:firstLine="470" w:firstLineChars="196"/>
              <w:jc w:val="left"/>
              <w:rPr>
                <w:rFonts w:hAnsi="宋体" w:cs="宋体"/>
                <w:color w:val="auto"/>
                <w:sz w:val="24"/>
                <w:highlight w:val="none"/>
              </w:rPr>
            </w:pPr>
          </w:p>
        </w:tc>
        <w:tc>
          <w:tcPr>
            <w:tcW w:w="1410" w:type="dxa"/>
            <w:vMerge w:val="continue"/>
            <w:vAlign w:val="center"/>
          </w:tcPr>
          <w:p w14:paraId="3FF69706">
            <w:pPr>
              <w:shd w:val="clear"/>
              <w:spacing w:line="500" w:lineRule="exact"/>
              <w:rPr>
                <w:rFonts w:hAnsi="宋体" w:cs="宋体"/>
                <w:color w:val="auto"/>
                <w:highlight w:val="none"/>
              </w:rPr>
            </w:pPr>
          </w:p>
        </w:tc>
        <w:tc>
          <w:tcPr>
            <w:tcW w:w="1671" w:type="dxa"/>
            <w:gridSpan w:val="2"/>
            <w:vAlign w:val="center"/>
          </w:tcPr>
          <w:p w14:paraId="592CA97E">
            <w:pPr>
              <w:widowControl/>
              <w:shd w:val="clear"/>
              <w:spacing w:line="500" w:lineRule="exact"/>
              <w:jc w:val="left"/>
              <w:rPr>
                <w:rFonts w:hAnsi="宋体" w:cs="宋体"/>
                <w:color w:val="auto"/>
                <w:sz w:val="24"/>
                <w:highlight w:val="none"/>
              </w:rPr>
            </w:pPr>
            <w:r>
              <w:rPr>
                <w:rFonts w:hint="eastAsia" w:hAnsi="宋体" w:cs="宋体"/>
                <w:color w:val="auto"/>
                <w:sz w:val="24"/>
                <w:highlight w:val="none"/>
              </w:rPr>
              <w:t>中级职称人员</w:t>
            </w:r>
          </w:p>
        </w:tc>
        <w:tc>
          <w:tcPr>
            <w:tcW w:w="2003" w:type="dxa"/>
            <w:gridSpan w:val="2"/>
            <w:vAlign w:val="center"/>
          </w:tcPr>
          <w:p w14:paraId="42FA34FC">
            <w:pPr>
              <w:widowControl/>
              <w:shd w:val="clear"/>
              <w:spacing w:line="500" w:lineRule="exact"/>
              <w:ind w:firstLine="470" w:firstLineChars="196"/>
              <w:jc w:val="left"/>
              <w:rPr>
                <w:rFonts w:hAnsi="宋体" w:cs="宋体"/>
                <w:color w:val="auto"/>
                <w:sz w:val="24"/>
                <w:highlight w:val="none"/>
              </w:rPr>
            </w:pPr>
          </w:p>
        </w:tc>
      </w:tr>
      <w:tr w14:paraId="1E387F7C">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462" w:hRule="atLeast"/>
        </w:trPr>
        <w:tc>
          <w:tcPr>
            <w:tcW w:w="1721" w:type="dxa"/>
            <w:vAlign w:val="center"/>
          </w:tcPr>
          <w:p w14:paraId="71B176DB">
            <w:pPr>
              <w:widowControl/>
              <w:shd w:val="clear"/>
              <w:spacing w:line="500" w:lineRule="exact"/>
              <w:jc w:val="left"/>
              <w:rPr>
                <w:rFonts w:hAnsi="宋体" w:cs="宋体"/>
                <w:color w:val="auto"/>
                <w:sz w:val="24"/>
                <w:highlight w:val="none"/>
              </w:rPr>
            </w:pPr>
            <w:r>
              <w:rPr>
                <w:rFonts w:hint="eastAsia" w:hAnsi="宋体" w:cs="宋体"/>
                <w:color w:val="auto"/>
                <w:sz w:val="24"/>
                <w:highlight w:val="none"/>
              </w:rPr>
              <w:t>开户银行</w:t>
            </w:r>
          </w:p>
        </w:tc>
        <w:tc>
          <w:tcPr>
            <w:tcW w:w="2483" w:type="dxa"/>
            <w:gridSpan w:val="2"/>
            <w:vAlign w:val="center"/>
          </w:tcPr>
          <w:p w14:paraId="0246F869">
            <w:pPr>
              <w:widowControl/>
              <w:shd w:val="clear"/>
              <w:spacing w:line="500" w:lineRule="exact"/>
              <w:ind w:firstLine="470" w:firstLineChars="196"/>
              <w:jc w:val="left"/>
              <w:rPr>
                <w:rFonts w:hAnsi="宋体" w:cs="宋体"/>
                <w:color w:val="auto"/>
                <w:sz w:val="24"/>
                <w:highlight w:val="none"/>
              </w:rPr>
            </w:pPr>
          </w:p>
        </w:tc>
        <w:tc>
          <w:tcPr>
            <w:tcW w:w="1410" w:type="dxa"/>
            <w:vMerge w:val="continue"/>
            <w:vAlign w:val="center"/>
          </w:tcPr>
          <w:p w14:paraId="4E88B4BD">
            <w:pPr>
              <w:shd w:val="clear"/>
              <w:spacing w:line="500" w:lineRule="exact"/>
              <w:rPr>
                <w:rFonts w:hAnsi="宋体" w:cs="宋体"/>
                <w:color w:val="auto"/>
                <w:highlight w:val="none"/>
              </w:rPr>
            </w:pPr>
          </w:p>
        </w:tc>
        <w:tc>
          <w:tcPr>
            <w:tcW w:w="1671" w:type="dxa"/>
            <w:gridSpan w:val="2"/>
            <w:vAlign w:val="center"/>
          </w:tcPr>
          <w:p w14:paraId="76652832">
            <w:pPr>
              <w:widowControl/>
              <w:shd w:val="clear"/>
              <w:spacing w:line="500" w:lineRule="exact"/>
              <w:jc w:val="left"/>
              <w:rPr>
                <w:rFonts w:hAnsi="宋体" w:cs="宋体"/>
                <w:color w:val="auto"/>
                <w:sz w:val="24"/>
                <w:highlight w:val="none"/>
              </w:rPr>
            </w:pPr>
            <w:r>
              <w:rPr>
                <w:rFonts w:hint="eastAsia" w:hAnsi="宋体" w:cs="宋体"/>
                <w:color w:val="auto"/>
                <w:sz w:val="24"/>
                <w:highlight w:val="none"/>
              </w:rPr>
              <w:t>初级职称人员</w:t>
            </w:r>
          </w:p>
        </w:tc>
        <w:tc>
          <w:tcPr>
            <w:tcW w:w="2003" w:type="dxa"/>
            <w:gridSpan w:val="2"/>
            <w:vAlign w:val="center"/>
          </w:tcPr>
          <w:p w14:paraId="0A8D07CA">
            <w:pPr>
              <w:widowControl/>
              <w:shd w:val="clear"/>
              <w:spacing w:line="500" w:lineRule="exact"/>
              <w:ind w:firstLine="470" w:firstLineChars="196"/>
              <w:jc w:val="left"/>
              <w:rPr>
                <w:rFonts w:hAnsi="宋体" w:cs="宋体"/>
                <w:color w:val="auto"/>
                <w:sz w:val="24"/>
                <w:highlight w:val="none"/>
              </w:rPr>
            </w:pPr>
          </w:p>
        </w:tc>
      </w:tr>
      <w:tr w14:paraId="532885DF">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442" w:hRule="atLeast"/>
        </w:trPr>
        <w:tc>
          <w:tcPr>
            <w:tcW w:w="1721" w:type="dxa"/>
            <w:vAlign w:val="center"/>
          </w:tcPr>
          <w:p w14:paraId="4DF9D2AF">
            <w:pPr>
              <w:widowControl/>
              <w:shd w:val="clear"/>
              <w:spacing w:line="500" w:lineRule="exact"/>
              <w:ind w:firstLine="470" w:firstLineChars="196"/>
              <w:jc w:val="left"/>
              <w:rPr>
                <w:rFonts w:hAnsi="宋体" w:cs="宋体"/>
                <w:color w:val="auto"/>
                <w:sz w:val="24"/>
                <w:highlight w:val="none"/>
              </w:rPr>
            </w:pPr>
            <w:r>
              <w:rPr>
                <w:rFonts w:hint="eastAsia" w:hAnsi="宋体" w:cs="宋体"/>
                <w:color w:val="auto"/>
                <w:sz w:val="24"/>
                <w:highlight w:val="none"/>
              </w:rPr>
              <w:t>账号</w:t>
            </w:r>
          </w:p>
        </w:tc>
        <w:tc>
          <w:tcPr>
            <w:tcW w:w="2483" w:type="dxa"/>
            <w:gridSpan w:val="2"/>
            <w:vAlign w:val="center"/>
          </w:tcPr>
          <w:p w14:paraId="01E5A8F5">
            <w:pPr>
              <w:widowControl/>
              <w:shd w:val="clear"/>
              <w:spacing w:line="500" w:lineRule="exact"/>
              <w:ind w:firstLine="470" w:firstLineChars="196"/>
              <w:jc w:val="left"/>
              <w:rPr>
                <w:rFonts w:hAnsi="宋体" w:cs="宋体"/>
                <w:color w:val="auto"/>
                <w:sz w:val="24"/>
                <w:highlight w:val="none"/>
              </w:rPr>
            </w:pPr>
          </w:p>
        </w:tc>
        <w:tc>
          <w:tcPr>
            <w:tcW w:w="1410" w:type="dxa"/>
            <w:vMerge w:val="continue"/>
            <w:vAlign w:val="center"/>
          </w:tcPr>
          <w:p w14:paraId="22CE2D4B">
            <w:pPr>
              <w:shd w:val="clear"/>
              <w:spacing w:line="500" w:lineRule="exact"/>
              <w:rPr>
                <w:rFonts w:hAnsi="宋体" w:cs="宋体"/>
                <w:color w:val="auto"/>
                <w:highlight w:val="none"/>
              </w:rPr>
            </w:pPr>
          </w:p>
        </w:tc>
        <w:tc>
          <w:tcPr>
            <w:tcW w:w="1671" w:type="dxa"/>
            <w:gridSpan w:val="2"/>
            <w:vAlign w:val="center"/>
          </w:tcPr>
          <w:p w14:paraId="3875267D">
            <w:pPr>
              <w:widowControl/>
              <w:shd w:val="clear"/>
              <w:spacing w:line="500" w:lineRule="exact"/>
              <w:ind w:firstLine="470" w:firstLineChars="196"/>
              <w:jc w:val="left"/>
              <w:rPr>
                <w:rFonts w:hAnsi="宋体" w:cs="宋体"/>
                <w:color w:val="auto"/>
                <w:sz w:val="24"/>
                <w:highlight w:val="none"/>
              </w:rPr>
            </w:pPr>
            <w:r>
              <w:rPr>
                <w:rFonts w:hint="eastAsia" w:hAnsi="宋体" w:cs="宋体"/>
                <w:color w:val="auto"/>
                <w:sz w:val="24"/>
                <w:highlight w:val="none"/>
              </w:rPr>
              <w:t>技工</w:t>
            </w:r>
          </w:p>
        </w:tc>
        <w:tc>
          <w:tcPr>
            <w:tcW w:w="2003" w:type="dxa"/>
            <w:gridSpan w:val="2"/>
            <w:vAlign w:val="center"/>
          </w:tcPr>
          <w:p w14:paraId="30F50B13">
            <w:pPr>
              <w:widowControl/>
              <w:shd w:val="clear"/>
              <w:spacing w:line="500" w:lineRule="exact"/>
              <w:ind w:firstLine="470" w:firstLineChars="196"/>
              <w:jc w:val="left"/>
              <w:rPr>
                <w:rFonts w:hAnsi="宋体" w:cs="宋体"/>
                <w:color w:val="auto"/>
                <w:sz w:val="24"/>
                <w:highlight w:val="none"/>
              </w:rPr>
            </w:pPr>
          </w:p>
        </w:tc>
      </w:tr>
      <w:tr w14:paraId="51702C4E">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2442" w:hRule="atLeast"/>
        </w:trPr>
        <w:tc>
          <w:tcPr>
            <w:tcW w:w="1721" w:type="dxa"/>
            <w:vAlign w:val="center"/>
          </w:tcPr>
          <w:p w14:paraId="7510E80A">
            <w:pPr>
              <w:widowControl/>
              <w:shd w:val="clear"/>
              <w:spacing w:line="500" w:lineRule="exact"/>
              <w:jc w:val="center"/>
              <w:rPr>
                <w:rFonts w:hAnsi="宋体" w:cs="宋体"/>
                <w:color w:val="auto"/>
                <w:sz w:val="24"/>
                <w:highlight w:val="none"/>
              </w:rPr>
            </w:pPr>
            <w:r>
              <w:rPr>
                <w:rFonts w:hint="eastAsia" w:hAnsi="宋体" w:cs="宋体"/>
                <w:color w:val="auto"/>
                <w:sz w:val="24"/>
                <w:highlight w:val="none"/>
              </w:rPr>
              <w:t>经营范围</w:t>
            </w:r>
          </w:p>
        </w:tc>
        <w:tc>
          <w:tcPr>
            <w:tcW w:w="7567" w:type="dxa"/>
            <w:gridSpan w:val="7"/>
            <w:vAlign w:val="center"/>
          </w:tcPr>
          <w:p w14:paraId="7E773ADF">
            <w:pPr>
              <w:widowControl/>
              <w:shd w:val="clear"/>
              <w:spacing w:line="500" w:lineRule="exact"/>
              <w:ind w:firstLine="470" w:firstLineChars="196"/>
              <w:jc w:val="left"/>
              <w:rPr>
                <w:rFonts w:hAnsi="宋体" w:cs="宋体"/>
                <w:color w:val="auto"/>
                <w:sz w:val="24"/>
                <w:highlight w:val="none"/>
              </w:rPr>
            </w:pPr>
          </w:p>
        </w:tc>
      </w:tr>
      <w:tr w14:paraId="21988BE5">
        <w:tblPrEx>
          <w:tblBorders>
            <w:top w:val="single" w:color="auto" w:sz="18" w:space="0"/>
            <w:left w:val="single" w:color="auto" w:sz="18" w:space="0"/>
            <w:bottom w:val="single" w:color="auto" w:sz="18" w:space="0"/>
            <w:right w:val="single" w:color="auto" w:sz="18" w:space="0"/>
            <w:insideH w:val="single" w:color="auto" w:sz="6" w:space="0"/>
            <w:insideV w:val="single" w:color="auto" w:sz="6" w:space="0"/>
          </w:tblBorders>
          <w:tblCellMar>
            <w:top w:w="0" w:type="dxa"/>
            <w:left w:w="108" w:type="dxa"/>
            <w:bottom w:w="0" w:type="dxa"/>
            <w:right w:w="108" w:type="dxa"/>
          </w:tblCellMar>
        </w:tblPrEx>
        <w:trPr>
          <w:cantSplit/>
          <w:trHeight w:val="1072" w:hRule="atLeast"/>
        </w:trPr>
        <w:tc>
          <w:tcPr>
            <w:tcW w:w="1721" w:type="dxa"/>
          </w:tcPr>
          <w:p w14:paraId="10ADAB82">
            <w:pPr>
              <w:widowControl/>
              <w:shd w:val="clear"/>
              <w:spacing w:line="500" w:lineRule="exact"/>
              <w:ind w:firstLine="470" w:firstLineChars="196"/>
              <w:jc w:val="left"/>
              <w:rPr>
                <w:rFonts w:hAnsi="宋体" w:cs="宋体"/>
                <w:color w:val="auto"/>
                <w:sz w:val="24"/>
                <w:highlight w:val="none"/>
              </w:rPr>
            </w:pPr>
            <w:r>
              <w:rPr>
                <w:rFonts w:hint="eastAsia" w:hAnsi="宋体" w:cs="宋体"/>
                <w:color w:val="auto"/>
                <w:sz w:val="24"/>
                <w:highlight w:val="none"/>
              </w:rPr>
              <w:t>备注</w:t>
            </w:r>
          </w:p>
        </w:tc>
        <w:tc>
          <w:tcPr>
            <w:tcW w:w="7567" w:type="dxa"/>
            <w:gridSpan w:val="7"/>
          </w:tcPr>
          <w:p w14:paraId="030FC4AD">
            <w:pPr>
              <w:widowControl/>
              <w:shd w:val="clear"/>
              <w:spacing w:line="500" w:lineRule="exact"/>
              <w:ind w:firstLine="470" w:firstLineChars="196"/>
              <w:jc w:val="left"/>
              <w:rPr>
                <w:rFonts w:hAnsi="宋体" w:cs="宋体"/>
                <w:color w:val="auto"/>
                <w:sz w:val="24"/>
                <w:highlight w:val="none"/>
              </w:rPr>
            </w:pPr>
          </w:p>
        </w:tc>
      </w:tr>
    </w:tbl>
    <w:p w14:paraId="1A4D3A6E">
      <w:pPr>
        <w:widowControl/>
        <w:shd w:val="clear"/>
        <w:spacing w:line="500" w:lineRule="exact"/>
        <w:ind w:firstLine="472" w:firstLineChars="196"/>
        <w:jc w:val="left"/>
        <w:rPr>
          <w:rFonts w:hAnsi="宋体" w:cs="宋体"/>
          <w:b/>
          <w:color w:val="auto"/>
          <w:sz w:val="24"/>
          <w:highlight w:val="none"/>
        </w:rPr>
      </w:pPr>
    </w:p>
    <w:p w14:paraId="03925F08">
      <w:pPr>
        <w:widowControl/>
        <w:shd w:val="clear"/>
        <w:spacing w:line="500" w:lineRule="exact"/>
        <w:ind w:firstLine="470" w:firstLineChars="196"/>
        <w:jc w:val="left"/>
        <w:rPr>
          <w:rFonts w:hAnsi="宋体" w:cs="宋体"/>
          <w:color w:val="auto"/>
          <w:sz w:val="24"/>
          <w:highlight w:val="none"/>
        </w:rPr>
      </w:pPr>
      <w:r>
        <w:rPr>
          <w:rFonts w:hint="eastAsia" w:hAnsi="宋体" w:cs="宋体"/>
          <w:color w:val="auto"/>
          <w:sz w:val="24"/>
          <w:highlight w:val="none"/>
        </w:rPr>
        <w:t>投标人名称：XXXX（单位盖章）。</w:t>
      </w:r>
    </w:p>
    <w:p w14:paraId="0A924FB9">
      <w:pPr>
        <w:widowControl/>
        <w:shd w:val="clear"/>
        <w:spacing w:line="500" w:lineRule="exact"/>
        <w:ind w:firstLine="470" w:firstLineChars="196"/>
        <w:jc w:val="left"/>
        <w:rPr>
          <w:rFonts w:hAnsi="宋体" w:cs="宋体"/>
          <w:color w:val="auto"/>
          <w:sz w:val="24"/>
          <w:highlight w:val="none"/>
        </w:rPr>
      </w:pPr>
      <w:r>
        <w:rPr>
          <w:rFonts w:hint="eastAsia" w:hAnsi="宋体" w:cs="宋体"/>
          <w:color w:val="auto"/>
          <w:sz w:val="24"/>
          <w:highlight w:val="none"/>
        </w:rPr>
        <w:t>法定代表人或授权代表（签字或加盖个人名章）：XXXX。</w:t>
      </w:r>
    </w:p>
    <w:p w14:paraId="475BE965">
      <w:pPr>
        <w:widowControl/>
        <w:shd w:val="clear"/>
        <w:spacing w:line="500" w:lineRule="exact"/>
        <w:ind w:firstLine="470" w:firstLineChars="196"/>
        <w:jc w:val="left"/>
        <w:rPr>
          <w:rFonts w:hAnsi="宋体" w:cs="宋体"/>
          <w:color w:val="auto"/>
          <w:sz w:val="24"/>
          <w:highlight w:val="none"/>
        </w:rPr>
      </w:pPr>
      <w:r>
        <w:rPr>
          <w:rFonts w:hint="eastAsia" w:hAnsi="宋体" w:cs="宋体"/>
          <w:color w:val="auto"/>
          <w:sz w:val="24"/>
          <w:highlight w:val="none"/>
        </w:rPr>
        <w:t>投标日期: XXXX。</w:t>
      </w:r>
    </w:p>
    <w:p w14:paraId="40EE69A8">
      <w:pPr>
        <w:pStyle w:val="2"/>
        <w:shd w:val="clear"/>
        <w:rPr>
          <w:rFonts w:hAnsi="宋体" w:cs="宋体"/>
          <w:color w:val="auto"/>
          <w:highlight w:val="none"/>
        </w:rPr>
      </w:pPr>
    </w:p>
    <w:p w14:paraId="5D771F51">
      <w:pPr>
        <w:widowControl/>
        <w:shd w:val="clear"/>
        <w:spacing w:line="500" w:lineRule="exact"/>
        <w:jc w:val="center"/>
        <w:outlineLvl w:val="1"/>
        <w:rPr>
          <w:rFonts w:hAnsi="宋体" w:cs="宋体"/>
          <w:b/>
          <w:color w:val="auto"/>
          <w:sz w:val="32"/>
          <w:szCs w:val="32"/>
          <w:highlight w:val="none"/>
        </w:rPr>
      </w:pPr>
      <w:bookmarkStart w:id="130" w:name="_Toc217446089"/>
      <w:r>
        <w:rPr>
          <w:rFonts w:hint="eastAsia" w:hAnsi="宋体" w:cs="宋体"/>
          <w:b/>
          <w:color w:val="auto"/>
          <w:sz w:val="32"/>
          <w:szCs w:val="32"/>
          <w:highlight w:val="none"/>
        </w:rPr>
        <w:t>九、投标人类似项目业绩一览表</w:t>
      </w:r>
      <w:bookmarkEnd w:id="130"/>
    </w:p>
    <w:p w14:paraId="51CF1CA9">
      <w:pPr>
        <w:widowControl/>
        <w:shd w:val="clear"/>
        <w:spacing w:line="500" w:lineRule="exact"/>
        <w:ind w:firstLine="472" w:firstLineChars="196"/>
        <w:jc w:val="left"/>
        <w:rPr>
          <w:rFonts w:hAnsi="宋体" w:cs="宋体"/>
          <w:b/>
          <w:color w:val="auto"/>
          <w:sz w:val="24"/>
          <w:highlight w:val="none"/>
        </w:rPr>
      </w:pPr>
    </w:p>
    <w:tbl>
      <w:tblPr>
        <w:tblStyle w:val="29"/>
        <w:tblW w:w="9180" w:type="dxa"/>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fixed"/>
        <w:tblCellMar>
          <w:top w:w="0" w:type="dxa"/>
          <w:left w:w="54" w:type="dxa"/>
          <w:bottom w:w="0" w:type="dxa"/>
          <w:right w:w="54" w:type="dxa"/>
        </w:tblCellMar>
      </w:tblPr>
      <w:tblGrid>
        <w:gridCol w:w="818"/>
        <w:gridCol w:w="1637"/>
        <w:gridCol w:w="1501"/>
        <w:gridCol w:w="1320"/>
        <w:gridCol w:w="1443"/>
        <w:gridCol w:w="1562"/>
        <w:gridCol w:w="899"/>
      </w:tblGrid>
      <w:tr w14:paraId="68EE6024">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54" w:type="dxa"/>
            <w:bottom w:w="0" w:type="dxa"/>
            <w:right w:w="54" w:type="dxa"/>
          </w:tblCellMar>
        </w:tblPrEx>
        <w:trPr>
          <w:cantSplit/>
          <w:trHeight w:val="600" w:hRule="atLeast"/>
          <w:jc w:val="center"/>
        </w:trPr>
        <w:tc>
          <w:tcPr>
            <w:tcW w:w="820" w:type="dxa"/>
            <w:tcBorders>
              <w:top w:val="single" w:color="auto" w:sz="4" w:space="0"/>
            </w:tcBorders>
            <w:vAlign w:val="center"/>
          </w:tcPr>
          <w:p w14:paraId="0015F643">
            <w:pPr>
              <w:widowControl/>
              <w:shd w:val="clear"/>
              <w:spacing w:line="500" w:lineRule="exact"/>
              <w:jc w:val="center"/>
              <w:rPr>
                <w:rFonts w:hAnsi="宋体" w:cs="宋体"/>
                <w:color w:val="auto"/>
                <w:sz w:val="24"/>
                <w:highlight w:val="none"/>
              </w:rPr>
            </w:pPr>
            <w:r>
              <w:rPr>
                <w:rFonts w:hint="eastAsia" w:hAnsi="宋体" w:cs="宋体"/>
                <w:color w:val="auto"/>
                <w:sz w:val="24"/>
                <w:highlight w:val="none"/>
              </w:rPr>
              <w:t>年份</w:t>
            </w:r>
          </w:p>
        </w:tc>
        <w:tc>
          <w:tcPr>
            <w:tcW w:w="1641" w:type="dxa"/>
            <w:vAlign w:val="center"/>
          </w:tcPr>
          <w:p w14:paraId="4DFA9783">
            <w:pPr>
              <w:widowControl/>
              <w:shd w:val="clear"/>
              <w:spacing w:line="500" w:lineRule="exact"/>
              <w:jc w:val="center"/>
              <w:rPr>
                <w:rFonts w:hAnsi="宋体" w:cs="宋体"/>
                <w:color w:val="auto"/>
                <w:sz w:val="24"/>
                <w:highlight w:val="none"/>
              </w:rPr>
            </w:pPr>
            <w:r>
              <w:rPr>
                <w:rFonts w:hint="eastAsia" w:hAnsi="宋体" w:cs="宋体"/>
                <w:color w:val="auto"/>
                <w:sz w:val="24"/>
                <w:highlight w:val="none"/>
              </w:rPr>
              <w:t>招标人名称</w:t>
            </w:r>
          </w:p>
        </w:tc>
        <w:tc>
          <w:tcPr>
            <w:tcW w:w="1504" w:type="dxa"/>
            <w:vAlign w:val="center"/>
          </w:tcPr>
          <w:p w14:paraId="7601453C">
            <w:pPr>
              <w:widowControl/>
              <w:shd w:val="clear"/>
              <w:spacing w:line="500" w:lineRule="exact"/>
              <w:jc w:val="center"/>
              <w:rPr>
                <w:rFonts w:hAnsi="宋体" w:cs="宋体"/>
                <w:color w:val="auto"/>
                <w:sz w:val="24"/>
                <w:highlight w:val="none"/>
              </w:rPr>
            </w:pPr>
            <w:r>
              <w:rPr>
                <w:rFonts w:hint="eastAsia" w:hAnsi="宋体" w:cs="宋体"/>
                <w:color w:val="auto"/>
                <w:sz w:val="24"/>
                <w:highlight w:val="none"/>
              </w:rPr>
              <w:t>项目名称</w:t>
            </w:r>
          </w:p>
        </w:tc>
        <w:tc>
          <w:tcPr>
            <w:tcW w:w="1323" w:type="dxa"/>
            <w:vAlign w:val="center"/>
          </w:tcPr>
          <w:p w14:paraId="5CF9753E">
            <w:pPr>
              <w:widowControl/>
              <w:shd w:val="clear"/>
              <w:spacing w:line="500" w:lineRule="exact"/>
              <w:jc w:val="center"/>
              <w:rPr>
                <w:rFonts w:hAnsi="宋体" w:cs="宋体"/>
                <w:color w:val="auto"/>
                <w:sz w:val="24"/>
                <w:highlight w:val="none"/>
              </w:rPr>
            </w:pPr>
            <w:r>
              <w:rPr>
                <w:rFonts w:hint="eastAsia" w:hAnsi="宋体" w:cs="宋体"/>
                <w:color w:val="auto"/>
                <w:sz w:val="24"/>
                <w:highlight w:val="none"/>
              </w:rPr>
              <w:t>完成时间</w:t>
            </w:r>
          </w:p>
        </w:tc>
        <w:tc>
          <w:tcPr>
            <w:tcW w:w="1435" w:type="dxa"/>
            <w:vAlign w:val="center"/>
          </w:tcPr>
          <w:p w14:paraId="0E6FADE5">
            <w:pPr>
              <w:widowControl/>
              <w:shd w:val="clear"/>
              <w:spacing w:line="500" w:lineRule="exact"/>
              <w:jc w:val="center"/>
              <w:rPr>
                <w:rFonts w:hAnsi="宋体" w:cs="宋体"/>
                <w:color w:val="auto"/>
                <w:sz w:val="24"/>
                <w:highlight w:val="none"/>
              </w:rPr>
            </w:pPr>
            <w:r>
              <w:rPr>
                <w:rFonts w:hint="eastAsia" w:hAnsi="宋体" w:cs="宋体"/>
                <w:color w:val="auto"/>
                <w:sz w:val="24"/>
                <w:highlight w:val="none"/>
              </w:rPr>
              <w:t>合同金额</w:t>
            </w:r>
          </w:p>
        </w:tc>
        <w:tc>
          <w:tcPr>
            <w:tcW w:w="1566" w:type="dxa"/>
            <w:tcBorders>
              <w:right w:val="single" w:color="auto" w:sz="4" w:space="0"/>
            </w:tcBorders>
            <w:vAlign w:val="center"/>
          </w:tcPr>
          <w:p w14:paraId="260C79CD">
            <w:pPr>
              <w:widowControl/>
              <w:shd w:val="clear"/>
              <w:spacing w:line="500" w:lineRule="exact"/>
              <w:jc w:val="center"/>
              <w:rPr>
                <w:rFonts w:hAnsi="宋体" w:cs="宋体"/>
                <w:color w:val="auto"/>
                <w:sz w:val="24"/>
                <w:highlight w:val="none"/>
              </w:rPr>
            </w:pPr>
            <w:r>
              <w:rPr>
                <w:rFonts w:hint="eastAsia" w:hAnsi="宋体" w:cs="宋体"/>
                <w:color w:val="auto"/>
                <w:sz w:val="24"/>
                <w:highlight w:val="none"/>
              </w:rPr>
              <w:t>是否通过验收</w:t>
            </w:r>
          </w:p>
        </w:tc>
        <w:tc>
          <w:tcPr>
            <w:tcW w:w="891" w:type="dxa"/>
            <w:tcBorders>
              <w:left w:val="single" w:color="auto" w:sz="4" w:space="0"/>
            </w:tcBorders>
            <w:vAlign w:val="center"/>
          </w:tcPr>
          <w:p w14:paraId="6FA852C9">
            <w:pPr>
              <w:widowControl/>
              <w:shd w:val="clear"/>
              <w:spacing w:line="500" w:lineRule="exact"/>
              <w:jc w:val="center"/>
              <w:rPr>
                <w:rFonts w:hAnsi="宋体" w:cs="宋体"/>
                <w:color w:val="auto"/>
                <w:sz w:val="24"/>
                <w:highlight w:val="none"/>
              </w:rPr>
            </w:pPr>
            <w:r>
              <w:rPr>
                <w:rFonts w:hint="eastAsia" w:hAnsi="宋体" w:cs="宋体"/>
                <w:color w:val="auto"/>
                <w:sz w:val="24"/>
                <w:highlight w:val="none"/>
              </w:rPr>
              <w:t>备注</w:t>
            </w:r>
          </w:p>
        </w:tc>
      </w:tr>
      <w:tr w14:paraId="4D01420E">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54" w:type="dxa"/>
            <w:bottom w:w="0" w:type="dxa"/>
            <w:right w:w="54" w:type="dxa"/>
          </w:tblCellMar>
        </w:tblPrEx>
        <w:trPr>
          <w:cantSplit/>
          <w:trHeight w:val="600" w:hRule="atLeast"/>
          <w:jc w:val="center"/>
        </w:trPr>
        <w:tc>
          <w:tcPr>
            <w:tcW w:w="820" w:type="dxa"/>
            <w:vAlign w:val="center"/>
          </w:tcPr>
          <w:p w14:paraId="628B675A">
            <w:pPr>
              <w:widowControl/>
              <w:shd w:val="clear"/>
              <w:spacing w:line="500" w:lineRule="exact"/>
              <w:jc w:val="center"/>
              <w:rPr>
                <w:rFonts w:hAnsi="宋体" w:cs="宋体"/>
                <w:color w:val="auto"/>
                <w:sz w:val="24"/>
                <w:highlight w:val="none"/>
              </w:rPr>
            </w:pPr>
          </w:p>
        </w:tc>
        <w:tc>
          <w:tcPr>
            <w:tcW w:w="1641" w:type="dxa"/>
            <w:vAlign w:val="center"/>
          </w:tcPr>
          <w:p w14:paraId="6BA35D0C">
            <w:pPr>
              <w:widowControl/>
              <w:shd w:val="clear"/>
              <w:spacing w:line="500" w:lineRule="exact"/>
              <w:jc w:val="center"/>
              <w:rPr>
                <w:rFonts w:hAnsi="宋体" w:cs="宋体"/>
                <w:color w:val="auto"/>
                <w:sz w:val="24"/>
                <w:highlight w:val="none"/>
              </w:rPr>
            </w:pPr>
          </w:p>
        </w:tc>
        <w:tc>
          <w:tcPr>
            <w:tcW w:w="1504" w:type="dxa"/>
            <w:vAlign w:val="center"/>
          </w:tcPr>
          <w:p w14:paraId="4501A1E8">
            <w:pPr>
              <w:widowControl/>
              <w:shd w:val="clear"/>
              <w:spacing w:line="500" w:lineRule="exact"/>
              <w:jc w:val="center"/>
              <w:rPr>
                <w:rFonts w:hAnsi="宋体" w:cs="宋体"/>
                <w:color w:val="auto"/>
                <w:sz w:val="24"/>
                <w:highlight w:val="none"/>
              </w:rPr>
            </w:pPr>
          </w:p>
        </w:tc>
        <w:tc>
          <w:tcPr>
            <w:tcW w:w="1323" w:type="dxa"/>
            <w:vAlign w:val="center"/>
          </w:tcPr>
          <w:p w14:paraId="0F129DEC">
            <w:pPr>
              <w:widowControl/>
              <w:shd w:val="clear"/>
              <w:spacing w:line="500" w:lineRule="exact"/>
              <w:jc w:val="center"/>
              <w:rPr>
                <w:rFonts w:hAnsi="宋体" w:cs="宋体"/>
                <w:color w:val="auto"/>
                <w:sz w:val="24"/>
                <w:highlight w:val="none"/>
              </w:rPr>
            </w:pPr>
          </w:p>
        </w:tc>
        <w:tc>
          <w:tcPr>
            <w:tcW w:w="1435" w:type="dxa"/>
            <w:vAlign w:val="center"/>
          </w:tcPr>
          <w:p w14:paraId="4FA3B646">
            <w:pPr>
              <w:widowControl/>
              <w:shd w:val="clear"/>
              <w:spacing w:line="500" w:lineRule="exact"/>
              <w:jc w:val="center"/>
              <w:rPr>
                <w:rFonts w:hAnsi="宋体" w:cs="宋体"/>
                <w:color w:val="auto"/>
                <w:sz w:val="24"/>
                <w:highlight w:val="none"/>
              </w:rPr>
            </w:pPr>
          </w:p>
        </w:tc>
        <w:tc>
          <w:tcPr>
            <w:tcW w:w="1566" w:type="dxa"/>
            <w:tcBorders>
              <w:right w:val="single" w:color="auto" w:sz="4" w:space="0"/>
            </w:tcBorders>
            <w:vAlign w:val="center"/>
          </w:tcPr>
          <w:p w14:paraId="57E66704">
            <w:pPr>
              <w:widowControl/>
              <w:shd w:val="clear"/>
              <w:spacing w:line="500" w:lineRule="exact"/>
              <w:jc w:val="center"/>
              <w:rPr>
                <w:rFonts w:hAnsi="宋体" w:cs="宋体"/>
                <w:color w:val="auto"/>
                <w:sz w:val="24"/>
                <w:highlight w:val="none"/>
              </w:rPr>
            </w:pPr>
          </w:p>
        </w:tc>
        <w:tc>
          <w:tcPr>
            <w:tcW w:w="891" w:type="dxa"/>
            <w:tcBorders>
              <w:left w:val="single" w:color="auto" w:sz="4" w:space="0"/>
            </w:tcBorders>
            <w:vAlign w:val="center"/>
          </w:tcPr>
          <w:p w14:paraId="5BF4BD50">
            <w:pPr>
              <w:widowControl/>
              <w:shd w:val="clear"/>
              <w:spacing w:line="500" w:lineRule="exact"/>
              <w:jc w:val="center"/>
              <w:rPr>
                <w:rFonts w:hAnsi="宋体" w:cs="宋体"/>
                <w:color w:val="auto"/>
                <w:sz w:val="24"/>
                <w:highlight w:val="none"/>
              </w:rPr>
            </w:pPr>
          </w:p>
        </w:tc>
      </w:tr>
      <w:tr w14:paraId="2264434A">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54" w:type="dxa"/>
            <w:bottom w:w="0" w:type="dxa"/>
            <w:right w:w="54" w:type="dxa"/>
          </w:tblCellMar>
        </w:tblPrEx>
        <w:trPr>
          <w:cantSplit/>
          <w:trHeight w:val="600" w:hRule="atLeast"/>
          <w:jc w:val="center"/>
        </w:trPr>
        <w:tc>
          <w:tcPr>
            <w:tcW w:w="820" w:type="dxa"/>
            <w:vAlign w:val="center"/>
          </w:tcPr>
          <w:p w14:paraId="325148F9">
            <w:pPr>
              <w:widowControl/>
              <w:shd w:val="clear"/>
              <w:spacing w:line="500" w:lineRule="exact"/>
              <w:jc w:val="center"/>
              <w:rPr>
                <w:rFonts w:hAnsi="宋体" w:cs="宋体"/>
                <w:color w:val="auto"/>
                <w:sz w:val="24"/>
                <w:highlight w:val="none"/>
              </w:rPr>
            </w:pPr>
          </w:p>
        </w:tc>
        <w:tc>
          <w:tcPr>
            <w:tcW w:w="1641" w:type="dxa"/>
            <w:vAlign w:val="center"/>
          </w:tcPr>
          <w:p w14:paraId="01408DAF">
            <w:pPr>
              <w:widowControl/>
              <w:shd w:val="clear"/>
              <w:spacing w:line="500" w:lineRule="exact"/>
              <w:jc w:val="center"/>
              <w:rPr>
                <w:rFonts w:hAnsi="宋体" w:cs="宋体"/>
                <w:color w:val="auto"/>
                <w:sz w:val="24"/>
                <w:highlight w:val="none"/>
              </w:rPr>
            </w:pPr>
          </w:p>
        </w:tc>
        <w:tc>
          <w:tcPr>
            <w:tcW w:w="1504" w:type="dxa"/>
            <w:vAlign w:val="center"/>
          </w:tcPr>
          <w:p w14:paraId="4A6A1C30">
            <w:pPr>
              <w:widowControl/>
              <w:shd w:val="clear"/>
              <w:spacing w:line="500" w:lineRule="exact"/>
              <w:jc w:val="center"/>
              <w:rPr>
                <w:rFonts w:hAnsi="宋体" w:cs="宋体"/>
                <w:color w:val="auto"/>
                <w:sz w:val="24"/>
                <w:highlight w:val="none"/>
              </w:rPr>
            </w:pPr>
          </w:p>
        </w:tc>
        <w:tc>
          <w:tcPr>
            <w:tcW w:w="1323" w:type="dxa"/>
            <w:vAlign w:val="center"/>
          </w:tcPr>
          <w:p w14:paraId="3F0BC66C">
            <w:pPr>
              <w:widowControl/>
              <w:shd w:val="clear"/>
              <w:spacing w:line="500" w:lineRule="exact"/>
              <w:jc w:val="center"/>
              <w:rPr>
                <w:rFonts w:hAnsi="宋体" w:cs="宋体"/>
                <w:color w:val="auto"/>
                <w:sz w:val="24"/>
                <w:highlight w:val="none"/>
              </w:rPr>
            </w:pPr>
          </w:p>
        </w:tc>
        <w:tc>
          <w:tcPr>
            <w:tcW w:w="1435" w:type="dxa"/>
            <w:vAlign w:val="center"/>
          </w:tcPr>
          <w:p w14:paraId="1AD5587F">
            <w:pPr>
              <w:widowControl/>
              <w:shd w:val="clear"/>
              <w:spacing w:line="500" w:lineRule="exact"/>
              <w:jc w:val="center"/>
              <w:rPr>
                <w:rFonts w:hAnsi="宋体" w:cs="宋体"/>
                <w:color w:val="auto"/>
                <w:sz w:val="24"/>
                <w:highlight w:val="none"/>
              </w:rPr>
            </w:pPr>
          </w:p>
        </w:tc>
        <w:tc>
          <w:tcPr>
            <w:tcW w:w="1566" w:type="dxa"/>
            <w:tcBorders>
              <w:right w:val="single" w:color="auto" w:sz="4" w:space="0"/>
            </w:tcBorders>
            <w:vAlign w:val="center"/>
          </w:tcPr>
          <w:p w14:paraId="3D419788">
            <w:pPr>
              <w:widowControl/>
              <w:shd w:val="clear"/>
              <w:spacing w:line="500" w:lineRule="exact"/>
              <w:jc w:val="center"/>
              <w:rPr>
                <w:rFonts w:hAnsi="宋体" w:cs="宋体"/>
                <w:color w:val="auto"/>
                <w:sz w:val="24"/>
                <w:highlight w:val="none"/>
              </w:rPr>
            </w:pPr>
          </w:p>
        </w:tc>
        <w:tc>
          <w:tcPr>
            <w:tcW w:w="891" w:type="dxa"/>
            <w:tcBorders>
              <w:left w:val="single" w:color="auto" w:sz="4" w:space="0"/>
            </w:tcBorders>
            <w:vAlign w:val="center"/>
          </w:tcPr>
          <w:p w14:paraId="61BC34B4">
            <w:pPr>
              <w:widowControl/>
              <w:shd w:val="clear"/>
              <w:spacing w:line="500" w:lineRule="exact"/>
              <w:jc w:val="center"/>
              <w:rPr>
                <w:rFonts w:hAnsi="宋体" w:cs="宋体"/>
                <w:color w:val="auto"/>
                <w:sz w:val="24"/>
                <w:highlight w:val="none"/>
              </w:rPr>
            </w:pPr>
          </w:p>
        </w:tc>
      </w:tr>
      <w:tr w14:paraId="152F3930">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54" w:type="dxa"/>
            <w:bottom w:w="0" w:type="dxa"/>
            <w:right w:w="54" w:type="dxa"/>
          </w:tblCellMar>
        </w:tblPrEx>
        <w:trPr>
          <w:cantSplit/>
          <w:trHeight w:val="600" w:hRule="atLeast"/>
          <w:jc w:val="center"/>
        </w:trPr>
        <w:tc>
          <w:tcPr>
            <w:tcW w:w="820" w:type="dxa"/>
            <w:vAlign w:val="center"/>
          </w:tcPr>
          <w:p w14:paraId="5B590005">
            <w:pPr>
              <w:widowControl/>
              <w:shd w:val="clear"/>
              <w:spacing w:line="500" w:lineRule="exact"/>
              <w:jc w:val="center"/>
              <w:rPr>
                <w:rFonts w:hAnsi="宋体" w:cs="宋体"/>
                <w:color w:val="auto"/>
                <w:sz w:val="24"/>
                <w:highlight w:val="none"/>
              </w:rPr>
            </w:pPr>
          </w:p>
        </w:tc>
        <w:tc>
          <w:tcPr>
            <w:tcW w:w="1641" w:type="dxa"/>
            <w:vAlign w:val="center"/>
          </w:tcPr>
          <w:p w14:paraId="00D98C33">
            <w:pPr>
              <w:widowControl/>
              <w:shd w:val="clear"/>
              <w:spacing w:line="500" w:lineRule="exact"/>
              <w:jc w:val="center"/>
              <w:rPr>
                <w:rFonts w:hAnsi="宋体" w:cs="宋体"/>
                <w:color w:val="auto"/>
                <w:sz w:val="24"/>
                <w:highlight w:val="none"/>
              </w:rPr>
            </w:pPr>
          </w:p>
        </w:tc>
        <w:tc>
          <w:tcPr>
            <w:tcW w:w="1504" w:type="dxa"/>
            <w:vAlign w:val="center"/>
          </w:tcPr>
          <w:p w14:paraId="2CD5B7F5">
            <w:pPr>
              <w:widowControl/>
              <w:shd w:val="clear"/>
              <w:spacing w:line="500" w:lineRule="exact"/>
              <w:jc w:val="center"/>
              <w:rPr>
                <w:rFonts w:hAnsi="宋体" w:cs="宋体"/>
                <w:color w:val="auto"/>
                <w:sz w:val="24"/>
                <w:highlight w:val="none"/>
              </w:rPr>
            </w:pPr>
          </w:p>
        </w:tc>
        <w:tc>
          <w:tcPr>
            <w:tcW w:w="1323" w:type="dxa"/>
            <w:vAlign w:val="center"/>
          </w:tcPr>
          <w:p w14:paraId="6E144F0C">
            <w:pPr>
              <w:widowControl/>
              <w:shd w:val="clear"/>
              <w:spacing w:line="500" w:lineRule="exact"/>
              <w:jc w:val="center"/>
              <w:rPr>
                <w:rFonts w:hAnsi="宋体" w:cs="宋体"/>
                <w:color w:val="auto"/>
                <w:sz w:val="24"/>
                <w:highlight w:val="none"/>
              </w:rPr>
            </w:pPr>
          </w:p>
        </w:tc>
        <w:tc>
          <w:tcPr>
            <w:tcW w:w="1435" w:type="dxa"/>
            <w:vAlign w:val="center"/>
          </w:tcPr>
          <w:p w14:paraId="31707E41">
            <w:pPr>
              <w:widowControl/>
              <w:shd w:val="clear"/>
              <w:spacing w:line="500" w:lineRule="exact"/>
              <w:jc w:val="center"/>
              <w:rPr>
                <w:rFonts w:hAnsi="宋体" w:cs="宋体"/>
                <w:color w:val="auto"/>
                <w:sz w:val="24"/>
                <w:highlight w:val="none"/>
              </w:rPr>
            </w:pPr>
          </w:p>
        </w:tc>
        <w:tc>
          <w:tcPr>
            <w:tcW w:w="1566" w:type="dxa"/>
            <w:tcBorders>
              <w:right w:val="single" w:color="auto" w:sz="4" w:space="0"/>
            </w:tcBorders>
            <w:vAlign w:val="center"/>
          </w:tcPr>
          <w:p w14:paraId="53C2CEE0">
            <w:pPr>
              <w:widowControl/>
              <w:shd w:val="clear"/>
              <w:spacing w:line="500" w:lineRule="exact"/>
              <w:jc w:val="center"/>
              <w:rPr>
                <w:rFonts w:hAnsi="宋体" w:cs="宋体"/>
                <w:color w:val="auto"/>
                <w:sz w:val="24"/>
                <w:highlight w:val="none"/>
              </w:rPr>
            </w:pPr>
          </w:p>
        </w:tc>
        <w:tc>
          <w:tcPr>
            <w:tcW w:w="891" w:type="dxa"/>
            <w:tcBorders>
              <w:left w:val="single" w:color="auto" w:sz="4" w:space="0"/>
            </w:tcBorders>
            <w:vAlign w:val="center"/>
          </w:tcPr>
          <w:p w14:paraId="49695E95">
            <w:pPr>
              <w:widowControl/>
              <w:shd w:val="clear"/>
              <w:spacing w:line="500" w:lineRule="exact"/>
              <w:jc w:val="center"/>
              <w:rPr>
                <w:rFonts w:hAnsi="宋体" w:cs="宋体"/>
                <w:color w:val="auto"/>
                <w:sz w:val="24"/>
                <w:highlight w:val="none"/>
              </w:rPr>
            </w:pPr>
          </w:p>
        </w:tc>
      </w:tr>
      <w:tr w14:paraId="5C7EA6FF">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54" w:type="dxa"/>
            <w:bottom w:w="0" w:type="dxa"/>
            <w:right w:w="54" w:type="dxa"/>
          </w:tblCellMar>
        </w:tblPrEx>
        <w:trPr>
          <w:cantSplit/>
          <w:trHeight w:val="600" w:hRule="atLeast"/>
          <w:jc w:val="center"/>
        </w:trPr>
        <w:tc>
          <w:tcPr>
            <w:tcW w:w="820" w:type="dxa"/>
            <w:vAlign w:val="center"/>
          </w:tcPr>
          <w:p w14:paraId="4166CDE3">
            <w:pPr>
              <w:widowControl/>
              <w:shd w:val="clear"/>
              <w:spacing w:line="500" w:lineRule="exact"/>
              <w:jc w:val="center"/>
              <w:rPr>
                <w:rFonts w:hAnsi="宋体" w:cs="宋体"/>
                <w:color w:val="auto"/>
                <w:sz w:val="24"/>
                <w:highlight w:val="none"/>
              </w:rPr>
            </w:pPr>
          </w:p>
        </w:tc>
        <w:tc>
          <w:tcPr>
            <w:tcW w:w="1641" w:type="dxa"/>
            <w:tcBorders>
              <w:right w:val="single" w:color="auto" w:sz="4" w:space="0"/>
            </w:tcBorders>
            <w:vAlign w:val="center"/>
          </w:tcPr>
          <w:p w14:paraId="366A1F0A">
            <w:pPr>
              <w:widowControl/>
              <w:shd w:val="clear"/>
              <w:spacing w:line="500" w:lineRule="exact"/>
              <w:jc w:val="center"/>
              <w:rPr>
                <w:rFonts w:hAnsi="宋体" w:cs="宋体"/>
                <w:color w:val="auto"/>
                <w:sz w:val="24"/>
                <w:highlight w:val="none"/>
              </w:rPr>
            </w:pPr>
          </w:p>
        </w:tc>
        <w:tc>
          <w:tcPr>
            <w:tcW w:w="1504" w:type="dxa"/>
            <w:tcBorders>
              <w:left w:val="single" w:color="auto" w:sz="4" w:space="0"/>
            </w:tcBorders>
            <w:vAlign w:val="center"/>
          </w:tcPr>
          <w:p w14:paraId="2577576C">
            <w:pPr>
              <w:widowControl/>
              <w:shd w:val="clear"/>
              <w:spacing w:line="500" w:lineRule="exact"/>
              <w:jc w:val="center"/>
              <w:rPr>
                <w:rFonts w:hAnsi="宋体" w:cs="宋体"/>
                <w:color w:val="auto"/>
                <w:sz w:val="24"/>
                <w:highlight w:val="none"/>
              </w:rPr>
            </w:pPr>
          </w:p>
        </w:tc>
        <w:tc>
          <w:tcPr>
            <w:tcW w:w="1323" w:type="dxa"/>
            <w:vAlign w:val="center"/>
          </w:tcPr>
          <w:p w14:paraId="5DE9EB0F">
            <w:pPr>
              <w:widowControl/>
              <w:shd w:val="clear"/>
              <w:spacing w:line="500" w:lineRule="exact"/>
              <w:jc w:val="center"/>
              <w:rPr>
                <w:rFonts w:hAnsi="宋体" w:cs="宋体"/>
                <w:color w:val="auto"/>
                <w:sz w:val="24"/>
                <w:highlight w:val="none"/>
              </w:rPr>
            </w:pPr>
          </w:p>
        </w:tc>
        <w:tc>
          <w:tcPr>
            <w:tcW w:w="1435" w:type="dxa"/>
            <w:vAlign w:val="center"/>
          </w:tcPr>
          <w:p w14:paraId="6F1F3368">
            <w:pPr>
              <w:widowControl/>
              <w:shd w:val="clear"/>
              <w:spacing w:line="500" w:lineRule="exact"/>
              <w:jc w:val="center"/>
              <w:rPr>
                <w:rFonts w:hAnsi="宋体" w:cs="宋体"/>
                <w:color w:val="auto"/>
                <w:sz w:val="24"/>
                <w:highlight w:val="none"/>
              </w:rPr>
            </w:pPr>
          </w:p>
        </w:tc>
        <w:tc>
          <w:tcPr>
            <w:tcW w:w="1566" w:type="dxa"/>
            <w:tcBorders>
              <w:right w:val="single" w:color="auto" w:sz="4" w:space="0"/>
            </w:tcBorders>
            <w:vAlign w:val="center"/>
          </w:tcPr>
          <w:p w14:paraId="36C1B01E">
            <w:pPr>
              <w:widowControl/>
              <w:shd w:val="clear"/>
              <w:spacing w:line="500" w:lineRule="exact"/>
              <w:jc w:val="center"/>
              <w:rPr>
                <w:rFonts w:hAnsi="宋体" w:cs="宋体"/>
                <w:color w:val="auto"/>
                <w:sz w:val="24"/>
                <w:highlight w:val="none"/>
              </w:rPr>
            </w:pPr>
          </w:p>
        </w:tc>
        <w:tc>
          <w:tcPr>
            <w:tcW w:w="891" w:type="dxa"/>
            <w:tcBorders>
              <w:left w:val="single" w:color="auto" w:sz="4" w:space="0"/>
            </w:tcBorders>
            <w:vAlign w:val="center"/>
          </w:tcPr>
          <w:p w14:paraId="6989925F">
            <w:pPr>
              <w:widowControl/>
              <w:shd w:val="clear"/>
              <w:spacing w:line="500" w:lineRule="exact"/>
              <w:jc w:val="center"/>
              <w:rPr>
                <w:rFonts w:hAnsi="宋体" w:cs="宋体"/>
                <w:color w:val="auto"/>
                <w:sz w:val="24"/>
                <w:highlight w:val="none"/>
              </w:rPr>
            </w:pPr>
          </w:p>
        </w:tc>
      </w:tr>
      <w:tr w14:paraId="657661AC">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54" w:type="dxa"/>
            <w:bottom w:w="0" w:type="dxa"/>
            <w:right w:w="54" w:type="dxa"/>
          </w:tblCellMar>
        </w:tblPrEx>
        <w:trPr>
          <w:cantSplit/>
          <w:trHeight w:val="600" w:hRule="atLeast"/>
          <w:jc w:val="center"/>
        </w:trPr>
        <w:tc>
          <w:tcPr>
            <w:tcW w:w="820" w:type="dxa"/>
            <w:tcBorders>
              <w:right w:val="single" w:color="auto" w:sz="4" w:space="0"/>
            </w:tcBorders>
            <w:vAlign w:val="center"/>
          </w:tcPr>
          <w:p w14:paraId="5F57CC6C">
            <w:pPr>
              <w:widowControl/>
              <w:shd w:val="clear"/>
              <w:spacing w:line="500" w:lineRule="exact"/>
              <w:jc w:val="center"/>
              <w:rPr>
                <w:rFonts w:hAnsi="宋体" w:cs="宋体"/>
                <w:color w:val="auto"/>
                <w:sz w:val="24"/>
                <w:highlight w:val="none"/>
              </w:rPr>
            </w:pPr>
          </w:p>
        </w:tc>
        <w:tc>
          <w:tcPr>
            <w:tcW w:w="1641" w:type="dxa"/>
            <w:tcBorders>
              <w:left w:val="single" w:color="auto" w:sz="4" w:space="0"/>
              <w:right w:val="single" w:color="auto" w:sz="4" w:space="0"/>
            </w:tcBorders>
            <w:vAlign w:val="center"/>
          </w:tcPr>
          <w:p w14:paraId="5213F22A">
            <w:pPr>
              <w:widowControl/>
              <w:shd w:val="clear"/>
              <w:spacing w:line="500" w:lineRule="exact"/>
              <w:jc w:val="center"/>
              <w:rPr>
                <w:rFonts w:hAnsi="宋体" w:cs="宋体"/>
                <w:color w:val="auto"/>
                <w:sz w:val="24"/>
                <w:highlight w:val="none"/>
              </w:rPr>
            </w:pPr>
          </w:p>
        </w:tc>
        <w:tc>
          <w:tcPr>
            <w:tcW w:w="1504" w:type="dxa"/>
            <w:tcBorders>
              <w:left w:val="single" w:color="auto" w:sz="4" w:space="0"/>
              <w:right w:val="single" w:color="auto" w:sz="4" w:space="0"/>
            </w:tcBorders>
            <w:vAlign w:val="center"/>
          </w:tcPr>
          <w:p w14:paraId="7A9A8B30">
            <w:pPr>
              <w:widowControl/>
              <w:shd w:val="clear"/>
              <w:spacing w:line="500" w:lineRule="exact"/>
              <w:jc w:val="center"/>
              <w:rPr>
                <w:rFonts w:hAnsi="宋体" w:cs="宋体"/>
                <w:color w:val="auto"/>
                <w:sz w:val="24"/>
                <w:highlight w:val="none"/>
              </w:rPr>
            </w:pPr>
          </w:p>
        </w:tc>
        <w:tc>
          <w:tcPr>
            <w:tcW w:w="1323" w:type="dxa"/>
            <w:tcBorders>
              <w:left w:val="single" w:color="auto" w:sz="4" w:space="0"/>
              <w:right w:val="single" w:color="auto" w:sz="4" w:space="0"/>
            </w:tcBorders>
            <w:vAlign w:val="center"/>
          </w:tcPr>
          <w:p w14:paraId="2CFD5467">
            <w:pPr>
              <w:widowControl/>
              <w:shd w:val="clear"/>
              <w:spacing w:line="500" w:lineRule="exact"/>
              <w:jc w:val="center"/>
              <w:rPr>
                <w:rFonts w:hAnsi="宋体" w:cs="宋体"/>
                <w:color w:val="auto"/>
                <w:sz w:val="24"/>
                <w:highlight w:val="none"/>
              </w:rPr>
            </w:pPr>
          </w:p>
        </w:tc>
        <w:tc>
          <w:tcPr>
            <w:tcW w:w="1446" w:type="dxa"/>
            <w:tcBorders>
              <w:left w:val="single" w:color="auto" w:sz="4" w:space="0"/>
              <w:right w:val="single" w:color="auto" w:sz="4" w:space="0"/>
            </w:tcBorders>
            <w:vAlign w:val="center"/>
          </w:tcPr>
          <w:p w14:paraId="2FCBB00F">
            <w:pPr>
              <w:widowControl/>
              <w:shd w:val="clear"/>
              <w:spacing w:line="500" w:lineRule="exact"/>
              <w:jc w:val="center"/>
              <w:rPr>
                <w:rFonts w:hAnsi="宋体" w:cs="宋体"/>
                <w:color w:val="auto"/>
                <w:sz w:val="24"/>
                <w:highlight w:val="none"/>
              </w:rPr>
            </w:pPr>
          </w:p>
        </w:tc>
        <w:tc>
          <w:tcPr>
            <w:tcW w:w="1555" w:type="dxa"/>
            <w:tcBorders>
              <w:left w:val="single" w:color="auto" w:sz="4" w:space="0"/>
              <w:right w:val="single" w:color="auto" w:sz="4" w:space="0"/>
            </w:tcBorders>
            <w:vAlign w:val="center"/>
          </w:tcPr>
          <w:p w14:paraId="30C5F5C5">
            <w:pPr>
              <w:widowControl/>
              <w:shd w:val="clear"/>
              <w:spacing w:line="500" w:lineRule="exact"/>
              <w:jc w:val="center"/>
              <w:rPr>
                <w:rFonts w:hAnsi="宋体" w:cs="宋体"/>
                <w:color w:val="auto"/>
                <w:sz w:val="24"/>
                <w:highlight w:val="none"/>
              </w:rPr>
            </w:pPr>
          </w:p>
        </w:tc>
        <w:tc>
          <w:tcPr>
            <w:tcW w:w="891" w:type="dxa"/>
            <w:tcBorders>
              <w:left w:val="single" w:color="auto" w:sz="4" w:space="0"/>
            </w:tcBorders>
            <w:vAlign w:val="center"/>
          </w:tcPr>
          <w:p w14:paraId="143D946B">
            <w:pPr>
              <w:widowControl/>
              <w:shd w:val="clear"/>
              <w:spacing w:line="500" w:lineRule="exact"/>
              <w:jc w:val="center"/>
              <w:rPr>
                <w:rFonts w:hAnsi="宋体" w:cs="宋体"/>
                <w:color w:val="auto"/>
                <w:sz w:val="24"/>
                <w:highlight w:val="none"/>
              </w:rPr>
            </w:pPr>
          </w:p>
        </w:tc>
      </w:tr>
      <w:tr w14:paraId="2F620196">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54" w:type="dxa"/>
            <w:bottom w:w="0" w:type="dxa"/>
            <w:right w:w="54" w:type="dxa"/>
          </w:tblCellMar>
        </w:tblPrEx>
        <w:trPr>
          <w:cantSplit/>
          <w:trHeight w:val="600" w:hRule="atLeast"/>
          <w:jc w:val="center"/>
        </w:trPr>
        <w:tc>
          <w:tcPr>
            <w:tcW w:w="820" w:type="dxa"/>
            <w:vAlign w:val="center"/>
          </w:tcPr>
          <w:p w14:paraId="5CA13905">
            <w:pPr>
              <w:widowControl/>
              <w:shd w:val="clear"/>
              <w:spacing w:line="500" w:lineRule="exact"/>
              <w:jc w:val="center"/>
              <w:rPr>
                <w:rFonts w:hAnsi="宋体" w:cs="宋体"/>
                <w:color w:val="auto"/>
                <w:sz w:val="24"/>
                <w:highlight w:val="none"/>
              </w:rPr>
            </w:pPr>
          </w:p>
        </w:tc>
        <w:tc>
          <w:tcPr>
            <w:tcW w:w="1641" w:type="dxa"/>
            <w:vAlign w:val="center"/>
          </w:tcPr>
          <w:p w14:paraId="503FDCA8">
            <w:pPr>
              <w:widowControl/>
              <w:shd w:val="clear"/>
              <w:spacing w:line="500" w:lineRule="exact"/>
              <w:jc w:val="center"/>
              <w:rPr>
                <w:rFonts w:hAnsi="宋体" w:cs="宋体"/>
                <w:color w:val="auto"/>
                <w:sz w:val="24"/>
                <w:highlight w:val="none"/>
              </w:rPr>
            </w:pPr>
          </w:p>
        </w:tc>
        <w:tc>
          <w:tcPr>
            <w:tcW w:w="1504" w:type="dxa"/>
            <w:vAlign w:val="center"/>
          </w:tcPr>
          <w:p w14:paraId="41D2FB3A">
            <w:pPr>
              <w:widowControl/>
              <w:shd w:val="clear"/>
              <w:spacing w:line="500" w:lineRule="exact"/>
              <w:jc w:val="center"/>
              <w:rPr>
                <w:rFonts w:hAnsi="宋体" w:cs="宋体"/>
                <w:color w:val="auto"/>
                <w:sz w:val="24"/>
                <w:highlight w:val="none"/>
              </w:rPr>
            </w:pPr>
          </w:p>
        </w:tc>
        <w:tc>
          <w:tcPr>
            <w:tcW w:w="1323" w:type="dxa"/>
            <w:vAlign w:val="center"/>
          </w:tcPr>
          <w:p w14:paraId="404E9C1F">
            <w:pPr>
              <w:widowControl/>
              <w:shd w:val="clear"/>
              <w:spacing w:line="500" w:lineRule="exact"/>
              <w:jc w:val="center"/>
              <w:rPr>
                <w:rFonts w:hAnsi="宋体" w:cs="宋体"/>
                <w:color w:val="auto"/>
                <w:sz w:val="24"/>
                <w:highlight w:val="none"/>
              </w:rPr>
            </w:pPr>
          </w:p>
        </w:tc>
        <w:tc>
          <w:tcPr>
            <w:tcW w:w="1446" w:type="dxa"/>
            <w:tcBorders>
              <w:right w:val="single" w:color="auto" w:sz="4" w:space="0"/>
            </w:tcBorders>
            <w:vAlign w:val="center"/>
          </w:tcPr>
          <w:p w14:paraId="12E4C59C">
            <w:pPr>
              <w:widowControl/>
              <w:shd w:val="clear"/>
              <w:spacing w:line="500" w:lineRule="exact"/>
              <w:jc w:val="center"/>
              <w:rPr>
                <w:rFonts w:hAnsi="宋体" w:cs="宋体"/>
                <w:color w:val="auto"/>
                <w:sz w:val="24"/>
                <w:highlight w:val="none"/>
              </w:rPr>
            </w:pPr>
          </w:p>
        </w:tc>
        <w:tc>
          <w:tcPr>
            <w:tcW w:w="1545" w:type="dxa"/>
            <w:tcBorders>
              <w:left w:val="single" w:color="auto" w:sz="4" w:space="0"/>
              <w:right w:val="single" w:color="auto" w:sz="4" w:space="0"/>
            </w:tcBorders>
            <w:vAlign w:val="center"/>
          </w:tcPr>
          <w:p w14:paraId="765DF61D">
            <w:pPr>
              <w:widowControl/>
              <w:shd w:val="clear"/>
              <w:spacing w:line="500" w:lineRule="exact"/>
              <w:jc w:val="center"/>
              <w:rPr>
                <w:rFonts w:hAnsi="宋体" w:cs="宋体"/>
                <w:color w:val="auto"/>
                <w:sz w:val="24"/>
                <w:highlight w:val="none"/>
              </w:rPr>
            </w:pPr>
          </w:p>
        </w:tc>
        <w:tc>
          <w:tcPr>
            <w:tcW w:w="901" w:type="dxa"/>
            <w:tcBorders>
              <w:left w:val="single" w:color="auto" w:sz="4" w:space="0"/>
            </w:tcBorders>
            <w:vAlign w:val="center"/>
          </w:tcPr>
          <w:p w14:paraId="20A758AC">
            <w:pPr>
              <w:widowControl/>
              <w:shd w:val="clear"/>
              <w:spacing w:line="500" w:lineRule="exact"/>
              <w:jc w:val="center"/>
              <w:rPr>
                <w:rFonts w:hAnsi="宋体" w:cs="宋体"/>
                <w:color w:val="auto"/>
                <w:sz w:val="24"/>
                <w:highlight w:val="none"/>
              </w:rPr>
            </w:pPr>
          </w:p>
        </w:tc>
      </w:tr>
      <w:tr w14:paraId="6E48FD2D">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54" w:type="dxa"/>
            <w:bottom w:w="0" w:type="dxa"/>
            <w:right w:w="54" w:type="dxa"/>
          </w:tblCellMar>
        </w:tblPrEx>
        <w:trPr>
          <w:cantSplit/>
          <w:trHeight w:val="600" w:hRule="atLeast"/>
          <w:jc w:val="center"/>
        </w:trPr>
        <w:tc>
          <w:tcPr>
            <w:tcW w:w="820" w:type="dxa"/>
            <w:vAlign w:val="center"/>
          </w:tcPr>
          <w:p w14:paraId="44AF14EB">
            <w:pPr>
              <w:widowControl/>
              <w:shd w:val="clear"/>
              <w:spacing w:line="500" w:lineRule="exact"/>
              <w:jc w:val="center"/>
              <w:rPr>
                <w:rFonts w:hAnsi="宋体" w:cs="宋体"/>
                <w:color w:val="auto"/>
                <w:sz w:val="24"/>
                <w:highlight w:val="none"/>
              </w:rPr>
            </w:pPr>
          </w:p>
        </w:tc>
        <w:tc>
          <w:tcPr>
            <w:tcW w:w="1641" w:type="dxa"/>
            <w:vAlign w:val="center"/>
          </w:tcPr>
          <w:p w14:paraId="58EF25FA">
            <w:pPr>
              <w:widowControl/>
              <w:shd w:val="clear"/>
              <w:spacing w:line="500" w:lineRule="exact"/>
              <w:jc w:val="center"/>
              <w:rPr>
                <w:rFonts w:hAnsi="宋体" w:cs="宋体"/>
                <w:color w:val="auto"/>
                <w:sz w:val="24"/>
                <w:highlight w:val="none"/>
              </w:rPr>
            </w:pPr>
          </w:p>
        </w:tc>
        <w:tc>
          <w:tcPr>
            <w:tcW w:w="1504" w:type="dxa"/>
            <w:vAlign w:val="center"/>
          </w:tcPr>
          <w:p w14:paraId="0F249D10">
            <w:pPr>
              <w:widowControl/>
              <w:shd w:val="clear"/>
              <w:spacing w:line="500" w:lineRule="exact"/>
              <w:jc w:val="center"/>
              <w:rPr>
                <w:rFonts w:hAnsi="宋体" w:cs="宋体"/>
                <w:color w:val="auto"/>
                <w:sz w:val="24"/>
                <w:highlight w:val="none"/>
              </w:rPr>
            </w:pPr>
          </w:p>
        </w:tc>
        <w:tc>
          <w:tcPr>
            <w:tcW w:w="1323" w:type="dxa"/>
            <w:vAlign w:val="center"/>
          </w:tcPr>
          <w:p w14:paraId="0D1FAECD">
            <w:pPr>
              <w:widowControl/>
              <w:shd w:val="clear"/>
              <w:spacing w:line="500" w:lineRule="exact"/>
              <w:jc w:val="center"/>
              <w:rPr>
                <w:rFonts w:hAnsi="宋体" w:cs="宋体"/>
                <w:color w:val="auto"/>
                <w:sz w:val="24"/>
                <w:highlight w:val="none"/>
              </w:rPr>
            </w:pPr>
          </w:p>
        </w:tc>
        <w:tc>
          <w:tcPr>
            <w:tcW w:w="1446" w:type="dxa"/>
            <w:tcBorders>
              <w:right w:val="single" w:color="auto" w:sz="4" w:space="0"/>
            </w:tcBorders>
            <w:vAlign w:val="center"/>
          </w:tcPr>
          <w:p w14:paraId="6BFA6D91">
            <w:pPr>
              <w:widowControl/>
              <w:shd w:val="clear"/>
              <w:spacing w:line="500" w:lineRule="exact"/>
              <w:jc w:val="center"/>
              <w:rPr>
                <w:rFonts w:hAnsi="宋体" w:cs="宋体"/>
                <w:color w:val="auto"/>
                <w:sz w:val="24"/>
                <w:highlight w:val="none"/>
              </w:rPr>
            </w:pPr>
          </w:p>
        </w:tc>
        <w:tc>
          <w:tcPr>
            <w:tcW w:w="1545" w:type="dxa"/>
            <w:tcBorders>
              <w:left w:val="single" w:color="auto" w:sz="4" w:space="0"/>
              <w:right w:val="single" w:color="auto" w:sz="4" w:space="0"/>
            </w:tcBorders>
            <w:vAlign w:val="center"/>
          </w:tcPr>
          <w:p w14:paraId="19FBDDAF">
            <w:pPr>
              <w:widowControl/>
              <w:shd w:val="clear"/>
              <w:spacing w:line="500" w:lineRule="exact"/>
              <w:jc w:val="center"/>
              <w:rPr>
                <w:rFonts w:hAnsi="宋体" w:cs="宋体"/>
                <w:color w:val="auto"/>
                <w:sz w:val="24"/>
                <w:highlight w:val="none"/>
              </w:rPr>
            </w:pPr>
          </w:p>
        </w:tc>
        <w:tc>
          <w:tcPr>
            <w:tcW w:w="901" w:type="dxa"/>
            <w:tcBorders>
              <w:left w:val="single" w:color="auto" w:sz="4" w:space="0"/>
            </w:tcBorders>
            <w:vAlign w:val="center"/>
          </w:tcPr>
          <w:p w14:paraId="542F1CE5">
            <w:pPr>
              <w:widowControl/>
              <w:shd w:val="clear"/>
              <w:spacing w:line="500" w:lineRule="exact"/>
              <w:jc w:val="center"/>
              <w:rPr>
                <w:rFonts w:hAnsi="宋体" w:cs="宋体"/>
                <w:color w:val="auto"/>
                <w:sz w:val="24"/>
                <w:highlight w:val="none"/>
              </w:rPr>
            </w:pPr>
          </w:p>
        </w:tc>
      </w:tr>
      <w:tr w14:paraId="3712849C">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54" w:type="dxa"/>
            <w:bottom w:w="0" w:type="dxa"/>
            <w:right w:w="54" w:type="dxa"/>
          </w:tblCellMar>
        </w:tblPrEx>
        <w:trPr>
          <w:cantSplit/>
          <w:trHeight w:val="600" w:hRule="atLeast"/>
          <w:jc w:val="center"/>
        </w:trPr>
        <w:tc>
          <w:tcPr>
            <w:tcW w:w="820" w:type="dxa"/>
            <w:vAlign w:val="center"/>
          </w:tcPr>
          <w:p w14:paraId="5D02BE9D">
            <w:pPr>
              <w:widowControl/>
              <w:shd w:val="clear"/>
              <w:spacing w:line="500" w:lineRule="exact"/>
              <w:jc w:val="center"/>
              <w:rPr>
                <w:rFonts w:hAnsi="宋体" w:cs="宋体"/>
                <w:color w:val="auto"/>
                <w:sz w:val="24"/>
                <w:highlight w:val="none"/>
              </w:rPr>
            </w:pPr>
          </w:p>
        </w:tc>
        <w:tc>
          <w:tcPr>
            <w:tcW w:w="1641" w:type="dxa"/>
            <w:vAlign w:val="center"/>
          </w:tcPr>
          <w:p w14:paraId="0BD8725E">
            <w:pPr>
              <w:widowControl/>
              <w:shd w:val="clear"/>
              <w:spacing w:line="500" w:lineRule="exact"/>
              <w:jc w:val="center"/>
              <w:rPr>
                <w:rFonts w:hAnsi="宋体" w:cs="宋体"/>
                <w:color w:val="auto"/>
                <w:sz w:val="24"/>
                <w:highlight w:val="none"/>
              </w:rPr>
            </w:pPr>
          </w:p>
        </w:tc>
        <w:tc>
          <w:tcPr>
            <w:tcW w:w="1504" w:type="dxa"/>
            <w:vAlign w:val="center"/>
          </w:tcPr>
          <w:p w14:paraId="3ED9F918">
            <w:pPr>
              <w:widowControl/>
              <w:shd w:val="clear"/>
              <w:spacing w:line="500" w:lineRule="exact"/>
              <w:jc w:val="center"/>
              <w:rPr>
                <w:rFonts w:hAnsi="宋体" w:cs="宋体"/>
                <w:color w:val="auto"/>
                <w:sz w:val="24"/>
                <w:highlight w:val="none"/>
              </w:rPr>
            </w:pPr>
          </w:p>
        </w:tc>
        <w:tc>
          <w:tcPr>
            <w:tcW w:w="1323" w:type="dxa"/>
            <w:vAlign w:val="center"/>
          </w:tcPr>
          <w:p w14:paraId="24C6F1BD">
            <w:pPr>
              <w:widowControl/>
              <w:shd w:val="clear"/>
              <w:spacing w:line="500" w:lineRule="exact"/>
              <w:jc w:val="center"/>
              <w:rPr>
                <w:rFonts w:hAnsi="宋体" w:cs="宋体"/>
                <w:color w:val="auto"/>
                <w:sz w:val="24"/>
                <w:highlight w:val="none"/>
              </w:rPr>
            </w:pPr>
          </w:p>
        </w:tc>
        <w:tc>
          <w:tcPr>
            <w:tcW w:w="1446" w:type="dxa"/>
            <w:tcBorders>
              <w:right w:val="single" w:color="auto" w:sz="4" w:space="0"/>
            </w:tcBorders>
            <w:vAlign w:val="center"/>
          </w:tcPr>
          <w:p w14:paraId="3776D93B">
            <w:pPr>
              <w:widowControl/>
              <w:shd w:val="clear"/>
              <w:spacing w:line="500" w:lineRule="exact"/>
              <w:jc w:val="center"/>
              <w:rPr>
                <w:rFonts w:hAnsi="宋体" w:cs="宋体"/>
                <w:color w:val="auto"/>
                <w:sz w:val="24"/>
                <w:highlight w:val="none"/>
              </w:rPr>
            </w:pPr>
          </w:p>
        </w:tc>
        <w:tc>
          <w:tcPr>
            <w:tcW w:w="1545" w:type="dxa"/>
            <w:tcBorders>
              <w:left w:val="single" w:color="auto" w:sz="4" w:space="0"/>
              <w:right w:val="single" w:color="auto" w:sz="4" w:space="0"/>
            </w:tcBorders>
            <w:vAlign w:val="center"/>
          </w:tcPr>
          <w:p w14:paraId="43BFEBBA">
            <w:pPr>
              <w:widowControl/>
              <w:shd w:val="clear"/>
              <w:spacing w:line="500" w:lineRule="exact"/>
              <w:jc w:val="center"/>
              <w:rPr>
                <w:rFonts w:hAnsi="宋体" w:cs="宋体"/>
                <w:color w:val="auto"/>
                <w:sz w:val="24"/>
                <w:highlight w:val="none"/>
              </w:rPr>
            </w:pPr>
          </w:p>
        </w:tc>
        <w:tc>
          <w:tcPr>
            <w:tcW w:w="901" w:type="dxa"/>
            <w:tcBorders>
              <w:left w:val="single" w:color="auto" w:sz="4" w:space="0"/>
            </w:tcBorders>
            <w:vAlign w:val="center"/>
          </w:tcPr>
          <w:p w14:paraId="15AD4152">
            <w:pPr>
              <w:widowControl/>
              <w:shd w:val="clear"/>
              <w:spacing w:line="500" w:lineRule="exact"/>
              <w:jc w:val="center"/>
              <w:rPr>
                <w:rFonts w:hAnsi="宋体" w:cs="宋体"/>
                <w:color w:val="auto"/>
                <w:sz w:val="24"/>
                <w:highlight w:val="none"/>
              </w:rPr>
            </w:pPr>
          </w:p>
        </w:tc>
      </w:tr>
      <w:tr w14:paraId="64FD4AAD">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54" w:type="dxa"/>
            <w:bottom w:w="0" w:type="dxa"/>
            <w:right w:w="54" w:type="dxa"/>
          </w:tblCellMar>
        </w:tblPrEx>
        <w:trPr>
          <w:cantSplit/>
          <w:trHeight w:val="510" w:hRule="atLeast"/>
          <w:jc w:val="center"/>
        </w:trPr>
        <w:tc>
          <w:tcPr>
            <w:tcW w:w="820" w:type="dxa"/>
            <w:tcBorders>
              <w:bottom w:val="single" w:color="auto" w:sz="4" w:space="0"/>
            </w:tcBorders>
            <w:vAlign w:val="center"/>
          </w:tcPr>
          <w:p w14:paraId="0E3EF866">
            <w:pPr>
              <w:widowControl/>
              <w:shd w:val="clear"/>
              <w:spacing w:line="500" w:lineRule="exact"/>
              <w:jc w:val="center"/>
              <w:rPr>
                <w:rFonts w:hAnsi="宋体" w:cs="宋体"/>
                <w:color w:val="auto"/>
                <w:sz w:val="24"/>
                <w:highlight w:val="none"/>
              </w:rPr>
            </w:pPr>
          </w:p>
        </w:tc>
        <w:tc>
          <w:tcPr>
            <w:tcW w:w="1641" w:type="dxa"/>
            <w:tcBorders>
              <w:bottom w:val="single" w:color="auto" w:sz="4" w:space="0"/>
            </w:tcBorders>
            <w:vAlign w:val="center"/>
          </w:tcPr>
          <w:p w14:paraId="66F6754F">
            <w:pPr>
              <w:widowControl/>
              <w:shd w:val="clear"/>
              <w:spacing w:line="500" w:lineRule="exact"/>
              <w:jc w:val="center"/>
              <w:rPr>
                <w:rFonts w:hAnsi="宋体" w:cs="宋体"/>
                <w:color w:val="auto"/>
                <w:sz w:val="24"/>
                <w:highlight w:val="none"/>
              </w:rPr>
            </w:pPr>
          </w:p>
        </w:tc>
        <w:tc>
          <w:tcPr>
            <w:tcW w:w="1504" w:type="dxa"/>
            <w:tcBorders>
              <w:bottom w:val="single" w:color="auto" w:sz="4" w:space="0"/>
            </w:tcBorders>
            <w:vAlign w:val="center"/>
          </w:tcPr>
          <w:p w14:paraId="30DC6322">
            <w:pPr>
              <w:widowControl/>
              <w:shd w:val="clear"/>
              <w:spacing w:line="500" w:lineRule="exact"/>
              <w:jc w:val="center"/>
              <w:rPr>
                <w:rFonts w:hAnsi="宋体" w:cs="宋体"/>
                <w:color w:val="auto"/>
                <w:sz w:val="24"/>
                <w:highlight w:val="none"/>
              </w:rPr>
            </w:pPr>
          </w:p>
        </w:tc>
        <w:tc>
          <w:tcPr>
            <w:tcW w:w="1323" w:type="dxa"/>
            <w:tcBorders>
              <w:bottom w:val="single" w:color="auto" w:sz="4" w:space="0"/>
            </w:tcBorders>
            <w:vAlign w:val="center"/>
          </w:tcPr>
          <w:p w14:paraId="0C90E635">
            <w:pPr>
              <w:widowControl/>
              <w:shd w:val="clear"/>
              <w:spacing w:line="500" w:lineRule="exact"/>
              <w:jc w:val="center"/>
              <w:rPr>
                <w:rFonts w:hAnsi="宋体" w:cs="宋体"/>
                <w:color w:val="auto"/>
                <w:sz w:val="24"/>
                <w:highlight w:val="none"/>
              </w:rPr>
            </w:pPr>
          </w:p>
        </w:tc>
        <w:tc>
          <w:tcPr>
            <w:tcW w:w="1446" w:type="dxa"/>
            <w:tcBorders>
              <w:bottom w:val="single" w:color="auto" w:sz="4" w:space="0"/>
              <w:right w:val="single" w:color="auto" w:sz="4" w:space="0"/>
            </w:tcBorders>
            <w:vAlign w:val="center"/>
          </w:tcPr>
          <w:p w14:paraId="6905F8DC">
            <w:pPr>
              <w:widowControl/>
              <w:shd w:val="clear"/>
              <w:spacing w:line="500" w:lineRule="exact"/>
              <w:jc w:val="center"/>
              <w:rPr>
                <w:rFonts w:hAnsi="宋体" w:cs="宋体"/>
                <w:color w:val="auto"/>
                <w:sz w:val="24"/>
                <w:highlight w:val="none"/>
              </w:rPr>
            </w:pPr>
          </w:p>
        </w:tc>
        <w:tc>
          <w:tcPr>
            <w:tcW w:w="1545" w:type="dxa"/>
            <w:tcBorders>
              <w:left w:val="single" w:color="auto" w:sz="4" w:space="0"/>
              <w:bottom w:val="single" w:color="auto" w:sz="4" w:space="0"/>
              <w:right w:val="single" w:color="auto" w:sz="4" w:space="0"/>
            </w:tcBorders>
            <w:vAlign w:val="center"/>
          </w:tcPr>
          <w:p w14:paraId="70F33ED0">
            <w:pPr>
              <w:widowControl/>
              <w:shd w:val="clear"/>
              <w:spacing w:line="500" w:lineRule="exact"/>
              <w:jc w:val="center"/>
              <w:rPr>
                <w:rFonts w:hAnsi="宋体" w:cs="宋体"/>
                <w:color w:val="auto"/>
                <w:sz w:val="24"/>
                <w:highlight w:val="none"/>
              </w:rPr>
            </w:pPr>
          </w:p>
        </w:tc>
        <w:tc>
          <w:tcPr>
            <w:tcW w:w="901" w:type="dxa"/>
            <w:tcBorders>
              <w:left w:val="single" w:color="auto" w:sz="4" w:space="0"/>
              <w:bottom w:val="single" w:color="auto" w:sz="4" w:space="0"/>
            </w:tcBorders>
            <w:vAlign w:val="center"/>
          </w:tcPr>
          <w:p w14:paraId="4BEF49A6">
            <w:pPr>
              <w:widowControl/>
              <w:shd w:val="clear"/>
              <w:spacing w:line="500" w:lineRule="exact"/>
              <w:jc w:val="center"/>
              <w:rPr>
                <w:rFonts w:hAnsi="宋体" w:cs="宋体"/>
                <w:color w:val="auto"/>
                <w:sz w:val="24"/>
                <w:highlight w:val="none"/>
              </w:rPr>
            </w:pPr>
          </w:p>
        </w:tc>
      </w:tr>
      <w:tr w14:paraId="55D075A2">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54" w:type="dxa"/>
            <w:bottom w:w="0" w:type="dxa"/>
            <w:right w:w="54" w:type="dxa"/>
          </w:tblCellMar>
        </w:tblPrEx>
        <w:trPr>
          <w:cantSplit/>
          <w:trHeight w:val="615" w:hRule="atLeast"/>
          <w:jc w:val="center"/>
        </w:trPr>
        <w:tc>
          <w:tcPr>
            <w:tcW w:w="820" w:type="dxa"/>
            <w:tcBorders>
              <w:top w:val="single" w:color="auto" w:sz="4" w:space="0"/>
              <w:bottom w:val="single" w:color="auto" w:sz="4" w:space="0"/>
            </w:tcBorders>
            <w:vAlign w:val="center"/>
          </w:tcPr>
          <w:p w14:paraId="34F7CC9E">
            <w:pPr>
              <w:widowControl/>
              <w:shd w:val="clear"/>
              <w:spacing w:line="500" w:lineRule="exact"/>
              <w:jc w:val="center"/>
              <w:rPr>
                <w:rFonts w:hAnsi="宋体" w:cs="宋体"/>
                <w:color w:val="auto"/>
                <w:sz w:val="24"/>
                <w:highlight w:val="none"/>
              </w:rPr>
            </w:pPr>
          </w:p>
        </w:tc>
        <w:tc>
          <w:tcPr>
            <w:tcW w:w="1641" w:type="dxa"/>
            <w:tcBorders>
              <w:top w:val="single" w:color="auto" w:sz="4" w:space="0"/>
              <w:bottom w:val="single" w:color="auto" w:sz="4" w:space="0"/>
            </w:tcBorders>
            <w:vAlign w:val="center"/>
          </w:tcPr>
          <w:p w14:paraId="50BA7E35">
            <w:pPr>
              <w:widowControl/>
              <w:shd w:val="clear"/>
              <w:spacing w:line="500" w:lineRule="exact"/>
              <w:jc w:val="center"/>
              <w:rPr>
                <w:rFonts w:hAnsi="宋体" w:cs="宋体"/>
                <w:color w:val="auto"/>
                <w:sz w:val="24"/>
                <w:highlight w:val="none"/>
              </w:rPr>
            </w:pPr>
          </w:p>
        </w:tc>
        <w:tc>
          <w:tcPr>
            <w:tcW w:w="1504" w:type="dxa"/>
            <w:tcBorders>
              <w:top w:val="single" w:color="auto" w:sz="4" w:space="0"/>
              <w:bottom w:val="single" w:color="auto" w:sz="4" w:space="0"/>
            </w:tcBorders>
            <w:vAlign w:val="center"/>
          </w:tcPr>
          <w:p w14:paraId="0FF23A09">
            <w:pPr>
              <w:widowControl/>
              <w:shd w:val="clear"/>
              <w:spacing w:line="500" w:lineRule="exact"/>
              <w:jc w:val="center"/>
              <w:rPr>
                <w:rFonts w:hAnsi="宋体" w:cs="宋体"/>
                <w:color w:val="auto"/>
                <w:sz w:val="24"/>
                <w:highlight w:val="none"/>
              </w:rPr>
            </w:pPr>
          </w:p>
        </w:tc>
        <w:tc>
          <w:tcPr>
            <w:tcW w:w="1323" w:type="dxa"/>
            <w:tcBorders>
              <w:top w:val="single" w:color="auto" w:sz="4" w:space="0"/>
              <w:bottom w:val="single" w:color="auto" w:sz="4" w:space="0"/>
            </w:tcBorders>
            <w:vAlign w:val="center"/>
          </w:tcPr>
          <w:p w14:paraId="62AFE4FF">
            <w:pPr>
              <w:widowControl/>
              <w:shd w:val="clear"/>
              <w:spacing w:line="500" w:lineRule="exact"/>
              <w:jc w:val="center"/>
              <w:rPr>
                <w:rFonts w:hAnsi="宋体" w:cs="宋体"/>
                <w:color w:val="auto"/>
                <w:sz w:val="24"/>
                <w:highlight w:val="none"/>
              </w:rPr>
            </w:pPr>
          </w:p>
        </w:tc>
        <w:tc>
          <w:tcPr>
            <w:tcW w:w="1446" w:type="dxa"/>
            <w:tcBorders>
              <w:top w:val="single" w:color="auto" w:sz="4" w:space="0"/>
              <w:bottom w:val="single" w:color="auto" w:sz="4" w:space="0"/>
              <w:right w:val="single" w:color="auto" w:sz="4" w:space="0"/>
            </w:tcBorders>
            <w:vAlign w:val="center"/>
          </w:tcPr>
          <w:p w14:paraId="72B63992">
            <w:pPr>
              <w:widowControl/>
              <w:shd w:val="clear"/>
              <w:spacing w:line="500" w:lineRule="exact"/>
              <w:jc w:val="center"/>
              <w:rPr>
                <w:rFonts w:hAnsi="宋体" w:cs="宋体"/>
                <w:color w:val="auto"/>
                <w:sz w:val="24"/>
                <w:highlight w:val="none"/>
              </w:rPr>
            </w:pPr>
          </w:p>
        </w:tc>
        <w:tc>
          <w:tcPr>
            <w:tcW w:w="1545" w:type="dxa"/>
            <w:tcBorders>
              <w:top w:val="single" w:color="auto" w:sz="4" w:space="0"/>
              <w:left w:val="single" w:color="auto" w:sz="4" w:space="0"/>
              <w:bottom w:val="single" w:color="auto" w:sz="4" w:space="0"/>
              <w:right w:val="single" w:color="auto" w:sz="4" w:space="0"/>
            </w:tcBorders>
            <w:vAlign w:val="center"/>
          </w:tcPr>
          <w:p w14:paraId="601BE177">
            <w:pPr>
              <w:widowControl/>
              <w:shd w:val="clear"/>
              <w:spacing w:line="500" w:lineRule="exact"/>
              <w:jc w:val="center"/>
              <w:rPr>
                <w:rFonts w:hAnsi="宋体" w:cs="宋体"/>
                <w:color w:val="auto"/>
                <w:sz w:val="24"/>
                <w:highlight w:val="none"/>
              </w:rPr>
            </w:pPr>
          </w:p>
        </w:tc>
        <w:tc>
          <w:tcPr>
            <w:tcW w:w="901" w:type="dxa"/>
            <w:tcBorders>
              <w:top w:val="single" w:color="auto" w:sz="4" w:space="0"/>
              <w:left w:val="single" w:color="auto" w:sz="4" w:space="0"/>
              <w:bottom w:val="single" w:color="auto" w:sz="4" w:space="0"/>
            </w:tcBorders>
            <w:vAlign w:val="center"/>
          </w:tcPr>
          <w:p w14:paraId="47071C89">
            <w:pPr>
              <w:widowControl/>
              <w:shd w:val="clear"/>
              <w:spacing w:line="500" w:lineRule="exact"/>
              <w:jc w:val="center"/>
              <w:rPr>
                <w:rFonts w:hAnsi="宋体" w:cs="宋体"/>
                <w:color w:val="auto"/>
                <w:sz w:val="24"/>
                <w:highlight w:val="none"/>
              </w:rPr>
            </w:pPr>
          </w:p>
        </w:tc>
      </w:tr>
      <w:tr w14:paraId="4516343A">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54" w:type="dxa"/>
            <w:bottom w:w="0" w:type="dxa"/>
            <w:right w:w="54" w:type="dxa"/>
          </w:tblCellMar>
        </w:tblPrEx>
        <w:trPr>
          <w:cantSplit/>
          <w:trHeight w:val="615" w:hRule="atLeast"/>
          <w:jc w:val="center"/>
        </w:trPr>
        <w:tc>
          <w:tcPr>
            <w:tcW w:w="820" w:type="dxa"/>
            <w:tcBorders>
              <w:top w:val="single" w:color="auto" w:sz="4" w:space="0"/>
              <w:bottom w:val="single" w:color="auto" w:sz="4" w:space="0"/>
            </w:tcBorders>
            <w:vAlign w:val="center"/>
          </w:tcPr>
          <w:p w14:paraId="3AFF7E5F">
            <w:pPr>
              <w:widowControl/>
              <w:shd w:val="clear"/>
              <w:spacing w:line="500" w:lineRule="exact"/>
              <w:jc w:val="center"/>
              <w:rPr>
                <w:rFonts w:hAnsi="宋体" w:cs="宋体"/>
                <w:color w:val="auto"/>
                <w:sz w:val="24"/>
                <w:highlight w:val="none"/>
              </w:rPr>
            </w:pPr>
          </w:p>
        </w:tc>
        <w:tc>
          <w:tcPr>
            <w:tcW w:w="1641" w:type="dxa"/>
            <w:tcBorders>
              <w:top w:val="single" w:color="auto" w:sz="4" w:space="0"/>
              <w:bottom w:val="single" w:color="auto" w:sz="4" w:space="0"/>
            </w:tcBorders>
            <w:vAlign w:val="center"/>
          </w:tcPr>
          <w:p w14:paraId="4CDFF130">
            <w:pPr>
              <w:widowControl/>
              <w:shd w:val="clear"/>
              <w:spacing w:line="500" w:lineRule="exact"/>
              <w:jc w:val="center"/>
              <w:rPr>
                <w:rFonts w:hAnsi="宋体" w:cs="宋体"/>
                <w:color w:val="auto"/>
                <w:sz w:val="24"/>
                <w:highlight w:val="none"/>
              </w:rPr>
            </w:pPr>
          </w:p>
        </w:tc>
        <w:tc>
          <w:tcPr>
            <w:tcW w:w="1504" w:type="dxa"/>
            <w:tcBorders>
              <w:top w:val="single" w:color="auto" w:sz="4" w:space="0"/>
              <w:bottom w:val="single" w:color="auto" w:sz="4" w:space="0"/>
            </w:tcBorders>
            <w:vAlign w:val="center"/>
          </w:tcPr>
          <w:p w14:paraId="72AECA7B">
            <w:pPr>
              <w:widowControl/>
              <w:shd w:val="clear"/>
              <w:spacing w:line="500" w:lineRule="exact"/>
              <w:jc w:val="center"/>
              <w:rPr>
                <w:rFonts w:hAnsi="宋体" w:cs="宋体"/>
                <w:color w:val="auto"/>
                <w:sz w:val="24"/>
                <w:highlight w:val="none"/>
              </w:rPr>
            </w:pPr>
          </w:p>
        </w:tc>
        <w:tc>
          <w:tcPr>
            <w:tcW w:w="1323" w:type="dxa"/>
            <w:tcBorders>
              <w:top w:val="single" w:color="auto" w:sz="4" w:space="0"/>
              <w:bottom w:val="single" w:color="auto" w:sz="4" w:space="0"/>
            </w:tcBorders>
            <w:vAlign w:val="center"/>
          </w:tcPr>
          <w:p w14:paraId="348EC820">
            <w:pPr>
              <w:widowControl/>
              <w:shd w:val="clear"/>
              <w:spacing w:line="500" w:lineRule="exact"/>
              <w:jc w:val="center"/>
              <w:rPr>
                <w:rFonts w:hAnsi="宋体" w:cs="宋体"/>
                <w:color w:val="auto"/>
                <w:sz w:val="24"/>
                <w:highlight w:val="none"/>
              </w:rPr>
            </w:pPr>
          </w:p>
        </w:tc>
        <w:tc>
          <w:tcPr>
            <w:tcW w:w="1446" w:type="dxa"/>
            <w:tcBorders>
              <w:top w:val="single" w:color="auto" w:sz="4" w:space="0"/>
              <w:bottom w:val="single" w:color="auto" w:sz="4" w:space="0"/>
              <w:right w:val="single" w:color="auto" w:sz="4" w:space="0"/>
            </w:tcBorders>
            <w:vAlign w:val="center"/>
          </w:tcPr>
          <w:p w14:paraId="7F09DFF4">
            <w:pPr>
              <w:widowControl/>
              <w:shd w:val="clear"/>
              <w:spacing w:line="500" w:lineRule="exact"/>
              <w:jc w:val="center"/>
              <w:rPr>
                <w:rFonts w:hAnsi="宋体" w:cs="宋体"/>
                <w:color w:val="auto"/>
                <w:sz w:val="24"/>
                <w:highlight w:val="none"/>
              </w:rPr>
            </w:pPr>
          </w:p>
        </w:tc>
        <w:tc>
          <w:tcPr>
            <w:tcW w:w="1545" w:type="dxa"/>
            <w:tcBorders>
              <w:top w:val="single" w:color="auto" w:sz="4" w:space="0"/>
              <w:left w:val="single" w:color="auto" w:sz="4" w:space="0"/>
              <w:bottom w:val="single" w:color="auto" w:sz="4" w:space="0"/>
              <w:right w:val="single" w:color="auto" w:sz="4" w:space="0"/>
            </w:tcBorders>
            <w:vAlign w:val="center"/>
          </w:tcPr>
          <w:p w14:paraId="008A01D0">
            <w:pPr>
              <w:widowControl/>
              <w:shd w:val="clear"/>
              <w:spacing w:line="500" w:lineRule="exact"/>
              <w:jc w:val="center"/>
              <w:rPr>
                <w:rFonts w:hAnsi="宋体" w:cs="宋体"/>
                <w:color w:val="auto"/>
                <w:sz w:val="24"/>
                <w:highlight w:val="none"/>
              </w:rPr>
            </w:pPr>
          </w:p>
        </w:tc>
        <w:tc>
          <w:tcPr>
            <w:tcW w:w="901" w:type="dxa"/>
            <w:tcBorders>
              <w:top w:val="single" w:color="auto" w:sz="4" w:space="0"/>
              <w:left w:val="single" w:color="auto" w:sz="4" w:space="0"/>
              <w:bottom w:val="single" w:color="auto" w:sz="4" w:space="0"/>
            </w:tcBorders>
            <w:vAlign w:val="center"/>
          </w:tcPr>
          <w:p w14:paraId="46BE7C01">
            <w:pPr>
              <w:widowControl/>
              <w:shd w:val="clear"/>
              <w:spacing w:line="500" w:lineRule="exact"/>
              <w:jc w:val="center"/>
              <w:rPr>
                <w:rFonts w:hAnsi="宋体" w:cs="宋体"/>
                <w:color w:val="auto"/>
                <w:sz w:val="24"/>
                <w:highlight w:val="none"/>
              </w:rPr>
            </w:pPr>
          </w:p>
        </w:tc>
      </w:tr>
      <w:tr w14:paraId="6939AB53">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54" w:type="dxa"/>
            <w:bottom w:w="0" w:type="dxa"/>
            <w:right w:w="54" w:type="dxa"/>
          </w:tblCellMar>
        </w:tblPrEx>
        <w:trPr>
          <w:cantSplit/>
          <w:trHeight w:val="450" w:hRule="atLeast"/>
          <w:jc w:val="center"/>
        </w:trPr>
        <w:tc>
          <w:tcPr>
            <w:tcW w:w="820" w:type="dxa"/>
            <w:tcBorders>
              <w:top w:val="single" w:color="auto" w:sz="4" w:space="0"/>
              <w:bottom w:val="single" w:color="auto" w:sz="4" w:space="0"/>
            </w:tcBorders>
            <w:vAlign w:val="center"/>
          </w:tcPr>
          <w:p w14:paraId="64C16353">
            <w:pPr>
              <w:widowControl/>
              <w:shd w:val="clear"/>
              <w:spacing w:line="500" w:lineRule="exact"/>
              <w:jc w:val="center"/>
              <w:rPr>
                <w:rFonts w:hAnsi="宋体" w:cs="宋体"/>
                <w:color w:val="auto"/>
                <w:sz w:val="24"/>
                <w:highlight w:val="none"/>
              </w:rPr>
            </w:pPr>
          </w:p>
        </w:tc>
        <w:tc>
          <w:tcPr>
            <w:tcW w:w="1641" w:type="dxa"/>
            <w:tcBorders>
              <w:top w:val="single" w:color="auto" w:sz="4" w:space="0"/>
              <w:bottom w:val="single" w:color="auto" w:sz="4" w:space="0"/>
            </w:tcBorders>
            <w:vAlign w:val="center"/>
          </w:tcPr>
          <w:p w14:paraId="6D5004B4">
            <w:pPr>
              <w:widowControl/>
              <w:shd w:val="clear"/>
              <w:spacing w:line="500" w:lineRule="exact"/>
              <w:jc w:val="center"/>
              <w:rPr>
                <w:rFonts w:hAnsi="宋体" w:cs="宋体"/>
                <w:color w:val="auto"/>
                <w:sz w:val="24"/>
                <w:highlight w:val="none"/>
              </w:rPr>
            </w:pPr>
          </w:p>
        </w:tc>
        <w:tc>
          <w:tcPr>
            <w:tcW w:w="1504" w:type="dxa"/>
            <w:tcBorders>
              <w:top w:val="single" w:color="auto" w:sz="4" w:space="0"/>
              <w:bottom w:val="single" w:color="auto" w:sz="4" w:space="0"/>
            </w:tcBorders>
            <w:vAlign w:val="center"/>
          </w:tcPr>
          <w:p w14:paraId="79C559D0">
            <w:pPr>
              <w:widowControl/>
              <w:shd w:val="clear"/>
              <w:spacing w:line="500" w:lineRule="exact"/>
              <w:jc w:val="center"/>
              <w:rPr>
                <w:rFonts w:hAnsi="宋体" w:cs="宋体"/>
                <w:color w:val="auto"/>
                <w:sz w:val="24"/>
                <w:highlight w:val="none"/>
              </w:rPr>
            </w:pPr>
          </w:p>
        </w:tc>
        <w:tc>
          <w:tcPr>
            <w:tcW w:w="1323" w:type="dxa"/>
            <w:tcBorders>
              <w:top w:val="single" w:color="auto" w:sz="4" w:space="0"/>
              <w:bottom w:val="single" w:color="auto" w:sz="4" w:space="0"/>
            </w:tcBorders>
            <w:vAlign w:val="center"/>
          </w:tcPr>
          <w:p w14:paraId="4A0EB9C7">
            <w:pPr>
              <w:widowControl/>
              <w:shd w:val="clear"/>
              <w:spacing w:line="500" w:lineRule="exact"/>
              <w:jc w:val="center"/>
              <w:rPr>
                <w:rFonts w:hAnsi="宋体" w:cs="宋体"/>
                <w:color w:val="auto"/>
                <w:sz w:val="24"/>
                <w:highlight w:val="none"/>
              </w:rPr>
            </w:pPr>
          </w:p>
        </w:tc>
        <w:tc>
          <w:tcPr>
            <w:tcW w:w="1446" w:type="dxa"/>
            <w:tcBorders>
              <w:top w:val="single" w:color="auto" w:sz="4" w:space="0"/>
              <w:bottom w:val="single" w:color="auto" w:sz="4" w:space="0"/>
              <w:right w:val="single" w:color="auto" w:sz="4" w:space="0"/>
            </w:tcBorders>
            <w:vAlign w:val="center"/>
          </w:tcPr>
          <w:p w14:paraId="7DB749DD">
            <w:pPr>
              <w:widowControl/>
              <w:shd w:val="clear"/>
              <w:spacing w:line="500" w:lineRule="exact"/>
              <w:jc w:val="center"/>
              <w:rPr>
                <w:rFonts w:hAnsi="宋体" w:cs="宋体"/>
                <w:color w:val="auto"/>
                <w:sz w:val="24"/>
                <w:highlight w:val="none"/>
              </w:rPr>
            </w:pPr>
          </w:p>
        </w:tc>
        <w:tc>
          <w:tcPr>
            <w:tcW w:w="1545" w:type="dxa"/>
            <w:tcBorders>
              <w:top w:val="single" w:color="auto" w:sz="4" w:space="0"/>
              <w:left w:val="single" w:color="auto" w:sz="4" w:space="0"/>
              <w:bottom w:val="single" w:color="auto" w:sz="4" w:space="0"/>
              <w:right w:val="single" w:color="auto" w:sz="4" w:space="0"/>
            </w:tcBorders>
            <w:vAlign w:val="center"/>
          </w:tcPr>
          <w:p w14:paraId="2688A3FA">
            <w:pPr>
              <w:widowControl/>
              <w:shd w:val="clear"/>
              <w:spacing w:line="500" w:lineRule="exact"/>
              <w:jc w:val="center"/>
              <w:rPr>
                <w:rFonts w:hAnsi="宋体" w:cs="宋体"/>
                <w:color w:val="auto"/>
                <w:sz w:val="24"/>
                <w:highlight w:val="none"/>
              </w:rPr>
            </w:pPr>
          </w:p>
        </w:tc>
        <w:tc>
          <w:tcPr>
            <w:tcW w:w="901" w:type="dxa"/>
            <w:tcBorders>
              <w:top w:val="single" w:color="auto" w:sz="4" w:space="0"/>
              <w:left w:val="single" w:color="auto" w:sz="4" w:space="0"/>
              <w:bottom w:val="single" w:color="auto" w:sz="4" w:space="0"/>
            </w:tcBorders>
            <w:vAlign w:val="center"/>
          </w:tcPr>
          <w:p w14:paraId="21AB5CB9">
            <w:pPr>
              <w:widowControl/>
              <w:shd w:val="clear"/>
              <w:spacing w:line="500" w:lineRule="exact"/>
              <w:jc w:val="center"/>
              <w:rPr>
                <w:rFonts w:hAnsi="宋体" w:cs="宋体"/>
                <w:color w:val="auto"/>
                <w:sz w:val="24"/>
                <w:highlight w:val="none"/>
              </w:rPr>
            </w:pPr>
          </w:p>
        </w:tc>
      </w:tr>
      <w:tr w14:paraId="132D141E">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54" w:type="dxa"/>
            <w:bottom w:w="0" w:type="dxa"/>
            <w:right w:w="54" w:type="dxa"/>
          </w:tblCellMar>
        </w:tblPrEx>
        <w:trPr>
          <w:cantSplit/>
          <w:trHeight w:val="435" w:hRule="atLeast"/>
          <w:jc w:val="center"/>
        </w:trPr>
        <w:tc>
          <w:tcPr>
            <w:tcW w:w="820" w:type="dxa"/>
            <w:tcBorders>
              <w:top w:val="single" w:color="auto" w:sz="4" w:space="0"/>
            </w:tcBorders>
            <w:vAlign w:val="center"/>
          </w:tcPr>
          <w:p w14:paraId="0CEA5F64">
            <w:pPr>
              <w:widowControl/>
              <w:shd w:val="clear"/>
              <w:spacing w:line="500" w:lineRule="exact"/>
              <w:jc w:val="center"/>
              <w:rPr>
                <w:rFonts w:hAnsi="宋体" w:cs="宋体"/>
                <w:color w:val="auto"/>
                <w:sz w:val="24"/>
                <w:highlight w:val="none"/>
              </w:rPr>
            </w:pPr>
          </w:p>
        </w:tc>
        <w:tc>
          <w:tcPr>
            <w:tcW w:w="1641" w:type="dxa"/>
            <w:tcBorders>
              <w:top w:val="single" w:color="auto" w:sz="4" w:space="0"/>
            </w:tcBorders>
            <w:vAlign w:val="center"/>
          </w:tcPr>
          <w:p w14:paraId="1F2B0EE4">
            <w:pPr>
              <w:widowControl/>
              <w:shd w:val="clear"/>
              <w:spacing w:line="500" w:lineRule="exact"/>
              <w:jc w:val="center"/>
              <w:rPr>
                <w:rFonts w:hAnsi="宋体" w:cs="宋体"/>
                <w:color w:val="auto"/>
                <w:sz w:val="24"/>
                <w:highlight w:val="none"/>
              </w:rPr>
            </w:pPr>
          </w:p>
        </w:tc>
        <w:tc>
          <w:tcPr>
            <w:tcW w:w="1504" w:type="dxa"/>
            <w:tcBorders>
              <w:top w:val="single" w:color="auto" w:sz="4" w:space="0"/>
            </w:tcBorders>
            <w:vAlign w:val="center"/>
          </w:tcPr>
          <w:p w14:paraId="0E2F4BA8">
            <w:pPr>
              <w:widowControl/>
              <w:shd w:val="clear"/>
              <w:spacing w:line="500" w:lineRule="exact"/>
              <w:jc w:val="center"/>
              <w:rPr>
                <w:rFonts w:hAnsi="宋体" w:cs="宋体"/>
                <w:color w:val="auto"/>
                <w:sz w:val="24"/>
                <w:highlight w:val="none"/>
              </w:rPr>
            </w:pPr>
          </w:p>
        </w:tc>
        <w:tc>
          <w:tcPr>
            <w:tcW w:w="1323" w:type="dxa"/>
            <w:tcBorders>
              <w:top w:val="single" w:color="auto" w:sz="4" w:space="0"/>
            </w:tcBorders>
            <w:vAlign w:val="center"/>
          </w:tcPr>
          <w:p w14:paraId="5ED3E810">
            <w:pPr>
              <w:widowControl/>
              <w:shd w:val="clear"/>
              <w:spacing w:line="500" w:lineRule="exact"/>
              <w:jc w:val="center"/>
              <w:rPr>
                <w:rFonts w:hAnsi="宋体" w:cs="宋体"/>
                <w:color w:val="auto"/>
                <w:sz w:val="24"/>
                <w:highlight w:val="none"/>
              </w:rPr>
            </w:pPr>
          </w:p>
        </w:tc>
        <w:tc>
          <w:tcPr>
            <w:tcW w:w="1446" w:type="dxa"/>
            <w:tcBorders>
              <w:top w:val="single" w:color="auto" w:sz="4" w:space="0"/>
              <w:right w:val="single" w:color="auto" w:sz="4" w:space="0"/>
            </w:tcBorders>
            <w:vAlign w:val="center"/>
          </w:tcPr>
          <w:p w14:paraId="6BA71082">
            <w:pPr>
              <w:widowControl/>
              <w:shd w:val="clear"/>
              <w:spacing w:line="500" w:lineRule="exact"/>
              <w:jc w:val="center"/>
              <w:rPr>
                <w:rFonts w:hAnsi="宋体" w:cs="宋体"/>
                <w:color w:val="auto"/>
                <w:sz w:val="24"/>
                <w:highlight w:val="none"/>
              </w:rPr>
            </w:pPr>
          </w:p>
        </w:tc>
        <w:tc>
          <w:tcPr>
            <w:tcW w:w="1545" w:type="dxa"/>
            <w:tcBorders>
              <w:top w:val="single" w:color="auto" w:sz="4" w:space="0"/>
              <w:left w:val="single" w:color="auto" w:sz="4" w:space="0"/>
              <w:right w:val="single" w:color="auto" w:sz="4" w:space="0"/>
            </w:tcBorders>
            <w:vAlign w:val="center"/>
          </w:tcPr>
          <w:p w14:paraId="424F7B28">
            <w:pPr>
              <w:widowControl/>
              <w:shd w:val="clear"/>
              <w:spacing w:line="500" w:lineRule="exact"/>
              <w:jc w:val="center"/>
              <w:rPr>
                <w:rFonts w:hAnsi="宋体" w:cs="宋体"/>
                <w:color w:val="auto"/>
                <w:sz w:val="24"/>
                <w:highlight w:val="none"/>
              </w:rPr>
            </w:pPr>
          </w:p>
        </w:tc>
        <w:tc>
          <w:tcPr>
            <w:tcW w:w="901" w:type="dxa"/>
            <w:tcBorders>
              <w:top w:val="single" w:color="auto" w:sz="4" w:space="0"/>
              <w:left w:val="single" w:color="auto" w:sz="4" w:space="0"/>
            </w:tcBorders>
            <w:vAlign w:val="center"/>
          </w:tcPr>
          <w:p w14:paraId="7661A0DC">
            <w:pPr>
              <w:widowControl/>
              <w:shd w:val="clear"/>
              <w:spacing w:line="500" w:lineRule="exact"/>
              <w:jc w:val="center"/>
              <w:rPr>
                <w:rFonts w:hAnsi="宋体" w:cs="宋体"/>
                <w:color w:val="auto"/>
                <w:sz w:val="24"/>
                <w:highlight w:val="none"/>
              </w:rPr>
            </w:pPr>
          </w:p>
        </w:tc>
      </w:tr>
    </w:tbl>
    <w:p w14:paraId="5B427DB6">
      <w:pPr>
        <w:widowControl/>
        <w:shd w:val="clear"/>
        <w:spacing w:line="500" w:lineRule="exact"/>
        <w:ind w:firstLine="470" w:firstLineChars="196"/>
        <w:jc w:val="left"/>
        <w:rPr>
          <w:rFonts w:hAnsi="宋体" w:cs="宋体"/>
          <w:color w:val="auto"/>
          <w:sz w:val="24"/>
          <w:szCs w:val="24"/>
          <w:highlight w:val="none"/>
        </w:rPr>
      </w:pPr>
      <w:r>
        <w:rPr>
          <w:rFonts w:hint="eastAsia" w:hAnsi="宋体" w:cs="宋体"/>
          <w:color w:val="auto"/>
          <w:sz w:val="24"/>
          <w:szCs w:val="24"/>
          <w:highlight w:val="none"/>
        </w:rPr>
        <w:t>注：1、以上表格格式行可增减。</w:t>
      </w:r>
    </w:p>
    <w:p w14:paraId="5BC5C3A9">
      <w:pPr>
        <w:shd w:val="clear"/>
        <w:spacing w:line="520" w:lineRule="exact"/>
        <w:ind w:right="-228" w:rightChars="-67" w:firstLine="960" w:firstLineChars="400"/>
        <w:rPr>
          <w:rFonts w:hAnsi="宋体" w:cs="宋体"/>
          <w:color w:val="auto"/>
          <w:sz w:val="24"/>
          <w:szCs w:val="24"/>
          <w:highlight w:val="none"/>
        </w:rPr>
      </w:pPr>
      <w:r>
        <w:rPr>
          <w:rFonts w:hint="eastAsia" w:hAnsi="宋体" w:cs="宋体"/>
          <w:color w:val="auto"/>
          <w:sz w:val="24"/>
          <w:szCs w:val="24"/>
          <w:highlight w:val="none"/>
        </w:rPr>
        <w:t>2、业绩证明材料要求详见综合评分明细表。</w:t>
      </w:r>
    </w:p>
    <w:p w14:paraId="12E1E0FF">
      <w:pPr>
        <w:pStyle w:val="20"/>
        <w:shd w:val="clear"/>
        <w:spacing w:before="480" w:after="480"/>
        <w:rPr>
          <w:rFonts w:ascii="宋体" w:hAnsi="宋体" w:cs="宋体"/>
          <w:color w:val="auto"/>
          <w:highlight w:val="none"/>
        </w:rPr>
      </w:pPr>
    </w:p>
    <w:p w14:paraId="08C0CB5C">
      <w:pPr>
        <w:widowControl/>
        <w:shd w:val="clear"/>
        <w:spacing w:line="500" w:lineRule="exact"/>
        <w:ind w:firstLine="470" w:firstLineChars="196"/>
        <w:jc w:val="left"/>
        <w:rPr>
          <w:rFonts w:hAnsi="宋体" w:cs="宋体"/>
          <w:color w:val="auto"/>
          <w:sz w:val="24"/>
          <w:highlight w:val="none"/>
        </w:rPr>
      </w:pPr>
      <w:r>
        <w:rPr>
          <w:rFonts w:hint="eastAsia" w:hAnsi="宋体" w:cs="宋体"/>
          <w:color w:val="auto"/>
          <w:sz w:val="24"/>
          <w:highlight w:val="none"/>
        </w:rPr>
        <w:t>投标人名称：XXXX（单位盖章）。</w:t>
      </w:r>
    </w:p>
    <w:p w14:paraId="1B5B2493">
      <w:pPr>
        <w:widowControl/>
        <w:shd w:val="clear"/>
        <w:spacing w:line="500" w:lineRule="exact"/>
        <w:ind w:firstLine="470" w:firstLineChars="196"/>
        <w:jc w:val="left"/>
        <w:rPr>
          <w:rFonts w:hAnsi="宋体" w:cs="宋体"/>
          <w:color w:val="auto"/>
          <w:sz w:val="24"/>
          <w:highlight w:val="none"/>
        </w:rPr>
      </w:pPr>
      <w:r>
        <w:rPr>
          <w:rFonts w:hint="eastAsia" w:hAnsi="宋体" w:cs="宋体"/>
          <w:color w:val="auto"/>
          <w:sz w:val="24"/>
          <w:highlight w:val="none"/>
        </w:rPr>
        <w:t>法定代表人或授权代表（签字或加盖个人名章）：XXXX。</w:t>
      </w:r>
    </w:p>
    <w:p w14:paraId="763884F3">
      <w:pPr>
        <w:widowControl/>
        <w:shd w:val="clear"/>
        <w:spacing w:line="500" w:lineRule="exact"/>
        <w:ind w:firstLine="470" w:firstLineChars="196"/>
        <w:jc w:val="left"/>
        <w:rPr>
          <w:rFonts w:hAnsi="宋体" w:cs="宋体"/>
          <w:color w:val="auto"/>
          <w:sz w:val="24"/>
          <w:highlight w:val="none"/>
        </w:rPr>
      </w:pPr>
      <w:r>
        <w:rPr>
          <w:rFonts w:hint="eastAsia" w:hAnsi="宋体" w:cs="宋体"/>
          <w:color w:val="auto"/>
          <w:sz w:val="24"/>
          <w:highlight w:val="none"/>
        </w:rPr>
        <w:t>投标日期: XXXX。</w:t>
      </w:r>
    </w:p>
    <w:p w14:paraId="4AA198A4">
      <w:pPr>
        <w:pStyle w:val="2"/>
        <w:shd w:val="clear"/>
        <w:spacing w:line="500" w:lineRule="exact"/>
        <w:rPr>
          <w:rFonts w:hAnsi="宋体" w:cs="宋体"/>
          <w:color w:val="auto"/>
          <w:highlight w:val="none"/>
        </w:rPr>
      </w:pPr>
    </w:p>
    <w:p w14:paraId="36D22BC7">
      <w:pPr>
        <w:shd w:val="clear"/>
        <w:rPr>
          <w:rFonts w:hAnsi="宋体" w:cs="宋体"/>
          <w:b/>
          <w:color w:val="auto"/>
          <w:sz w:val="32"/>
          <w:szCs w:val="32"/>
          <w:highlight w:val="none"/>
        </w:rPr>
      </w:pPr>
      <w:bookmarkStart w:id="131" w:name="_Toc217446090"/>
      <w:r>
        <w:rPr>
          <w:rFonts w:hint="eastAsia" w:hAnsi="宋体" w:cs="宋体"/>
          <w:b/>
          <w:color w:val="auto"/>
          <w:sz w:val="32"/>
          <w:szCs w:val="32"/>
          <w:highlight w:val="none"/>
        </w:rPr>
        <w:br w:type="page"/>
      </w:r>
    </w:p>
    <w:p w14:paraId="336FB236">
      <w:pPr>
        <w:widowControl/>
        <w:shd w:val="clear"/>
        <w:spacing w:line="500" w:lineRule="exact"/>
        <w:jc w:val="center"/>
        <w:outlineLvl w:val="1"/>
        <w:rPr>
          <w:rFonts w:hAnsi="宋体" w:cs="宋体"/>
          <w:b/>
          <w:color w:val="auto"/>
          <w:sz w:val="32"/>
          <w:szCs w:val="32"/>
          <w:highlight w:val="none"/>
        </w:rPr>
      </w:pPr>
      <w:r>
        <w:rPr>
          <w:rFonts w:hint="eastAsia" w:hAnsi="宋体" w:cs="宋体"/>
          <w:b/>
          <w:color w:val="auto"/>
          <w:sz w:val="32"/>
          <w:szCs w:val="32"/>
          <w:highlight w:val="none"/>
        </w:rPr>
        <w:t>十、投标产品技术参数表</w:t>
      </w:r>
      <w:bookmarkEnd w:id="131"/>
    </w:p>
    <w:p w14:paraId="5C5EBEAA">
      <w:pPr>
        <w:widowControl/>
        <w:shd w:val="clear"/>
        <w:spacing w:line="500" w:lineRule="exact"/>
        <w:ind w:firstLine="472" w:firstLineChars="196"/>
        <w:jc w:val="left"/>
        <w:rPr>
          <w:rFonts w:hAnsi="宋体" w:cs="宋体"/>
          <w:b/>
          <w:color w:val="auto"/>
          <w:sz w:val="24"/>
          <w:highlight w:val="none"/>
        </w:rPr>
      </w:pPr>
    </w:p>
    <w:p w14:paraId="4CA6B71C">
      <w:pPr>
        <w:widowControl/>
        <w:shd w:val="clear"/>
        <w:spacing w:line="500" w:lineRule="exact"/>
        <w:ind w:firstLine="120" w:firstLineChars="50"/>
        <w:jc w:val="left"/>
        <w:rPr>
          <w:rFonts w:hAnsi="宋体" w:cs="宋体"/>
          <w:color w:val="auto"/>
          <w:sz w:val="24"/>
          <w:highlight w:val="none"/>
        </w:rPr>
      </w:pPr>
      <w:r>
        <w:rPr>
          <w:rFonts w:hint="eastAsia" w:hAnsi="宋体" w:cs="宋体"/>
          <w:color w:val="auto"/>
          <w:sz w:val="24"/>
          <w:highlight w:val="none"/>
        </w:rPr>
        <w:t xml:space="preserve">招标编号：                                </w:t>
      </w:r>
    </w:p>
    <w:tbl>
      <w:tblPr>
        <w:tblStyle w:val="29"/>
        <w:tblW w:w="928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60"/>
        <w:gridCol w:w="1912"/>
        <w:gridCol w:w="2426"/>
        <w:gridCol w:w="2572"/>
        <w:gridCol w:w="1617"/>
      </w:tblGrid>
      <w:tr w14:paraId="0816AC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60" w:type="dxa"/>
            <w:vAlign w:val="center"/>
          </w:tcPr>
          <w:p w14:paraId="23E6240A">
            <w:pPr>
              <w:widowControl/>
              <w:shd w:val="clear"/>
              <w:spacing w:line="500" w:lineRule="exact"/>
              <w:jc w:val="center"/>
              <w:rPr>
                <w:rFonts w:hAnsi="宋体" w:cs="宋体"/>
                <w:color w:val="auto"/>
                <w:sz w:val="24"/>
                <w:highlight w:val="none"/>
              </w:rPr>
            </w:pPr>
            <w:r>
              <w:rPr>
                <w:rFonts w:hint="eastAsia" w:hAnsi="宋体" w:cs="宋体"/>
                <w:color w:val="auto"/>
                <w:sz w:val="24"/>
                <w:highlight w:val="none"/>
              </w:rPr>
              <w:t>序号</w:t>
            </w:r>
          </w:p>
        </w:tc>
        <w:tc>
          <w:tcPr>
            <w:tcW w:w="1912" w:type="dxa"/>
            <w:vAlign w:val="center"/>
          </w:tcPr>
          <w:p w14:paraId="63AA9720">
            <w:pPr>
              <w:widowControl/>
              <w:shd w:val="clear"/>
              <w:spacing w:line="500" w:lineRule="exact"/>
              <w:jc w:val="center"/>
              <w:rPr>
                <w:rFonts w:hAnsi="宋体" w:cs="宋体"/>
                <w:color w:val="auto"/>
                <w:sz w:val="24"/>
                <w:highlight w:val="none"/>
              </w:rPr>
            </w:pPr>
            <w:r>
              <w:rPr>
                <w:rFonts w:hint="eastAsia" w:hAnsi="宋体" w:cs="宋体"/>
                <w:color w:val="auto"/>
                <w:sz w:val="24"/>
                <w:highlight w:val="none"/>
              </w:rPr>
              <w:t>产品名称</w:t>
            </w:r>
          </w:p>
        </w:tc>
        <w:tc>
          <w:tcPr>
            <w:tcW w:w="2426" w:type="dxa"/>
            <w:vAlign w:val="center"/>
          </w:tcPr>
          <w:p w14:paraId="35C98915">
            <w:pPr>
              <w:widowControl/>
              <w:shd w:val="clear"/>
              <w:spacing w:line="500" w:lineRule="exact"/>
              <w:jc w:val="center"/>
              <w:rPr>
                <w:rFonts w:hAnsi="宋体" w:cs="宋体"/>
                <w:color w:val="auto"/>
                <w:sz w:val="24"/>
                <w:highlight w:val="none"/>
              </w:rPr>
            </w:pPr>
            <w:r>
              <w:rPr>
                <w:rFonts w:hint="eastAsia" w:hAnsi="宋体" w:cs="宋体"/>
                <w:color w:val="auto"/>
                <w:sz w:val="24"/>
                <w:highlight w:val="none"/>
              </w:rPr>
              <w:t>招标文件要求</w:t>
            </w:r>
          </w:p>
        </w:tc>
        <w:tc>
          <w:tcPr>
            <w:tcW w:w="2572" w:type="dxa"/>
            <w:vAlign w:val="center"/>
          </w:tcPr>
          <w:p w14:paraId="1B42859E">
            <w:pPr>
              <w:widowControl/>
              <w:shd w:val="clear"/>
              <w:spacing w:line="500" w:lineRule="exact"/>
              <w:jc w:val="center"/>
              <w:rPr>
                <w:rFonts w:hAnsi="宋体" w:cs="宋体"/>
                <w:color w:val="auto"/>
                <w:sz w:val="24"/>
                <w:highlight w:val="none"/>
              </w:rPr>
            </w:pPr>
            <w:r>
              <w:rPr>
                <w:rFonts w:hint="eastAsia" w:hAnsi="宋体" w:cs="宋体"/>
                <w:color w:val="auto"/>
                <w:sz w:val="24"/>
                <w:highlight w:val="none"/>
              </w:rPr>
              <w:t>投标产品技术参数</w:t>
            </w:r>
          </w:p>
        </w:tc>
        <w:tc>
          <w:tcPr>
            <w:tcW w:w="1617" w:type="dxa"/>
            <w:vAlign w:val="center"/>
          </w:tcPr>
          <w:p w14:paraId="29E3C739">
            <w:pPr>
              <w:widowControl/>
              <w:shd w:val="clear"/>
              <w:spacing w:line="500" w:lineRule="exact"/>
              <w:jc w:val="center"/>
              <w:rPr>
                <w:rFonts w:hAnsi="宋体" w:cs="宋体"/>
                <w:color w:val="auto"/>
                <w:sz w:val="24"/>
                <w:highlight w:val="none"/>
              </w:rPr>
            </w:pPr>
            <w:r>
              <w:rPr>
                <w:rFonts w:hint="eastAsia" w:hAnsi="宋体" w:cs="宋体"/>
                <w:color w:val="auto"/>
                <w:sz w:val="24"/>
                <w:highlight w:val="none"/>
              </w:rPr>
              <w:t>偏离说明</w:t>
            </w:r>
          </w:p>
        </w:tc>
      </w:tr>
      <w:tr w14:paraId="4BA5AB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60" w:type="dxa"/>
          </w:tcPr>
          <w:p w14:paraId="733FADB5">
            <w:pPr>
              <w:widowControl/>
              <w:shd w:val="clear"/>
              <w:spacing w:line="500" w:lineRule="exact"/>
              <w:jc w:val="center"/>
              <w:rPr>
                <w:rFonts w:hAnsi="宋体" w:cs="宋体"/>
                <w:color w:val="auto"/>
                <w:sz w:val="24"/>
                <w:highlight w:val="none"/>
              </w:rPr>
            </w:pPr>
          </w:p>
        </w:tc>
        <w:tc>
          <w:tcPr>
            <w:tcW w:w="1912" w:type="dxa"/>
          </w:tcPr>
          <w:p w14:paraId="05F90744">
            <w:pPr>
              <w:widowControl/>
              <w:shd w:val="clear"/>
              <w:spacing w:line="500" w:lineRule="exact"/>
              <w:jc w:val="center"/>
              <w:rPr>
                <w:rFonts w:hAnsi="宋体" w:cs="宋体"/>
                <w:color w:val="auto"/>
                <w:sz w:val="24"/>
                <w:highlight w:val="none"/>
              </w:rPr>
            </w:pPr>
          </w:p>
        </w:tc>
        <w:tc>
          <w:tcPr>
            <w:tcW w:w="2426" w:type="dxa"/>
          </w:tcPr>
          <w:p w14:paraId="6D3E3241">
            <w:pPr>
              <w:widowControl/>
              <w:shd w:val="clear"/>
              <w:spacing w:line="500" w:lineRule="exact"/>
              <w:jc w:val="center"/>
              <w:rPr>
                <w:rFonts w:hAnsi="宋体" w:cs="宋体"/>
                <w:color w:val="auto"/>
                <w:sz w:val="24"/>
                <w:highlight w:val="none"/>
              </w:rPr>
            </w:pPr>
          </w:p>
        </w:tc>
        <w:tc>
          <w:tcPr>
            <w:tcW w:w="2572" w:type="dxa"/>
          </w:tcPr>
          <w:p w14:paraId="23FFE614">
            <w:pPr>
              <w:widowControl/>
              <w:shd w:val="clear"/>
              <w:spacing w:line="500" w:lineRule="exact"/>
              <w:jc w:val="center"/>
              <w:rPr>
                <w:rFonts w:hAnsi="宋体" w:cs="宋体"/>
                <w:color w:val="auto"/>
                <w:sz w:val="24"/>
                <w:highlight w:val="none"/>
              </w:rPr>
            </w:pPr>
          </w:p>
        </w:tc>
        <w:tc>
          <w:tcPr>
            <w:tcW w:w="1617" w:type="dxa"/>
          </w:tcPr>
          <w:p w14:paraId="41366320">
            <w:pPr>
              <w:widowControl/>
              <w:shd w:val="clear"/>
              <w:spacing w:line="500" w:lineRule="exact"/>
              <w:jc w:val="center"/>
              <w:rPr>
                <w:rFonts w:hAnsi="宋体" w:cs="宋体"/>
                <w:color w:val="auto"/>
                <w:sz w:val="24"/>
                <w:highlight w:val="none"/>
              </w:rPr>
            </w:pPr>
          </w:p>
        </w:tc>
      </w:tr>
      <w:tr w14:paraId="72BA35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60" w:type="dxa"/>
          </w:tcPr>
          <w:p w14:paraId="545D0A99">
            <w:pPr>
              <w:widowControl/>
              <w:shd w:val="clear"/>
              <w:spacing w:line="500" w:lineRule="exact"/>
              <w:jc w:val="center"/>
              <w:rPr>
                <w:rFonts w:hAnsi="宋体" w:cs="宋体"/>
                <w:color w:val="auto"/>
                <w:sz w:val="24"/>
                <w:highlight w:val="none"/>
              </w:rPr>
            </w:pPr>
          </w:p>
        </w:tc>
        <w:tc>
          <w:tcPr>
            <w:tcW w:w="1912" w:type="dxa"/>
          </w:tcPr>
          <w:p w14:paraId="1E7A1B86">
            <w:pPr>
              <w:widowControl/>
              <w:shd w:val="clear"/>
              <w:spacing w:line="500" w:lineRule="exact"/>
              <w:jc w:val="center"/>
              <w:rPr>
                <w:rFonts w:hAnsi="宋体" w:cs="宋体"/>
                <w:color w:val="auto"/>
                <w:sz w:val="24"/>
                <w:highlight w:val="none"/>
              </w:rPr>
            </w:pPr>
          </w:p>
        </w:tc>
        <w:tc>
          <w:tcPr>
            <w:tcW w:w="2426" w:type="dxa"/>
          </w:tcPr>
          <w:p w14:paraId="19FBD155">
            <w:pPr>
              <w:widowControl/>
              <w:shd w:val="clear"/>
              <w:spacing w:line="500" w:lineRule="exact"/>
              <w:jc w:val="center"/>
              <w:rPr>
                <w:rFonts w:hAnsi="宋体" w:cs="宋体"/>
                <w:color w:val="auto"/>
                <w:sz w:val="24"/>
                <w:highlight w:val="none"/>
              </w:rPr>
            </w:pPr>
          </w:p>
        </w:tc>
        <w:tc>
          <w:tcPr>
            <w:tcW w:w="2572" w:type="dxa"/>
          </w:tcPr>
          <w:p w14:paraId="5E241A48">
            <w:pPr>
              <w:widowControl/>
              <w:shd w:val="clear"/>
              <w:spacing w:line="500" w:lineRule="exact"/>
              <w:jc w:val="center"/>
              <w:rPr>
                <w:rFonts w:hAnsi="宋体" w:cs="宋体"/>
                <w:color w:val="auto"/>
                <w:sz w:val="24"/>
                <w:highlight w:val="none"/>
              </w:rPr>
            </w:pPr>
          </w:p>
        </w:tc>
        <w:tc>
          <w:tcPr>
            <w:tcW w:w="1617" w:type="dxa"/>
          </w:tcPr>
          <w:p w14:paraId="21DA3C01">
            <w:pPr>
              <w:widowControl/>
              <w:shd w:val="clear"/>
              <w:spacing w:line="500" w:lineRule="exact"/>
              <w:jc w:val="center"/>
              <w:rPr>
                <w:rFonts w:hAnsi="宋体" w:cs="宋体"/>
                <w:color w:val="auto"/>
                <w:sz w:val="24"/>
                <w:highlight w:val="none"/>
              </w:rPr>
            </w:pPr>
          </w:p>
        </w:tc>
      </w:tr>
      <w:tr w14:paraId="5F6CA2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60" w:type="dxa"/>
          </w:tcPr>
          <w:p w14:paraId="09EC7C70">
            <w:pPr>
              <w:widowControl/>
              <w:shd w:val="clear"/>
              <w:spacing w:line="500" w:lineRule="exact"/>
              <w:jc w:val="center"/>
              <w:rPr>
                <w:rFonts w:hAnsi="宋体" w:cs="宋体"/>
                <w:color w:val="auto"/>
                <w:sz w:val="24"/>
                <w:highlight w:val="none"/>
              </w:rPr>
            </w:pPr>
          </w:p>
        </w:tc>
        <w:tc>
          <w:tcPr>
            <w:tcW w:w="1912" w:type="dxa"/>
          </w:tcPr>
          <w:p w14:paraId="59F8B968">
            <w:pPr>
              <w:widowControl/>
              <w:shd w:val="clear"/>
              <w:spacing w:line="500" w:lineRule="exact"/>
              <w:jc w:val="center"/>
              <w:rPr>
                <w:rFonts w:hAnsi="宋体" w:cs="宋体"/>
                <w:color w:val="auto"/>
                <w:sz w:val="24"/>
                <w:highlight w:val="none"/>
              </w:rPr>
            </w:pPr>
          </w:p>
        </w:tc>
        <w:tc>
          <w:tcPr>
            <w:tcW w:w="2426" w:type="dxa"/>
          </w:tcPr>
          <w:p w14:paraId="43243223">
            <w:pPr>
              <w:widowControl/>
              <w:shd w:val="clear"/>
              <w:spacing w:line="500" w:lineRule="exact"/>
              <w:jc w:val="center"/>
              <w:rPr>
                <w:rFonts w:hAnsi="宋体" w:cs="宋体"/>
                <w:color w:val="auto"/>
                <w:sz w:val="24"/>
                <w:highlight w:val="none"/>
              </w:rPr>
            </w:pPr>
          </w:p>
        </w:tc>
        <w:tc>
          <w:tcPr>
            <w:tcW w:w="2572" w:type="dxa"/>
          </w:tcPr>
          <w:p w14:paraId="56E06D7B">
            <w:pPr>
              <w:widowControl/>
              <w:shd w:val="clear"/>
              <w:spacing w:line="500" w:lineRule="exact"/>
              <w:jc w:val="center"/>
              <w:rPr>
                <w:rFonts w:hAnsi="宋体" w:cs="宋体"/>
                <w:color w:val="auto"/>
                <w:sz w:val="24"/>
                <w:highlight w:val="none"/>
              </w:rPr>
            </w:pPr>
          </w:p>
        </w:tc>
        <w:tc>
          <w:tcPr>
            <w:tcW w:w="1617" w:type="dxa"/>
          </w:tcPr>
          <w:p w14:paraId="2464D937">
            <w:pPr>
              <w:widowControl/>
              <w:shd w:val="clear"/>
              <w:spacing w:line="500" w:lineRule="exact"/>
              <w:jc w:val="center"/>
              <w:rPr>
                <w:rFonts w:hAnsi="宋体" w:cs="宋体"/>
                <w:color w:val="auto"/>
                <w:sz w:val="24"/>
                <w:highlight w:val="none"/>
              </w:rPr>
            </w:pPr>
          </w:p>
        </w:tc>
      </w:tr>
      <w:tr w14:paraId="14CE69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60" w:type="dxa"/>
          </w:tcPr>
          <w:p w14:paraId="4B21AEEB">
            <w:pPr>
              <w:widowControl/>
              <w:shd w:val="clear"/>
              <w:spacing w:line="500" w:lineRule="exact"/>
              <w:jc w:val="center"/>
              <w:rPr>
                <w:rFonts w:hAnsi="宋体" w:cs="宋体"/>
                <w:color w:val="auto"/>
                <w:sz w:val="24"/>
                <w:highlight w:val="none"/>
              </w:rPr>
            </w:pPr>
          </w:p>
        </w:tc>
        <w:tc>
          <w:tcPr>
            <w:tcW w:w="1912" w:type="dxa"/>
          </w:tcPr>
          <w:p w14:paraId="52489AF6">
            <w:pPr>
              <w:widowControl/>
              <w:shd w:val="clear"/>
              <w:spacing w:line="500" w:lineRule="exact"/>
              <w:jc w:val="center"/>
              <w:rPr>
                <w:rFonts w:hAnsi="宋体" w:cs="宋体"/>
                <w:color w:val="auto"/>
                <w:sz w:val="24"/>
                <w:highlight w:val="none"/>
              </w:rPr>
            </w:pPr>
          </w:p>
        </w:tc>
        <w:tc>
          <w:tcPr>
            <w:tcW w:w="2426" w:type="dxa"/>
          </w:tcPr>
          <w:p w14:paraId="2DD629E0">
            <w:pPr>
              <w:widowControl/>
              <w:shd w:val="clear"/>
              <w:spacing w:line="500" w:lineRule="exact"/>
              <w:jc w:val="center"/>
              <w:rPr>
                <w:rFonts w:hAnsi="宋体" w:cs="宋体"/>
                <w:color w:val="auto"/>
                <w:sz w:val="24"/>
                <w:highlight w:val="none"/>
              </w:rPr>
            </w:pPr>
          </w:p>
        </w:tc>
        <w:tc>
          <w:tcPr>
            <w:tcW w:w="2572" w:type="dxa"/>
          </w:tcPr>
          <w:p w14:paraId="6E677272">
            <w:pPr>
              <w:widowControl/>
              <w:shd w:val="clear"/>
              <w:spacing w:line="500" w:lineRule="exact"/>
              <w:jc w:val="center"/>
              <w:rPr>
                <w:rFonts w:hAnsi="宋体" w:cs="宋体"/>
                <w:color w:val="auto"/>
                <w:sz w:val="24"/>
                <w:highlight w:val="none"/>
              </w:rPr>
            </w:pPr>
          </w:p>
        </w:tc>
        <w:tc>
          <w:tcPr>
            <w:tcW w:w="1617" w:type="dxa"/>
          </w:tcPr>
          <w:p w14:paraId="3D3FFBAC">
            <w:pPr>
              <w:widowControl/>
              <w:shd w:val="clear"/>
              <w:spacing w:line="500" w:lineRule="exact"/>
              <w:jc w:val="center"/>
              <w:rPr>
                <w:rFonts w:hAnsi="宋体" w:cs="宋体"/>
                <w:color w:val="auto"/>
                <w:sz w:val="24"/>
                <w:highlight w:val="none"/>
              </w:rPr>
            </w:pPr>
          </w:p>
        </w:tc>
      </w:tr>
      <w:tr w14:paraId="50C2DA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60" w:type="dxa"/>
          </w:tcPr>
          <w:p w14:paraId="4936400A">
            <w:pPr>
              <w:widowControl/>
              <w:shd w:val="clear"/>
              <w:spacing w:line="500" w:lineRule="exact"/>
              <w:jc w:val="center"/>
              <w:rPr>
                <w:rFonts w:hAnsi="宋体" w:cs="宋体"/>
                <w:color w:val="auto"/>
                <w:sz w:val="24"/>
                <w:highlight w:val="none"/>
              </w:rPr>
            </w:pPr>
          </w:p>
        </w:tc>
        <w:tc>
          <w:tcPr>
            <w:tcW w:w="1912" w:type="dxa"/>
          </w:tcPr>
          <w:p w14:paraId="071CF06F">
            <w:pPr>
              <w:widowControl/>
              <w:shd w:val="clear"/>
              <w:spacing w:line="500" w:lineRule="exact"/>
              <w:jc w:val="center"/>
              <w:rPr>
                <w:rFonts w:hAnsi="宋体" w:cs="宋体"/>
                <w:color w:val="auto"/>
                <w:sz w:val="24"/>
                <w:highlight w:val="none"/>
              </w:rPr>
            </w:pPr>
          </w:p>
        </w:tc>
        <w:tc>
          <w:tcPr>
            <w:tcW w:w="2426" w:type="dxa"/>
          </w:tcPr>
          <w:p w14:paraId="2A577725">
            <w:pPr>
              <w:widowControl/>
              <w:shd w:val="clear"/>
              <w:spacing w:line="500" w:lineRule="exact"/>
              <w:jc w:val="center"/>
              <w:rPr>
                <w:rFonts w:hAnsi="宋体" w:cs="宋体"/>
                <w:color w:val="auto"/>
                <w:sz w:val="24"/>
                <w:highlight w:val="none"/>
              </w:rPr>
            </w:pPr>
          </w:p>
        </w:tc>
        <w:tc>
          <w:tcPr>
            <w:tcW w:w="2572" w:type="dxa"/>
          </w:tcPr>
          <w:p w14:paraId="2CCA4E98">
            <w:pPr>
              <w:widowControl/>
              <w:shd w:val="clear"/>
              <w:spacing w:line="500" w:lineRule="exact"/>
              <w:jc w:val="center"/>
              <w:rPr>
                <w:rFonts w:hAnsi="宋体" w:cs="宋体"/>
                <w:color w:val="auto"/>
                <w:sz w:val="24"/>
                <w:highlight w:val="none"/>
              </w:rPr>
            </w:pPr>
          </w:p>
        </w:tc>
        <w:tc>
          <w:tcPr>
            <w:tcW w:w="1617" w:type="dxa"/>
          </w:tcPr>
          <w:p w14:paraId="5A75A3D1">
            <w:pPr>
              <w:widowControl/>
              <w:shd w:val="clear"/>
              <w:spacing w:line="500" w:lineRule="exact"/>
              <w:jc w:val="center"/>
              <w:rPr>
                <w:rFonts w:hAnsi="宋体" w:cs="宋体"/>
                <w:color w:val="auto"/>
                <w:sz w:val="24"/>
                <w:highlight w:val="none"/>
              </w:rPr>
            </w:pPr>
          </w:p>
        </w:tc>
      </w:tr>
      <w:tr w14:paraId="72D45F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60" w:type="dxa"/>
          </w:tcPr>
          <w:p w14:paraId="589CE716">
            <w:pPr>
              <w:widowControl/>
              <w:shd w:val="clear"/>
              <w:spacing w:line="500" w:lineRule="exact"/>
              <w:jc w:val="center"/>
              <w:rPr>
                <w:rFonts w:hAnsi="宋体" w:cs="宋体"/>
                <w:color w:val="auto"/>
                <w:sz w:val="24"/>
                <w:highlight w:val="none"/>
              </w:rPr>
            </w:pPr>
          </w:p>
        </w:tc>
        <w:tc>
          <w:tcPr>
            <w:tcW w:w="1912" w:type="dxa"/>
          </w:tcPr>
          <w:p w14:paraId="6BC41F7B">
            <w:pPr>
              <w:widowControl/>
              <w:shd w:val="clear"/>
              <w:spacing w:line="500" w:lineRule="exact"/>
              <w:jc w:val="center"/>
              <w:rPr>
                <w:rFonts w:hAnsi="宋体" w:cs="宋体"/>
                <w:color w:val="auto"/>
                <w:sz w:val="24"/>
                <w:highlight w:val="none"/>
              </w:rPr>
            </w:pPr>
          </w:p>
        </w:tc>
        <w:tc>
          <w:tcPr>
            <w:tcW w:w="2426" w:type="dxa"/>
          </w:tcPr>
          <w:p w14:paraId="6DFA73D5">
            <w:pPr>
              <w:widowControl/>
              <w:shd w:val="clear"/>
              <w:spacing w:line="500" w:lineRule="exact"/>
              <w:jc w:val="center"/>
              <w:rPr>
                <w:rFonts w:hAnsi="宋体" w:cs="宋体"/>
                <w:color w:val="auto"/>
                <w:sz w:val="24"/>
                <w:highlight w:val="none"/>
              </w:rPr>
            </w:pPr>
          </w:p>
        </w:tc>
        <w:tc>
          <w:tcPr>
            <w:tcW w:w="2572" w:type="dxa"/>
          </w:tcPr>
          <w:p w14:paraId="0E21B162">
            <w:pPr>
              <w:widowControl/>
              <w:shd w:val="clear"/>
              <w:spacing w:line="500" w:lineRule="exact"/>
              <w:jc w:val="center"/>
              <w:rPr>
                <w:rFonts w:hAnsi="宋体" w:cs="宋体"/>
                <w:color w:val="auto"/>
                <w:sz w:val="24"/>
                <w:highlight w:val="none"/>
              </w:rPr>
            </w:pPr>
          </w:p>
        </w:tc>
        <w:tc>
          <w:tcPr>
            <w:tcW w:w="1617" w:type="dxa"/>
          </w:tcPr>
          <w:p w14:paraId="74324FD1">
            <w:pPr>
              <w:widowControl/>
              <w:shd w:val="clear"/>
              <w:spacing w:line="500" w:lineRule="exact"/>
              <w:jc w:val="center"/>
              <w:rPr>
                <w:rFonts w:hAnsi="宋体" w:cs="宋体"/>
                <w:color w:val="auto"/>
                <w:sz w:val="24"/>
                <w:highlight w:val="none"/>
              </w:rPr>
            </w:pPr>
          </w:p>
        </w:tc>
      </w:tr>
      <w:tr w14:paraId="79FD3D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60" w:type="dxa"/>
          </w:tcPr>
          <w:p w14:paraId="7F596177">
            <w:pPr>
              <w:widowControl/>
              <w:shd w:val="clear"/>
              <w:spacing w:line="500" w:lineRule="exact"/>
              <w:jc w:val="center"/>
              <w:rPr>
                <w:rFonts w:hAnsi="宋体" w:cs="宋体"/>
                <w:color w:val="auto"/>
                <w:sz w:val="24"/>
                <w:highlight w:val="none"/>
              </w:rPr>
            </w:pPr>
          </w:p>
        </w:tc>
        <w:tc>
          <w:tcPr>
            <w:tcW w:w="1912" w:type="dxa"/>
          </w:tcPr>
          <w:p w14:paraId="6F708E93">
            <w:pPr>
              <w:widowControl/>
              <w:shd w:val="clear"/>
              <w:spacing w:line="500" w:lineRule="exact"/>
              <w:jc w:val="center"/>
              <w:rPr>
                <w:rFonts w:hAnsi="宋体" w:cs="宋体"/>
                <w:color w:val="auto"/>
                <w:sz w:val="24"/>
                <w:highlight w:val="none"/>
              </w:rPr>
            </w:pPr>
          </w:p>
        </w:tc>
        <w:tc>
          <w:tcPr>
            <w:tcW w:w="2426" w:type="dxa"/>
          </w:tcPr>
          <w:p w14:paraId="0F990C16">
            <w:pPr>
              <w:widowControl/>
              <w:shd w:val="clear"/>
              <w:spacing w:line="500" w:lineRule="exact"/>
              <w:jc w:val="center"/>
              <w:rPr>
                <w:rFonts w:hAnsi="宋体" w:cs="宋体"/>
                <w:color w:val="auto"/>
                <w:sz w:val="24"/>
                <w:highlight w:val="none"/>
              </w:rPr>
            </w:pPr>
          </w:p>
        </w:tc>
        <w:tc>
          <w:tcPr>
            <w:tcW w:w="2572" w:type="dxa"/>
          </w:tcPr>
          <w:p w14:paraId="24A28966">
            <w:pPr>
              <w:widowControl/>
              <w:shd w:val="clear"/>
              <w:spacing w:line="500" w:lineRule="exact"/>
              <w:jc w:val="center"/>
              <w:rPr>
                <w:rFonts w:hAnsi="宋体" w:cs="宋体"/>
                <w:color w:val="auto"/>
                <w:sz w:val="24"/>
                <w:highlight w:val="none"/>
              </w:rPr>
            </w:pPr>
          </w:p>
        </w:tc>
        <w:tc>
          <w:tcPr>
            <w:tcW w:w="1617" w:type="dxa"/>
          </w:tcPr>
          <w:p w14:paraId="7F5B4D83">
            <w:pPr>
              <w:widowControl/>
              <w:shd w:val="clear"/>
              <w:spacing w:line="500" w:lineRule="exact"/>
              <w:jc w:val="center"/>
              <w:rPr>
                <w:rFonts w:hAnsi="宋体" w:cs="宋体"/>
                <w:color w:val="auto"/>
                <w:sz w:val="24"/>
                <w:highlight w:val="none"/>
              </w:rPr>
            </w:pPr>
          </w:p>
        </w:tc>
      </w:tr>
    </w:tbl>
    <w:p w14:paraId="15D9F3A7">
      <w:pPr>
        <w:widowControl/>
        <w:shd w:val="clear"/>
        <w:spacing w:line="500" w:lineRule="exact"/>
        <w:ind w:firstLine="470" w:firstLineChars="196"/>
        <w:jc w:val="left"/>
        <w:rPr>
          <w:rFonts w:hAnsi="宋体" w:cs="宋体"/>
          <w:color w:val="auto"/>
          <w:sz w:val="24"/>
          <w:highlight w:val="none"/>
        </w:rPr>
      </w:pPr>
    </w:p>
    <w:p w14:paraId="2BF97380">
      <w:pPr>
        <w:widowControl/>
        <w:shd w:val="clear"/>
        <w:spacing w:line="500" w:lineRule="exact"/>
        <w:ind w:firstLine="470" w:firstLineChars="196"/>
        <w:jc w:val="left"/>
        <w:rPr>
          <w:rFonts w:hAnsi="宋体" w:cs="宋体"/>
          <w:color w:val="auto"/>
          <w:sz w:val="24"/>
          <w:highlight w:val="none"/>
        </w:rPr>
      </w:pPr>
      <w:r>
        <w:rPr>
          <w:rFonts w:hint="eastAsia" w:hAnsi="宋体" w:cs="宋体"/>
          <w:color w:val="auto"/>
          <w:sz w:val="24"/>
          <w:highlight w:val="none"/>
        </w:rPr>
        <w:t>注：1. 以上表格格式行可增减。</w:t>
      </w:r>
    </w:p>
    <w:p w14:paraId="6405B6E1">
      <w:pPr>
        <w:widowControl/>
        <w:shd w:val="clear"/>
        <w:spacing w:line="500" w:lineRule="exact"/>
        <w:ind w:firstLine="950" w:firstLineChars="396"/>
        <w:jc w:val="left"/>
        <w:rPr>
          <w:rFonts w:hAnsi="宋体" w:cs="宋体"/>
          <w:color w:val="auto"/>
          <w:sz w:val="24"/>
          <w:highlight w:val="none"/>
        </w:rPr>
      </w:pPr>
      <w:r>
        <w:rPr>
          <w:rFonts w:hint="eastAsia" w:hAnsi="宋体" w:cs="宋体"/>
          <w:color w:val="auto"/>
          <w:sz w:val="24"/>
          <w:highlight w:val="none"/>
        </w:rPr>
        <w:t>2．投标人必须把招标文件第六章二、采购清单及技术要求全部技术参数列入此表。根据投标情况在“偏离说明”填写正偏离或负偏离，完全符合的填写“无偏离”。</w:t>
      </w:r>
    </w:p>
    <w:p w14:paraId="1CCDBEB1">
      <w:pPr>
        <w:widowControl/>
        <w:shd w:val="clear"/>
        <w:spacing w:line="500" w:lineRule="exact"/>
        <w:ind w:firstLine="950" w:firstLineChars="396"/>
        <w:jc w:val="left"/>
        <w:rPr>
          <w:rFonts w:hAnsi="宋体" w:cs="宋体"/>
          <w:color w:val="auto"/>
          <w:sz w:val="24"/>
          <w:szCs w:val="22"/>
          <w:highlight w:val="none"/>
        </w:rPr>
      </w:pPr>
      <w:r>
        <w:rPr>
          <w:rFonts w:hint="eastAsia" w:hAnsi="宋体" w:cs="宋体"/>
          <w:color w:val="auto"/>
          <w:sz w:val="24"/>
          <w:szCs w:val="22"/>
          <w:highlight w:val="none"/>
        </w:rPr>
        <w:t>3．投标人必须据实填写，不得虚假填写，否则将取消其投标或中标资格。若采购人在项目实施中发现投标人虚假响应，则采购人有权单方面中止合同；若采购人在项目验收后发现投标人有虚假响应行为，采购人有权追索投标人由此给采购人造成的一切损失。</w:t>
      </w:r>
    </w:p>
    <w:p w14:paraId="2DBC790A">
      <w:pPr>
        <w:widowControl/>
        <w:shd w:val="clear"/>
        <w:spacing w:line="500" w:lineRule="exact"/>
        <w:ind w:firstLine="470" w:firstLineChars="196"/>
        <w:jc w:val="left"/>
        <w:rPr>
          <w:rFonts w:hAnsi="宋体" w:cs="宋体"/>
          <w:color w:val="auto"/>
          <w:sz w:val="24"/>
          <w:highlight w:val="none"/>
        </w:rPr>
      </w:pPr>
    </w:p>
    <w:p w14:paraId="196E7D52">
      <w:pPr>
        <w:widowControl/>
        <w:shd w:val="clear"/>
        <w:spacing w:line="500" w:lineRule="exact"/>
        <w:ind w:firstLine="470" w:firstLineChars="196"/>
        <w:jc w:val="left"/>
        <w:rPr>
          <w:rFonts w:hAnsi="宋体" w:cs="宋体"/>
          <w:color w:val="auto"/>
          <w:sz w:val="24"/>
          <w:highlight w:val="none"/>
        </w:rPr>
      </w:pPr>
    </w:p>
    <w:p w14:paraId="3D26ED5E">
      <w:pPr>
        <w:widowControl/>
        <w:shd w:val="clear"/>
        <w:spacing w:line="500" w:lineRule="exact"/>
        <w:ind w:firstLine="470" w:firstLineChars="196"/>
        <w:jc w:val="left"/>
        <w:rPr>
          <w:rFonts w:hAnsi="宋体" w:cs="宋体"/>
          <w:color w:val="auto"/>
          <w:sz w:val="24"/>
          <w:highlight w:val="none"/>
        </w:rPr>
      </w:pPr>
      <w:r>
        <w:rPr>
          <w:rFonts w:hint="eastAsia" w:hAnsi="宋体" w:cs="宋体"/>
          <w:color w:val="auto"/>
          <w:sz w:val="24"/>
          <w:highlight w:val="none"/>
        </w:rPr>
        <w:t>投标人名称：XXXX（单位盖章）。</w:t>
      </w:r>
    </w:p>
    <w:p w14:paraId="2AE57085">
      <w:pPr>
        <w:widowControl/>
        <w:shd w:val="clear"/>
        <w:spacing w:line="500" w:lineRule="exact"/>
        <w:ind w:firstLine="470" w:firstLineChars="196"/>
        <w:jc w:val="left"/>
        <w:rPr>
          <w:rFonts w:hAnsi="宋体" w:cs="宋体"/>
          <w:color w:val="auto"/>
          <w:sz w:val="24"/>
          <w:highlight w:val="none"/>
        </w:rPr>
      </w:pPr>
      <w:r>
        <w:rPr>
          <w:rFonts w:hint="eastAsia" w:hAnsi="宋体" w:cs="宋体"/>
          <w:color w:val="auto"/>
          <w:sz w:val="24"/>
          <w:highlight w:val="none"/>
        </w:rPr>
        <w:t>法定代表人或授权代表（签字或加盖个人名章）：XXXX。</w:t>
      </w:r>
    </w:p>
    <w:p w14:paraId="5C697406">
      <w:pPr>
        <w:widowControl/>
        <w:shd w:val="clear"/>
        <w:spacing w:line="500" w:lineRule="exact"/>
        <w:ind w:firstLine="470" w:firstLineChars="196"/>
        <w:jc w:val="left"/>
        <w:rPr>
          <w:rFonts w:hAnsi="宋体" w:cs="宋体"/>
          <w:color w:val="auto"/>
          <w:sz w:val="24"/>
          <w:highlight w:val="none"/>
        </w:rPr>
      </w:pPr>
      <w:r>
        <w:rPr>
          <w:rFonts w:hint="eastAsia" w:hAnsi="宋体" w:cs="宋体"/>
          <w:color w:val="auto"/>
          <w:sz w:val="24"/>
          <w:highlight w:val="none"/>
        </w:rPr>
        <w:t>投标日期: XXXX。</w:t>
      </w:r>
    </w:p>
    <w:p w14:paraId="2E8A6B10">
      <w:pPr>
        <w:widowControl/>
        <w:shd w:val="clear"/>
        <w:spacing w:line="500" w:lineRule="exact"/>
        <w:ind w:firstLine="470" w:firstLineChars="196"/>
        <w:jc w:val="left"/>
        <w:rPr>
          <w:rFonts w:hAnsi="宋体" w:cs="宋体"/>
          <w:color w:val="auto"/>
          <w:sz w:val="24"/>
          <w:highlight w:val="none"/>
        </w:rPr>
      </w:pPr>
    </w:p>
    <w:p w14:paraId="7ED50CE8">
      <w:pPr>
        <w:shd w:val="clear"/>
        <w:rPr>
          <w:rFonts w:hAnsi="宋体" w:cs="宋体"/>
          <w:b/>
          <w:color w:val="auto"/>
          <w:sz w:val="32"/>
          <w:szCs w:val="32"/>
          <w:highlight w:val="none"/>
        </w:rPr>
      </w:pPr>
      <w:bookmarkStart w:id="132" w:name="_Toc217446091"/>
      <w:r>
        <w:rPr>
          <w:rFonts w:hint="eastAsia" w:hAnsi="宋体" w:cs="宋体"/>
          <w:b/>
          <w:color w:val="auto"/>
          <w:sz w:val="32"/>
          <w:szCs w:val="32"/>
          <w:highlight w:val="none"/>
        </w:rPr>
        <w:br w:type="page"/>
      </w:r>
    </w:p>
    <w:p w14:paraId="561ED71F">
      <w:pPr>
        <w:widowControl/>
        <w:shd w:val="clear"/>
        <w:spacing w:line="500" w:lineRule="exact"/>
        <w:jc w:val="center"/>
        <w:outlineLvl w:val="1"/>
        <w:rPr>
          <w:rFonts w:hAnsi="宋体" w:cs="宋体"/>
          <w:b/>
          <w:color w:val="auto"/>
          <w:sz w:val="32"/>
          <w:szCs w:val="32"/>
          <w:highlight w:val="none"/>
        </w:rPr>
      </w:pPr>
      <w:r>
        <w:rPr>
          <w:rFonts w:hint="eastAsia" w:hAnsi="宋体" w:cs="宋体"/>
          <w:b/>
          <w:color w:val="auto"/>
          <w:sz w:val="32"/>
          <w:szCs w:val="32"/>
          <w:highlight w:val="none"/>
        </w:rPr>
        <w:t>十一、投标人本项目管理、技术、服务人员情况表</w:t>
      </w:r>
      <w:bookmarkEnd w:id="132"/>
    </w:p>
    <w:p w14:paraId="3562B569">
      <w:pPr>
        <w:pStyle w:val="2"/>
        <w:shd w:val="clear"/>
        <w:rPr>
          <w:color w:val="auto"/>
          <w:highlight w:val="none"/>
        </w:rPr>
      </w:pPr>
    </w:p>
    <w:p w14:paraId="7FBC8534">
      <w:pPr>
        <w:widowControl/>
        <w:shd w:val="clear"/>
        <w:spacing w:line="500" w:lineRule="exact"/>
        <w:jc w:val="left"/>
        <w:rPr>
          <w:rFonts w:hAnsi="宋体" w:cs="宋体"/>
          <w:color w:val="auto"/>
          <w:sz w:val="24"/>
          <w:highlight w:val="none"/>
        </w:rPr>
      </w:pPr>
      <w:r>
        <w:rPr>
          <w:rFonts w:hint="eastAsia" w:hAnsi="宋体" w:cs="宋体"/>
          <w:color w:val="auto"/>
          <w:sz w:val="24"/>
          <w:highlight w:val="none"/>
        </w:rPr>
        <w:t>招标编号：</w:t>
      </w:r>
    </w:p>
    <w:tbl>
      <w:tblPr>
        <w:tblStyle w:val="29"/>
        <w:tblW w:w="907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59"/>
        <w:gridCol w:w="990"/>
        <w:gridCol w:w="990"/>
        <w:gridCol w:w="990"/>
        <w:gridCol w:w="990"/>
        <w:gridCol w:w="1044"/>
        <w:gridCol w:w="1177"/>
        <w:gridCol w:w="1039"/>
        <w:gridCol w:w="898"/>
      </w:tblGrid>
      <w:tr w14:paraId="1C4120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0" w:hRule="atLeast"/>
          <w:jc w:val="center"/>
        </w:trPr>
        <w:tc>
          <w:tcPr>
            <w:tcW w:w="959" w:type="dxa"/>
            <w:vMerge w:val="restart"/>
            <w:vAlign w:val="center"/>
          </w:tcPr>
          <w:p w14:paraId="5C6DBCB0">
            <w:pPr>
              <w:widowControl/>
              <w:shd w:val="clear"/>
              <w:spacing w:line="500" w:lineRule="exact"/>
              <w:jc w:val="center"/>
              <w:rPr>
                <w:rFonts w:hAnsi="宋体" w:cs="宋体"/>
                <w:color w:val="auto"/>
                <w:sz w:val="24"/>
                <w:highlight w:val="none"/>
              </w:rPr>
            </w:pPr>
            <w:r>
              <w:rPr>
                <w:rFonts w:hint="eastAsia" w:hAnsi="宋体" w:cs="宋体"/>
                <w:color w:val="auto"/>
                <w:sz w:val="24"/>
                <w:highlight w:val="none"/>
              </w:rPr>
              <w:t>类别</w:t>
            </w:r>
          </w:p>
        </w:tc>
        <w:tc>
          <w:tcPr>
            <w:tcW w:w="990" w:type="dxa"/>
            <w:vMerge w:val="restart"/>
            <w:vAlign w:val="center"/>
          </w:tcPr>
          <w:p w14:paraId="614491E0">
            <w:pPr>
              <w:widowControl/>
              <w:shd w:val="clear"/>
              <w:spacing w:line="500" w:lineRule="exact"/>
              <w:jc w:val="center"/>
              <w:rPr>
                <w:rFonts w:hAnsi="宋体" w:cs="宋体"/>
                <w:color w:val="auto"/>
                <w:sz w:val="24"/>
                <w:highlight w:val="none"/>
              </w:rPr>
            </w:pPr>
            <w:r>
              <w:rPr>
                <w:rFonts w:hint="eastAsia" w:hAnsi="宋体" w:cs="宋体"/>
                <w:color w:val="auto"/>
                <w:sz w:val="24"/>
                <w:highlight w:val="none"/>
              </w:rPr>
              <w:t>职务</w:t>
            </w:r>
          </w:p>
        </w:tc>
        <w:tc>
          <w:tcPr>
            <w:tcW w:w="990" w:type="dxa"/>
            <w:vMerge w:val="restart"/>
            <w:vAlign w:val="center"/>
          </w:tcPr>
          <w:p w14:paraId="408C047D">
            <w:pPr>
              <w:widowControl/>
              <w:shd w:val="clear"/>
              <w:spacing w:line="500" w:lineRule="exact"/>
              <w:jc w:val="center"/>
              <w:rPr>
                <w:rFonts w:hAnsi="宋体" w:cs="宋体"/>
                <w:color w:val="auto"/>
                <w:sz w:val="24"/>
                <w:highlight w:val="none"/>
              </w:rPr>
            </w:pPr>
            <w:r>
              <w:rPr>
                <w:rFonts w:hint="eastAsia" w:hAnsi="宋体" w:cs="宋体"/>
                <w:color w:val="auto"/>
                <w:sz w:val="24"/>
                <w:highlight w:val="none"/>
              </w:rPr>
              <w:t>姓名</w:t>
            </w:r>
          </w:p>
        </w:tc>
        <w:tc>
          <w:tcPr>
            <w:tcW w:w="990" w:type="dxa"/>
            <w:vMerge w:val="restart"/>
            <w:vAlign w:val="center"/>
          </w:tcPr>
          <w:p w14:paraId="33449A30">
            <w:pPr>
              <w:widowControl/>
              <w:shd w:val="clear"/>
              <w:spacing w:line="500" w:lineRule="exact"/>
              <w:jc w:val="center"/>
              <w:rPr>
                <w:rFonts w:hAnsi="宋体" w:cs="宋体"/>
                <w:color w:val="auto"/>
                <w:sz w:val="24"/>
                <w:highlight w:val="none"/>
              </w:rPr>
            </w:pPr>
            <w:r>
              <w:rPr>
                <w:rFonts w:hint="eastAsia" w:hAnsi="宋体" w:cs="宋体"/>
                <w:color w:val="auto"/>
                <w:sz w:val="24"/>
                <w:highlight w:val="none"/>
              </w:rPr>
              <w:t>职称</w:t>
            </w:r>
          </w:p>
        </w:tc>
        <w:tc>
          <w:tcPr>
            <w:tcW w:w="990" w:type="dxa"/>
            <w:vMerge w:val="restart"/>
            <w:vAlign w:val="center"/>
          </w:tcPr>
          <w:p w14:paraId="10FE848E">
            <w:pPr>
              <w:widowControl/>
              <w:shd w:val="clear"/>
              <w:spacing w:line="500" w:lineRule="exact"/>
              <w:jc w:val="center"/>
              <w:rPr>
                <w:rFonts w:hAnsi="宋体" w:cs="宋体"/>
                <w:color w:val="auto"/>
                <w:sz w:val="24"/>
                <w:highlight w:val="none"/>
              </w:rPr>
            </w:pPr>
            <w:r>
              <w:rPr>
                <w:rFonts w:hint="eastAsia" w:hAnsi="宋体" w:cs="宋体"/>
                <w:color w:val="auto"/>
                <w:sz w:val="24"/>
                <w:highlight w:val="none"/>
              </w:rPr>
              <w:t>常住地</w:t>
            </w:r>
          </w:p>
        </w:tc>
        <w:tc>
          <w:tcPr>
            <w:tcW w:w="4158" w:type="dxa"/>
            <w:gridSpan w:val="4"/>
            <w:vAlign w:val="center"/>
          </w:tcPr>
          <w:p w14:paraId="3EE4868F">
            <w:pPr>
              <w:widowControl/>
              <w:shd w:val="clear"/>
              <w:spacing w:line="500" w:lineRule="exact"/>
              <w:ind w:firstLine="470" w:firstLineChars="196"/>
              <w:jc w:val="center"/>
              <w:rPr>
                <w:rFonts w:hAnsi="宋体" w:cs="宋体"/>
                <w:color w:val="auto"/>
                <w:sz w:val="24"/>
                <w:highlight w:val="none"/>
              </w:rPr>
            </w:pPr>
            <w:r>
              <w:rPr>
                <w:rFonts w:hint="eastAsia" w:hAnsi="宋体" w:cs="宋体"/>
                <w:color w:val="auto"/>
                <w:sz w:val="24"/>
                <w:highlight w:val="none"/>
              </w:rPr>
              <w:t>资格证明（附复印件）</w:t>
            </w:r>
          </w:p>
        </w:tc>
      </w:tr>
      <w:tr w14:paraId="782F7B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0" w:hRule="atLeast"/>
          <w:jc w:val="center"/>
        </w:trPr>
        <w:tc>
          <w:tcPr>
            <w:tcW w:w="959" w:type="dxa"/>
            <w:vMerge w:val="continue"/>
            <w:vAlign w:val="center"/>
          </w:tcPr>
          <w:p w14:paraId="6C1BB98F">
            <w:pPr>
              <w:shd w:val="clear"/>
              <w:spacing w:line="500" w:lineRule="exact"/>
              <w:jc w:val="center"/>
              <w:rPr>
                <w:rFonts w:hAnsi="宋体" w:cs="宋体"/>
                <w:color w:val="auto"/>
                <w:highlight w:val="none"/>
              </w:rPr>
            </w:pPr>
          </w:p>
        </w:tc>
        <w:tc>
          <w:tcPr>
            <w:tcW w:w="990" w:type="dxa"/>
            <w:vMerge w:val="continue"/>
            <w:vAlign w:val="center"/>
          </w:tcPr>
          <w:p w14:paraId="069A99EE">
            <w:pPr>
              <w:shd w:val="clear"/>
              <w:spacing w:line="500" w:lineRule="exact"/>
              <w:jc w:val="center"/>
              <w:rPr>
                <w:rFonts w:hAnsi="宋体" w:cs="宋体"/>
                <w:color w:val="auto"/>
                <w:highlight w:val="none"/>
              </w:rPr>
            </w:pPr>
          </w:p>
        </w:tc>
        <w:tc>
          <w:tcPr>
            <w:tcW w:w="990" w:type="dxa"/>
            <w:vMerge w:val="continue"/>
            <w:vAlign w:val="center"/>
          </w:tcPr>
          <w:p w14:paraId="4FB43EB8">
            <w:pPr>
              <w:shd w:val="clear"/>
              <w:spacing w:line="500" w:lineRule="exact"/>
              <w:jc w:val="center"/>
              <w:rPr>
                <w:rFonts w:hAnsi="宋体" w:cs="宋体"/>
                <w:color w:val="auto"/>
                <w:highlight w:val="none"/>
              </w:rPr>
            </w:pPr>
          </w:p>
        </w:tc>
        <w:tc>
          <w:tcPr>
            <w:tcW w:w="990" w:type="dxa"/>
            <w:vMerge w:val="continue"/>
            <w:vAlign w:val="center"/>
          </w:tcPr>
          <w:p w14:paraId="18A82374">
            <w:pPr>
              <w:shd w:val="clear"/>
              <w:spacing w:line="500" w:lineRule="exact"/>
              <w:jc w:val="center"/>
              <w:rPr>
                <w:rFonts w:hAnsi="宋体" w:cs="宋体"/>
                <w:color w:val="auto"/>
                <w:highlight w:val="none"/>
              </w:rPr>
            </w:pPr>
          </w:p>
        </w:tc>
        <w:tc>
          <w:tcPr>
            <w:tcW w:w="990" w:type="dxa"/>
            <w:vMerge w:val="continue"/>
            <w:vAlign w:val="center"/>
          </w:tcPr>
          <w:p w14:paraId="63439F0A">
            <w:pPr>
              <w:shd w:val="clear"/>
              <w:spacing w:line="500" w:lineRule="exact"/>
              <w:jc w:val="center"/>
              <w:rPr>
                <w:rFonts w:hAnsi="宋体" w:cs="宋体"/>
                <w:color w:val="auto"/>
                <w:highlight w:val="none"/>
              </w:rPr>
            </w:pPr>
          </w:p>
        </w:tc>
        <w:tc>
          <w:tcPr>
            <w:tcW w:w="1044" w:type="dxa"/>
            <w:vAlign w:val="center"/>
          </w:tcPr>
          <w:p w14:paraId="2620C58E">
            <w:pPr>
              <w:widowControl/>
              <w:shd w:val="clear"/>
              <w:spacing w:line="500" w:lineRule="exact"/>
              <w:jc w:val="center"/>
              <w:rPr>
                <w:rFonts w:hAnsi="宋体" w:cs="宋体"/>
                <w:color w:val="auto"/>
                <w:sz w:val="24"/>
                <w:highlight w:val="none"/>
              </w:rPr>
            </w:pPr>
            <w:r>
              <w:rPr>
                <w:rFonts w:hint="eastAsia" w:hAnsi="宋体" w:cs="宋体"/>
                <w:color w:val="auto"/>
                <w:sz w:val="24"/>
                <w:highlight w:val="none"/>
              </w:rPr>
              <w:t>证书</w:t>
            </w:r>
          </w:p>
          <w:p w14:paraId="55563DA9">
            <w:pPr>
              <w:widowControl/>
              <w:shd w:val="clear"/>
              <w:spacing w:line="500" w:lineRule="exact"/>
              <w:jc w:val="center"/>
              <w:rPr>
                <w:rFonts w:hAnsi="宋体" w:cs="宋体"/>
                <w:color w:val="auto"/>
                <w:sz w:val="24"/>
                <w:highlight w:val="none"/>
              </w:rPr>
            </w:pPr>
            <w:r>
              <w:rPr>
                <w:rFonts w:hint="eastAsia" w:hAnsi="宋体" w:cs="宋体"/>
                <w:color w:val="auto"/>
                <w:sz w:val="24"/>
                <w:highlight w:val="none"/>
              </w:rPr>
              <w:t>名称</w:t>
            </w:r>
          </w:p>
        </w:tc>
        <w:tc>
          <w:tcPr>
            <w:tcW w:w="1177" w:type="dxa"/>
            <w:vAlign w:val="center"/>
          </w:tcPr>
          <w:p w14:paraId="398D3881">
            <w:pPr>
              <w:widowControl/>
              <w:shd w:val="clear"/>
              <w:spacing w:line="500" w:lineRule="exact"/>
              <w:jc w:val="center"/>
              <w:rPr>
                <w:rFonts w:hAnsi="宋体" w:cs="宋体"/>
                <w:color w:val="auto"/>
                <w:sz w:val="24"/>
                <w:highlight w:val="none"/>
              </w:rPr>
            </w:pPr>
            <w:r>
              <w:rPr>
                <w:rFonts w:hint="eastAsia" w:hAnsi="宋体" w:cs="宋体"/>
                <w:color w:val="auto"/>
                <w:sz w:val="24"/>
                <w:highlight w:val="none"/>
              </w:rPr>
              <w:t>级别</w:t>
            </w:r>
          </w:p>
        </w:tc>
        <w:tc>
          <w:tcPr>
            <w:tcW w:w="1039" w:type="dxa"/>
            <w:vAlign w:val="center"/>
          </w:tcPr>
          <w:p w14:paraId="4C51F745">
            <w:pPr>
              <w:widowControl/>
              <w:shd w:val="clear"/>
              <w:spacing w:line="500" w:lineRule="exact"/>
              <w:jc w:val="center"/>
              <w:rPr>
                <w:rFonts w:hAnsi="宋体" w:cs="宋体"/>
                <w:color w:val="auto"/>
                <w:sz w:val="24"/>
                <w:highlight w:val="none"/>
              </w:rPr>
            </w:pPr>
            <w:r>
              <w:rPr>
                <w:rFonts w:hint="eastAsia" w:hAnsi="宋体" w:cs="宋体"/>
                <w:color w:val="auto"/>
                <w:sz w:val="24"/>
                <w:highlight w:val="none"/>
              </w:rPr>
              <w:t>证号</w:t>
            </w:r>
          </w:p>
        </w:tc>
        <w:tc>
          <w:tcPr>
            <w:tcW w:w="898" w:type="dxa"/>
            <w:vAlign w:val="center"/>
          </w:tcPr>
          <w:p w14:paraId="6EBE5CC2">
            <w:pPr>
              <w:widowControl/>
              <w:shd w:val="clear"/>
              <w:spacing w:line="500" w:lineRule="exact"/>
              <w:jc w:val="center"/>
              <w:rPr>
                <w:rFonts w:hAnsi="宋体" w:cs="宋体"/>
                <w:color w:val="auto"/>
                <w:sz w:val="24"/>
                <w:highlight w:val="none"/>
              </w:rPr>
            </w:pPr>
            <w:r>
              <w:rPr>
                <w:rFonts w:hint="eastAsia" w:hAnsi="宋体" w:cs="宋体"/>
                <w:color w:val="auto"/>
                <w:sz w:val="24"/>
                <w:highlight w:val="none"/>
              </w:rPr>
              <w:t>专业</w:t>
            </w:r>
          </w:p>
        </w:tc>
      </w:tr>
      <w:tr w14:paraId="6AE0AD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1" w:hRule="atLeast"/>
          <w:jc w:val="center"/>
        </w:trPr>
        <w:tc>
          <w:tcPr>
            <w:tcW w:w="959" w:type="dxa"/>
            <w:vMerge w:val="restart"/>
            <w:vAlign w:val="center"/>
          </w:tcPr>
          <w:p w14:paraId="172A04B5">
            <w:pPr>
              <w:widowControl/>
              <w:shd w:val="clear"/>
              <w:spacing w:line="500" w:lineRule="exact"/>
              <w:jc w:val="center"/>
              <w:rPr>
                <w:rFonts w:hAnsi="宋体" w:cs="宋体"/>
                <w:color w:val="auto"/>
                <w:sz w:val="24"/>
                <w:highlight w:val="none"/>
              </w:rPr>
            </w:pPr>
            <w:r>
              <w:rPr>
                <w:rFonts w:hint="eastAsia" w:hAnsi="宋体" w:cs="宋体"/>
                <w:color w:val="auto"/>
                <w:sz w:val="24"/>
                <w:highlight w:val="none"/>
              </w:rPr>
              <w:t>管理</w:t>
            </w:r>
          </w:p>
          <w:p w14:paraId="28BC00DD">
            <w:pPr>
              <w:widowControl/>
              <w:shd w:val="clear"/>
              <w:spacing w:line="500" w:lineRule="exact"/>
              <w:jc w:val="center"/>
              <w:rPr>
                <w:rFonts w:hAnsi="宋体" w:cs="宋体"/>
                <w:color w:val="auto"/>
                <w:sz w:val="24"/>
                <w:highlight w:val="none"/>
              </w:rPr>
            </w:pPr>
            <w:r>
              <w:rPr>
                <w:rFonts w:hint="eastAsia" w:hAnsi="宋体" w:cs="宋体"/>
                <w:color w:val="auto"/>
                <w:sz w:val="24"/>
                <w:highlight w:val="none"/>
              </w:rPr>
              <w:t>人员</w:t>
            </w:r>
          </w:p>
        </w:tc>
        <w:tc>
          <w:tcPr>
            <w:tcW w:w="990" w:type="dxa"/>
          </w:tcPr>
          <w:p w14:paraId="1A0BC783">
            <w:pPr>
              <w:widowControl/>
              <w:shd w:val="clear"/>
              <w:spacing w:line="500" w:lineRule="exact"/>
              <w:jc w:val="center"/>
              <w:rPr>
                <w:rFonts w:hAnsi="宋体" w:cs="宋体"/>
                <w:color w:val="auto"/>
                <w:sz w:val="24"/>
                <w:highlight w:val="none"/>
              </w:rPr>
            </w:pPr>
          </w:p>
        </w:tc>
        <w:tc>
          <w:tcPr>
            <w:tcW w:w="990" w:type="dxa"/>
          </w:tcPr>
          <w:p w14:paraId="6AEBC81A">
            <w:pPr>
              <w:widowControl/>
              <w:shd w:val="clear"/>
              <w:spacing w:line="500" w:lineRule="exact"/>
              <w:jc w:val="center"/>
              <w:rPr>
                <w:rFonts w:hAnsi="宋体" w:cs="宋体"/>
                <w:color w:val="auto"/>
                <w:sz w:val="24"/>
                <w:highlight w:val="none"/>
              </w:rPr>
            </w:pPr>
          </w:p>
        </w:tc>
        <w:tc>
          <w:tcPr>
            <w:tcW w:w="990" w:type="dxa"/>
          </w:tcPr>
          <w:p w14:paraId="1BC9CED7">
            <w:pPr>
              <w:widowControl/>
              <w:shd w:val="clear"/>
              <w:spacing w:line="500" w:lineRule="exact"/>
              <w:jc w:val="center"/>
              <w:rPr>
                <w:rFonts w:hAnsi="宋体" w:cs="宋体"/>
                <w:color w:val="auto"/>
                <w:sz w:val="24"/>
                <w:highlight w:val="none"/>
              </w:rPr>
            </w:pPr>
          </w:p>
        </w:tc>
        <w:tc>
          <w:tcPr>
            <w:tcW w:w="990" w:type="dxa"/>
          </w:tcPr>
          <w:p w14:paraId="5DA2C658">
            <w:pPr>
              <w:widowControl/>
              <w:shd w:val="clear"/>
              <w:spacing w:line="500" w:lineRule="exact"/>
              <w:jc w:val="center"/>
              <w:rPr>
                <w:rFonts w:hAnsi="宋体" w:cs="宋体"/>
                <w:color w:val="auto"/>
                <w:sz w:val="24"/>
                <w:highlight w:val="none"/>
              </w:rPr>
            </w:pPr>
          </w:p>
        </w:tc>
        <w:tc>
          <w:tcPr>
            <w:tcW w:w="1044" w:type="dxa"/>
          </w:tcPr>
          <w:p w14:paraId="5664F8F6">
            <w:pPr>
              <w:widowControl/>
              <w:shd w:val="clear"/>
              <w:spacing w:line="500" w:lineRule="exact"/>
              <w:jc w:val="center"/>
              <w:rPr>
                <w:rFonts w:hAnsi="宋体" w:cs="宋体"/>
                <w:color w:val="auto"/>
                <w:sz w:val="24"/>
                <w:highlight w:val="none"/>
              </w:rPr>
            </w:pPr>
          </w:p>
        </w:tc>
        <w:tc>
          <w:tcPr>
            <w:tcW w:w="1177" w:type="dxa"/>
          </w:tcPr>
          <w:p w14:paraId="340F0296">
            <w:pPr>
              <w:widowControl/>
              <w:shd w:val="clear"/>
              <w:spacing w:line="500" w:lineRule="exact"/>
              <w:jc w:val="center"/>
              <w:rPr>
                <w:rFonts w:hAnsi="宋体" w:cs="宋体"/>
                <w:color w:val="auto"/>
                <w:sz w:val="24"/>
                <w:highlight w:val="none"/>
              </w:rPr>
            </w:pPr>
          </w:p>
        </w:tc>
        <w:tc>
          <w:tcPr>
            <w:tcW w:w="1039" w:type="dxa"/>
          </w:tcPr>
          <w:p w14:paraId="6134B3CD">
            <w:pPr>
              <w:widowControl/>
              <w:shd w:val="clear"/>
              <w:spacing w:line="500" w:lineRule="exact"/>
              <w:jc w:val="center"/>
              <w:rPr>
                <w:rFonts w:hAnsi="宋体" w:cs="宋体"/>
                <w:color w:val="auto"/>
                <w:sz w:val="24"/>
                <w:highlight w:val="none"/>
              </w:rPr>
            </w:pPr>
          </w:p>
        </w:tc>
        <w:tc>
          <w:tcPr>
            <w:tcW w:w="898" w:type="dxa"/>
          </w:tcPr>
          <w:p w14:paraId="703775C4">
            <w:pPr>
              <w:widowControl/>
              <w:shd w:val="clear"/>
              <w:spacing w:line="500" w:lineRule="exact"/>
              <w:jc w:val="center"/>
              <w:rPr>
                <w:rFonts w:hAnsi="宋体" w:cs="宋体"/>
                <w:color w:val="auto"/>
                <w:sz w:val="24"/>
                <w:highlight w:val="none"/>
              </w:rPr>
            </w:pPr>
          </w:p>
        </w:tc>
      </w:tr>
      <w:tr w14:paraId="4B848C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0" w:hRule="atLeast"/>
          <w:jc w:val="center"/>
        </w:trPr>
        <w:tc>
          <w:tcPr>
            <w:tcW w:w="959" w:type="dxa"/>
            <w:vMerge w:val="continue"/>
            <w:vAlign w:val="center"/>
          </w:tcPr>
          <w:p w14:paraId="7021CEDF">
            <w:pPr>
              <w:shd w:val="clear"/>
              <w:spacing w:line="500" w:lineRule="exact"/>
              <w:jc w:val="center"/>
              <w:rPr>
                <w:rFonts w:hAnsi="宋体" w:cs="宋体"/>
                <w:color w:val="auto"/>
                <w:highlight w:val="none"/>
              </w:rPr>
            </w:pPr>
          </w:p>
        </w:tc>
        <w:tc>
          <w:tcPr>
            <w:tcW w:w="990" w:type="dxa"/>
          </w:tcPr>
          <w:p w14:paraId="7D7C2691">
            <w:pPr>
              <w:widowControl/>
              <w:shd w:val="clear"/>
              <w:spacing w:line="500" w:lineRule="exact"/>
              <w:jc w:val="center"/>
              <w:rPr>
                <w:rFonts w:hAnsi="宋体" w:cs="宋体"/>
                <w:color w:val="auto"/>
                <w:sz w:val="24"/>
                <w:highlight w:val="none"/>
              </w:rPr>
            </w:pPr>
          </w:p>
        </w:tc>
        <w:tc>
          <w:tcPr>
            <w:tcW w:w="990" w:type="dxa"/>
          </w:tcPr>
          <w:p w14:paraId="0D758B42">
            <w:pPr>
              <w:widowControl/>
              <w:shd w:val="clear"/>
              <w:spacing w:line="500" w:lineRule="exact"/>
              <w:jc w:val="center"/>
              <w:rPr>
                <w:rFonts w:hAnsi="宋体" w:cs="宋体"/>
                <w:color w:val="auto"/>
                <w:sz w:val="24"/>
                <w:highlight w:val="none"/>
              </w:rPr>
            </w:pPr>
          </w:p>
        </w:tc>
        <w:tc>
          <w:tcPr>
            <w:tcW w:w="990" w:type="dxa"/>
          </w:tcPr>
          <w:p w14:paraId="39956E77">
            <w:pPr>
              <w:widowControl/>
              <w:shd w:val="clear"/>
              <w:spacing w:line="500" w:lineRule="exact"/>
              <w:jc w:val="center"/>
              <w:rPr>
                <w:rFonts w:hAnsi="宋体" w:cs="宋体"/>
                <w:color w:val="auto"/>
                <w:sz w:val="24"/>
                <w:highlight w:val="none"/>
              </w:rPr>
            </w:pPr>
          </w:p>
        </w:tc>
        <w:tc>
          <w:tcPr>
            <w:tcW w:w="990" w:type="dxa"/>
          </w:tcPr>
          <w:p w14:paraId="7D56AF00">
            <w:pPr>
              <w:widowControl/>
              <w:shd w:val="clear"/>
              <w:spacing w:line="500" w:lineRule="exact"/>
              <w:jc w:val="center"/>
              <w:rPr>
                <w:rFonts w:hAnsi="宋体" w:cs="宋体"/>
                <w:color w:val="auto"/>
                <w:sz w:val="24"/>
                <w:highlight w:val="none"/>
              </w:rPr>
            </w:pPr>
          </w:p>
        </w:tc>
        <w:tc>
          <w:tcPr>
            <w:tcW w:w="1044" w:type="dxa"/>
          </w:tcPr>
          <w:p w14:paraId="48AA8130">
            <w:pPr>
              <w:widowControl/>
              <w:shd w:val="clear"/>
              <w:spacing w:line="500" w:lineRule="exact"/>
              <w:jc w:val="center"/>
              <w:rPr>
                <w:rFonts w:hAnsi="宋体" w:cs="宋体"/>
                <w:color w:val="auto"/>
                <w:sz w:val="24"/>
                <w:highlight w:val="none"/>
              </w:rPr>
            </w:pPr>
          </w:p>
        </w:tc>
        <w:tc>
          <w:tcPr>
            <w:tcW w:w="1177" w:type="dxa"/>
          </w:tcPr>
          <w:p w14:paraId="10A9AD71">
            <w:pPr>
              <w:widowControl/>
              <w:shd w:val="clear"/>
              <w:spacing w:line="500" w:lineRule="exact"/>
              <w:jc w:val="center"/>
              <w:rPr>
                <w:rFonts w:hAnsi="宋体" w:cs="宋体"/>
                <w:color w:val="auto"/>
                <w:sz w:val="24"/>
                <w:highlight w:val="none"/>
              </w:rPr>
            </w:pPr>
          </w:p>
        </w:tc>
        <w:tc>
          <w:tcPr>
            <w:tcW w:w="1039" w:type="dxa"/>
          </w:tcPr>
          <w:p w14:paraId="0AA81272">
            <w:pPr>
              <w:widowControl/>
              <w:shd w:val="clear"/>
              <w:spacing w:line="500" w:lineRule="exact"/>
              <w:jc w:val="center"/>
              <w:rPr>
                <w:rFonts w:hAnsi="宋体" w:cs="宋体"/>
                <w:color w:val="auto"/>
                <w:sz w:val="24"/>
                <w:highlight w:val="none"/>
              </w:rPr>
            </w:pPr>
          </w:p>
        </w:tc>
        <w:tc>
          <w:tcPr>
            <w:tcW w:w="898" w:type="dxa"/>
          </w:tcPr>
          <w:p w14:paraId="6CAD0C73">
            <w:pPr>
              <w:widowControl/>
              <w:shd w:val="clear"/>
              <w:spacing w:line="500" w:lineRule="exact"/>
              <w:jc w:val="center"/>
              <w:rPr>
                <w:rFonts w:hAnsi="宋体" w:cs="宋体"/>
                <w:color w:val="auto"/>
                <w:sz w:val="24"/>
                <w:highlight w:val="none"/>
              </w:rPr>
            </w:pPr>
          </w:p>
        </w:tc>
      </w:tr>
      <w:tr w14:paraId="1AA522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1" w:hRule="atLeast"/>
          <w:jc w:val="center"/>
        </w:trPr>
        <w:tc>
          <w:tcPr>
            <w:tcW w:w="959" w:type="dxa"/>
            <w:vMerge w:val="continue"/>
            <w:vAlign w:val="center"/>
          </w:tcPr>
          <w:p w14:paraId="6BDE2110">
            <w:pPr>
              <w:shd w:val="clear"/>
              <w:spacing w:line="500" w:lineRule="exact"/>
              <w:jc w:val="center"/>
              <w:rPr>
                <w:rFonts w:hAnsi="宋体" w:cs="宋体"/>
                <w:color w:val="auto"/>
                <w:highlight w:val="none"/>
              </w:rPr>
            </w:pPr>
          </w:p>
        </w:tc>
        <w:tc>
          <w:tcPr>
            <w:tcW w:w="990" w:type="dxa"/>
          </w:tcPr>
          <w:p w14:paraId="6A0DD2CB">
            <w:pPr>
              <w:widowControl/>
              <w:shd w:val="clear"/>
              <w:spacing w:line="500" w:lineRule="exact"/>
              <w:jc w:val="center"/>
              <w:rPr>
                <w:rFonts w:hAnsi="宋体" w:cs="宋体"/>
                <w:color w:val="auto"/>
                <w:sz w:val="24"/>
                <w:highlight w:val="none"/>
              </w:rPr>
            </w:pPr>
          </w:p>
        </w:tc>
        <w:tc>
          <w:tcPr>
            <w:tcW w:w="990" w:type="dxa"/>
          </w:tcPr>
          <w:p w14:paraId="1355BC4B">
            <w:pPr>
              <w:widowControl/>
              <w:shd w:val="clear"/>
              <w:spacing w:line="500" w:lineRule="exact"/>
              <w:jc w:val="center"/>
              <w:rPr>
                <w:rFonts w:hAnsi="宋体" w:cs="宋体"/>
                <w:color w:val="auto"/>
                <w:sz w:val="24"/>
                <w:highlight w:val="none"/>
              </w:rPr>
            </w:pPr>
          </w:p>
        </w:tc>
        <w:tc>
          <w:tcPr>
            <w:tcW w:w="990" w:type="dxa"/>
          </w:tcPr>
          <w:p w14:paraId="58D9BA43">
            <w:pPr>
              <w:widowControl/>
              <w:shd w:val="clear"/>
              <w:spacing w:line="500" w:lineRule="exact"/>
              <w:jc w:val="center"/>
              <w:rPr>
                <w:rFonts w:hAnsi="宋体" w:cs="宋体"/>
                <w:color w:val="auto"/>
                <w:sz w:val="24"/>
                <w:highlight w:val="none"/>
              </w:rPr>
            </w:pPr>
          </w:p>
        </w:tc>
        <w:tc>
          <w:tcPr>
            <w:tcW w:w="990" w:type="dxa"/>
          </w:tcPr>
          <w:p w14:paraId="4DF939D9">
            <w:pPr>
              <w:widowControl/>
              <w:shd w:val="clear"/>
              <w:spacing w:line="500" w:lineRule="exact"/>
              <w:jc w:val="center"/>
              <w:rPr>
                <w:rFonts w:hAnsi="宋体" w:cs="宋体"/>
                <w:color w:val="auto"/>
                <w:sz w:val="24"/>
                <w:highlight w:val="none"/>
              </w:rPr>
            </w:pPr>
          </w:p>
        </w:tc>
        <w:tc>
          <w:tcPr>
            <w:tcW w:w="1044" w:type="dxa"/>
          </w:tcPr>
          <w:p w14:paraId="674D45EE">
            <w:pPr>
              <w:widowControl/>
              <w:shd w:val="clear"/>
              <w:spacing w:line="500" w:lineRule="exact"/>
              <w:jc w:val="center"/>
              <w:rPr>
                <w:rFonts w:hAnsi="宋体" w:cs="宋体"/>
                <w:color w:val="auto"/>
                <w:sz w:val="24"/>
                <w:highlight w:val="none"/>
              </w:rPr>
            </w:pPr>
          </w:p>
        </w:tc>
        <w:tc>
          <w:tcPr>
            <w:tcW w:w="1177" w:type="dxa"/>
          </w:tcPr>
          <w:p w14:paraId="020B5C4A">
            <w:pPr>
              <w:widowControl/>
              <w:shd w:val="clear"/>
              <w:spacing w:line="500" w:lineRule="exact"/>
              <w:jc w:val="center"/>
              <w:rPr>
                <w:rFonts w:hAnsi="宋体" w:cs="宋体"/>
                <w:color w:val="auto"/>
                <w:sz w:val="24"/>
                <w:highlight w:val="none"/>
              </w:rPr>
            </w:pPr>
          </w:p>
        </w:tc>
        <w:tc>
          <w:tcPr>
            <w:tcW w:w="1039" w:type="dxa"/>
          </w:tcPr>
          <w:p w14:paraId="4C4628A7">
            <w:pPr>
              <w:widowControl/>
              <w:shd w:val="clear"/>
              <w:spacing w:line="500" w:lineRule="exact"/>
              <w:jc w:val="center"/>
              <w:rPr>
                <w:rFonts w:hAnsi="宋体" w:cs="宋体"/>
                <w:color w:val="auto"/>
                <w:sz w:val="24"/>
                <w:highlight w:val="none"/>
              </w:rPr>
            </w:pPr>
          </w:p>
        </w:tc>
        <w:tc>
          <w:tcPr>
            <w:tcW w:w="898" w:type="dxa"/>
          </w:tcPr>
          <w:p w14:paraId="6FCC8CBA">
            <w:pPr>
              <w:widowControl/>
              <w:shd w:val="clear"/>
              <w:spacing w:line="500" w:lineRule="exact"/>
              <w:jc w:val="center"/>
              <w:rPr>
                <w:rFonts w:hAnsi="宋体" w:cs="宋体"/>
                <w:color w:val="auto"/>
                <w:sz w:val="24"/>
                <w:highlight w:val="none"/>
              </w:rPr>
            </w:pPr>
          </w:p>
        </w:tc>
      </w:tr>
      <w:tr w14:paraId="2C98B3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0" w:hRule="atLeast"/>
          <w:jc w:val="center"/>
        </w:trPr>
        <w:tc>
          <w:tcPr>
            <w:tcW w:w="959" w:type="dxa"/>
            <w:vMerge w:val="restart"/>
            <w:vAlign w:val="center"/>
          </w:tcPr>
          <w:p w14:paraId="01DE7F4E">
            <w:pPr>
              <w:widowControl/>
              <w:shd w:val="clear"/>
              <w:spacing w:line="500" w:lineRule="exact"/>
              <w:jc w:val="center"/>
              <w:rPr>
                <w:rFonts w:hAnsi="宋体" w:cs="宋体"/>
                <w:color w:val="auto"/>
                <w:sz w:val="24"/>
                <w:highlight w:val="none"/>
              </w:rPr>
            </w:pPr>
            <w:r>
              <w:rPr>
                <w:rFonts w:hint="eastAsia" w:hAnsi="宋体" w:cs="宋体"/>
                <w:color w:val="auto"/>
                <w:sz w:val="24"/>
                <w:highlight w:val="none"/>
              </w:rPr>
              <w:t>技术</w:t>
            </w:r>
          </w:p>
          <w:p w14:paraId="6E789983">
            <w:pPr>
              <w:widowControl/>
              <w:shd w:val="clear"/>
              <w:spacing w:line="500" w:lineRule="exact"/>
              <w:jc w:val="center"/>
              <w:rPr>
                <w:rFonts w:hAnsi="宋体" w:cs="宋体"/>
                <w:color w:val="auto"/>
                <w:sz w:val="24"/>
                <w:highlight w:val="none"/>
              </w:rPr>
            </w:pPr>
            <w:r>
              <w:rPr>
                <w:rFonts w:hint="eastAsia" w:hAnsi="宋体" w:cs="宋体"/>
                <w:color w:val="auto"/>
                <w:sz w:val="24"/>
                <w:highlight w:val="none"/>
              </w:rPr>
              <w:t>人员</w:t>
            </w:r>
          </w:p>
        </w:tc>
        <w:tc>
          <w:tcPr>
            <w:tcW w:w="990" w:type="dxa"/>
          </w:tcPr>
          <w:p w14:paraId="09448C6C">
            <w:pPr>
              <w:widowControl/>
              <w:shd w:val="clear"/>
              <w:spacing w:line="500" w:lineRule="exact"/>
              <w:jc w:val="center"/>
              <w:rPr>
                <w:rFonts w:hAnsi="宋体" w:cs="宋体"/>
                <w:color w:val="auto"/>
                <w:sz w:val="24"/>
                <w:highlight w:val="none"/>
              </w:rPr>
            </w:pPr>
          </w:p>
        </w:tc>
        <w:tc>
          <w:tcPr>
            <w:tcW w:w="990" w:type="dxa"/>
          </w:tcPr>
          <w:p w14:paraId="2B255745">
            <w:pPr>
              <w:widowControl/>
              <w:shd w:val="clear"/>
              <w:spacing w:line="500" w:lineRule="exact"/>
              <w:jc w:val="center"/>
              <w:rPr>
                <w:rFonts w:hAnsi="宋体" w:cs="宋体"/>
                <w:color w:val="auto"/>
                <w:sz w:val="24"/>
                <w:highlight w:val="none"/>
              </w:rPr>
            </w:pPr>
          </w:p>
        </w:tc>
        <w:tc>
          <w:tcPr>
            <w:tcW w:w="990" w:type="dxa"/>
          </w:tcPr>
          <w:p w14:paraId="6C2E668A">
            <w:pPr>
              <w:widowControl/>
              <w:shd w:val="clear"/>
              <w:spacing w:line="500" w:lineRule="exact"/>
              <w:jc w:val="center"/>
              <w:rPr>
                <w:rFonts w:hAnsi="宋体" w:cs="宋体"/>
                <w:color w:val="auto"/>
                <w:sz w:val="24"/>
                <w:highlight w:val="none"/>
              </w:rPr>
            </w:pPr>
          </w:p>
        </w:tc>
        <w:tc>
          <w:tcPr>
            <w:tcW w:w="990" w:type="dxa"/>
          </w:tcPr>
          <w:p w14:paraId="36D0B801">
            <w:pPr>
              <w:widowControl/>
              <w:shd w:val="clear"/>
              <w:spacing w:line="500" w:lineRule="exact"/>
              <w:jc w:val="center"/>
              <w:rPr>
                <w:rFonts w:hAnsi="宋体" w:cs="宋体"/>
                <w:color w:val="auto"/>
                <w:sz w:val="24"/>
                <w:highlight w:val="none"/>
              </w:rPr>
            </w:pPr>
          </w:p>
        </w:tc>
        <w:tc>
          <w:tcPr>
            <w:tcW w:w="1044" w:type="dxa"/>
          </w:tcPr>
          <w:p w14:paraId="0BDF751D">
            <w:pPr>
              <w:widowControl/>
              <w:shd w:val="clear"/>
              <w:spacing w:line="500" w:lineRule="exact"/>
              <w:jc w:val="center"/>
              <w:rPr>
                <w:rFonts w:hAnsi="宋体" w:cs="宋体"/>
                <w:color w:val="auto"/>
                <w:sz w:val="24"/>
                <w:highlight w:val="none"/>
              </w:rPr>
            </w:pPr>
          </w:p>
        </w:tc>
        <w:tc>
          <w:tcPr>
            <w:tcW w:w="1177" w:type="dxa"/>
          </w:tcPr>
          <w:p w14:paraId="33DBACA6">
            <w:pPr>
              <w:widowControl/>
              <w:shd w:val="clear"/>
              <w:spacing w:line="500" w:lineRule="exact"/>
              <w:jc w:val="center"/>
              <w:rPr>
                <w:rFonts w:hAnsi="宋体" w:cs="宋体"/>
                <w:color w:val="auto"/>
                <w:sz w:val="24"/>
                <w:highlight w:val="none"/>
              </w:rPr>
            </w:pPr>
          </w:p>
        </w:tc>
        <w:tc>
          <w:tcPr>
            <w:tcW w:w="1039" w:type="dxa"/>
          </w:tcPr>
          <w:p w14:paraId="7012032B">
            <w:pPr>
              <w:widowControl/>
              <w:shd w:val="clear"/>
              <w:spacing w:line="500" w:lineRule="exact"/>
              <w:jc w:val="center"/>
              <w:rPr>
                <w:rFonts w:hAnsi="宋体" w:cs="宋体"/>
                <w:color w:val="auto"/>
                <w:sz w:val="24"/>
                <w:highlight w:val="none"/>
              </w:rPr>
            </w:pPr>
          </w:p>
        </w:tc>
        <w:tc>
          <w:tcPr>
            <w:tcW w:w="898" w:type="dxa"/>
          </w:tcPr>
          <w:p w14:paraId="500AA23C">
            <w:pPr>
              <w:widowControl/>
              <w:shd w:val="clear"/>
              <w:spacing w:line="500" w:lineRule="exact"/>
              <w:jc w:val="center"/>
              <w:rPr>
                <w:rFonts w:hAnsi="宋体" w:cs="宋体"/>
                <w:color w:val="auto"/>
                <w:sz w:val="24"/>
                <w:highlight w:val="none"/>
              </w:rPr>
            </w:pPr>
          </w:p>
        </w:tc>
      </w:tr>
      <w:tr w14:paraId="5B19A6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1" w:hRule="atLeast"/>
          <w:jc w:val="center"/>
        </w:trPr>
        <w:tc>
          <w:tcPr>
            <w:tcW w:w="959" w:type="dxa"/>
            <w:vMerge w:val="continue"/>
            <w:vAlign w:val="center"/>
          </w:tcPr>
          <w:p w14:paraId="386A3EBC">
            <w:pPr>
              <w:shd w:val="clear"/>
              <w:spacing w:line="500" w:lineRule="exact"/>
              <w:jc w:val="center"/>
              <w:rPr>
                <w:rFonts w:hAnsi="宋体" w:cs="宋体"/>
                <w:color w:val="auto"/>
                <w:highlight w:val="none"/>
              </w:rPr>
            </w:pPr>
          </w:p>
        </w:tc>
        <w:tc>
          <w:tcPr>
            <w:tcW w:w="990" w:type="dxa"/>
          </w:tcPr>
          <w:p w14:paraId="3C17D9B0">
            <w:pPr>
              <w:widowControl/>
              <w:shd w:val="clear"/>
              <w:spacing w:line="500" w:lineRule="exact"/>
              <w:jc w:val="center"/>
              <w:rPr>
                <w:rFonts w:hAnsi="宋体" w:cs="宋体"/>
                <w:color w:val="auto"/>
                <w:sz w:val="24"/>
                <w:highlight w:val="none"/>
              </w:rPr>
            </w:pPr>
          </w:p>
        </w:tc>
        <w:tc>
          <w:tcPr>
            <w:tcW w:w="990" w:type="dxa"/>
          </w:tcPr>
          <w:p w14:paraId="31F1516A">
            <w:pPr>
              <w:widowControl/>
              <w:shd w:val="clear"/>
              <w:spacing w:line="500" w:lineRule="exact"/>
              <w:jc w:val="center"/>
              <w:rPr>
                <w:rFonts w:hAnsi="宋体" w:cs="宋体"/>
                <w:color w:val="auto"/>
                <w:sz w:val="24"/>
                <w:highlight w:val="none"/>
              </w:rPr>
            </w:pPr>
          </w:p>
        </w:tc>
        <w:tc>
          <w:tcPr>
            <w:tcW w:w="990" w:type="dxa"/>
          </w:tcPr>
          <w:p w14:paraId="3D35F3E4">
            <w:pPr>
              <w:widowControl/>
              <w:shd w:val="clear"/>
              <w:spacing w:line="500" w:lineRule="exact"/>
              <w:jc w:val="center"/>
              <w:rPr>
                <w:rFonts w:hAnsi="宋体" w:cs="宋体"/>
                <w:color w:val="auto"/>
                <w:sz w:val="24"/>
                <w:highlight w:val="none"/>
              </w:rPr>
            </w:pPr>
          </w:p>
        </w:tc>
        <w:tc>
          <w:tcPr>
            <w:tcW w:w="990" w:type="dxa"/>
          </w:tcPr>
          <w:p w14:paraId="42CFE90D">
            <w:pPr>
              <w:widowControl/>
              <w:shd w:val="clear"/>
              <w:spacing w:line="500" w:lineRule="exact"/>
              <w:jc w:val="center"/>
              <w:rPr>
                <w:rFonts w:hAnsi="宋体" w:cs="宋体"/>
                <w:color w:val="auto"/>
                <w:sz w:val="24"/>
                <w:highlight w:val="none"/>
              </w:rPr>
            </w:pPr>
          </w:p>
        </w:tc>
        <w:tc>
          <w:tcPr>
            <w:tcW w:w="1044" w:type="dxa"/>
          </w:tcPr>
          <w:p w14:paraId="50B756A8">
            <w:pPr>
              <w:widowControl/>
              <w:shd w:val="clear"/>
              <w:spacing w:line="500" w:lineRule="exact"/>
              <w:jc w:val="center"/>
              <w:rPr>
                <w:rFonts w:hAnsi="宋体" w:cs="宋体"/>
                <w:color w:val="auto"/>
                <w:sz w:val="24"/>
                <w:highlight w:val="none"/>
              </w:rPr>
            </w:pPr>
          </w:p>
        </w:tc>
        <w:tc>
          <w:tcPr>
            <w:tcW w:w="1177" w:type="dxa"/>
          </w:tcPr>
          <w:p w14:paraId="7F845279">
            <w:pPr>
              <w:widowControl/>
              <w:shd w:val="clear"/>
              <w:spacing w:line="500" w:lineRule="exact"/>
              <w:jc w:val="center"/>
              <w:rPr>
                <w:rFonts w:hAnsi="宋体" w:cs="宋体"/>
                <w:color w:val="auto"/>
                <w:sz w:val="24"/>
                <w:highlight w:val="none"/>
              </w:rPr>
            </w:pPr>
          </w:p>
        </w:tc>
        <w:tc>
          <w:tcPr>
            <w:tcW w:w="1039" w:type="dxa"/>
          </w:tcPr>
          <w:p w14:paraId="222F216E">
            <w:pPr>
              <w:widowControl/>
              <w:shd w:val="clear"/>
              <w:spacing w:line="500" w:lineRule="exact"/>
              <w:jc w:val="center"/>
              <w:rPr>
                <w:rFonts w:hAnsi="宋体" w:cs="宋体"/>
                <w:color w:val="auto"/>
                <w:sz w:val="24"/>
                <w:highlight w:val="none"/>
              </w:rPr>
            </w:pPr>
          </w:p>
        </w:tc>
        <w:tc>
          <w:tcPr>
            <w:tcW w:w="898" w:type="dxa"/>
          </w:tcPr>
          <w:p w14:paraId="385BBEE4">
            <w:pPr>
              <w:widowControl/>
              <w:shd w:val="clear"/>
              <w:spacing w:line="500" w:lineRule="exact"/>
              <w:jc w:val="center"/>
              <w:rPr>
                <w:rFonts w:hAnsi="宋体" w:cs="宋体"/>
                <w:color w:val="auto"/>
                <w:sz w:val="24"/>
                <w:highlight w:val="none"/>
              </w:rPr>
            </w:pPr>
          </w:p>
        </w:tc>
      </w:tr>
      <w:tr w14:paraId="00B94F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0" w:hRule="atLeast"/>
          <w:jc w:val="center"/>
        </w:trPr>
        <w:tc>
          <w:tcPr>
            <w:tcW w:w="959" w:type="dxa"/>
            <w:vMerge w:val="continue"/>
            <w:vAlign w:val="center"/>
          </w:tcPr>
          <w:p w14:paraId="2DB20F57">
            <w:pPr>
              <w:shd w:val="clear"/>
              <w:spacing w:line="500" w:lineRule="exact"/>
              <w:jc w:val="center"/>
              <w:rPr>
                <w:rFonts w:hAnsi="宋体" w:cs="宋体"/>
                <w:color w:val="auto"/>
                <w:highlight w:val="none"/>
              </w:rPr>
            </w:pPr>
          </w:p>
        </w:tc>
        <w:tc>
          <w:tcPr>
            <w:tcW w:w="990" w:type="dxa"/>
          </w:tcPr>
          <w:p w14:paraId="1F6DE1F2">
            <w:pPr>
              <w:widowControl/>
              <w:shd w:val="clear"/>
              <w:spacing w:line="500" w:lineRule="exact"/>
              <w:jc w:val="center"/>
              <w:rPr>
                <w:rFonts w:hAnsi="宋体" w:cs="宋体"/>
                <w:color w:val="auto"/>
                <w:sz w:val="24"/>
                <w:highlight w:val="none"/>
              </w:rPr>
            </w:pPr>
          </w:p>
        </w:tc>
        <w:tc>
          <w:tcPr>
            <w:tcW w:w="990" w:type="dxa"/>
          </w:tcPr>
          <w:p w14:paraId="4B3A33A8">
            <w:pPr>
              <w:widowControl/>
              <w:shd w:val="clear"/>
              <w:spacing w:line="500" w:lineRule="exact"/>
              <w:jc w:val="center"/>
              <w:rPr>
                <w:rFonts w:hAnsi="宋体" w:cs="宋体"/>
                <w:color w:val="auto"/>
                <w:sz w:val="24"/>
                <w:highlight w:val="none"/>
              </w:rPr>
            </w:pPr>
          </w:p>
        </w:tc>
        <w:tc>
          <w:tcPr>
            <w:tcW w:w="990" w:type="dxa"/>
          </w:tcPr>
          <w:p w14:paraId="070CEEE2">
            <w:pPr>
              <w:widowControl/>
              <w:shd w:val="clear"/>
              <w:spacing w:line="500" w:lineRule="exact"/>
              <w:jc w:val="center"/>
              <w:rPr>
                <w:rFonts w:hAnsi="宋体" w:cs="宋体"/>
                <w:color w:val="auto"/>
                <w:sz w:val="24"/>
                <w:highlight w:val="none"/>
              </w:rPr>
            </w:pPr>
          </w:p>
        </w:tc>
        <w:tc>
          <w:tcPr>
            <w:tcW w:w="990" w:type="dxa"/>
          </w:tcPr>
          <w:p w14:paraId="21BD4D54">
            <w:pPr>
              <w:widowControl/>
              <w:shd w:val="clear"/>
              <w:spacing w:line="500" w:lineRule="exact"/>
              <w:jc w:val="center"/>
              <w:rPr>
                <w:rFonts w:hAnsi="宋体" w:cs="宋体"/>
                <w:color w:val="auto"/>
                <w:sz w:val="24"/>
                <w:highlight w:val="none"/>
              </w:rPr>
            </w:pPr>
          </w:p>
        </w:tc>
        <w:tc>
          <w:tcPr>
            <w:tcW w:w="1044" w:type="dxa"/>
          </w:tcPr>
          <w:p w14:paraId="202BA53C">
            <w:pPr>
              <w:widowControl/>
              <w:shd w:val="clear"/>
              <w:spacing w:line="500" w:lineRule="exact"/>
              <w:jc w:val="center"/>
              <w:rPr>
                <w:rFonts w:hAnsi="宋体" w:cs="宋体"/>
                <w:color w:val="auto"/>
                <w:sz w:val="24"/>
                <w:highlight w:val="none"/>
              </w:rPr>
            </w:pPr>
          </w:p>
        </w:tc>
        <w:tc>
          <w:tcPr>
            <w:tcW w:w="1177" w:type="dxa"/>
          </w:tcPr>
          <w:p w14:paraId="79460882">
            <w:pPr>
              <w:widowControl/>
              <w:shd w:val="clear"/>
              <w:spacing w:line="500" w:lineRule="exact"/>
              <w:jc w:val="center"/>
              <w:rPr>
                <w:rFonts w:hAnsi="宋体" w:cs="宋体"/>
                <w:color w:val="auto"/>
                <w:sz w:val="24"/>
                <w:highlight w:val="none"/>
              </w:rPr>
            </w:pPr>
          </w:p>
        </w:tc>
        <w:tc>
          <w:tcPr>
            <w:tcW w:w="1039" w:type="dxa"/>
          </w:tcPr>
          <w:p w14:paraId="4E8071EC">
            <w:pPr>
              <w:widowControl/>
              <w:shd w:val="clear"/>
              <w:spacing w:line="500" w:lineRule="exact"/>
              <w:jc w:val="center"/>
              <w:rPr>
                <w:rFonts w:hAnsi="宋体" w:cs="宋体"/>
                <w:color w:val="auto"/>
                <w:sz w:val="24"/>
                <w:highlight w:val="none"/>
              </w:rPr>
            </w:pPr>
          </w:p>
        </w:tc>
        <w:tc>
          <w:tcPr>
            <w:tcW w:w="898" w:type="dxa"/>
          </w:tcPr>
          <w:p w14:paraId="22507BD8">
            <w:pPr>
              <w:widowControl/>
              <w:shd w:val="clear"/>
              <w:spacing w:line="500" w:lineRule="exact"/>
              <w:jc w:val="center"/>
              <w:rPr>
                <w:rFonts w:hAnsi="宋体" w:cs="宋体"/>
                <w:color w:val="auto"/>
                <w:sz w:val="24"/>
                <w:highlight w:val="none"/>
              </w:rPr>
            </w:pPr>
          </w:p>
        </w:tc>
      </w:tr>
      <w:tr w14:paraId="224B80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1" w:hRule="atLeast"/>
          <w:jc w:val="center"/>
        </w:trPr>
        <w:tc>
          <w:tcPr>
            <w:tcW w:w="959" w:type="dxa"/>
            <w:vMerge w:val="restart"/>
            <w:vAlign w:val="center"/>
          </w:tcPr>
          <w:p w14:paraId="767BF2D4">
            <w:pPr>
              <w:widowControl/>
              <w:shd w:val="clear"/>
              <w:spacing w:line="500" w:lineRule="exact"/>
              <w:jc w:val="center"/>
              <w:rPr>
                <w:rFonts w:hAnsi="宋体" w:cs="宋体"/>
                <w:color w:val="auto"/>
                <w:sz w:val="24"/>
                <w:highlight w:val="none"/>
              </w:rPr>
            </w:pPr>
            <w:r>
              <w:rPr>
                <w:rFonts w:hint="eastAsia" w:hAnsi="宋体" w:cs="宋体"/>
                <w:color w:val="auto"/>
                <w:sz w:val="24"/>
                <w:highlight w:val="none"/>
              </w:rPr>
              <w:t>售后服务人员</w:t>
            </w:r>
          </w:p>
        </w:tc>
        <w:tc>
          <w:tcPr>
            <w:tcW w:w="990" w:type="dxa"/>
          </w:tcPr>
          <w:p w14:paraId="0A9E2F27">
            <w:pPr>
              <w:widowControl/>
              <w:shd w:val="clear"/>
              <w:spacing w:line="500" w:lineRule="exact"/>
              <w:jc w:val="center"/>
              <w:rPr>
                <w:rFonts w:hAnsi="宋体" w:cs="宋体"/>
                <w:color w:val="auto"/>
                <w:sz w:val="24"/>
                <w:highlight w:val="none"/>
              </w:rPr>
            </w:pPr>
          </w:p>
        </w:tc>
        <w:tc>
          <w:tcPr>
            <w:tcW w:w="990" w:type="dxa"/>
          </w:tcPr>
          <w:p w14:paraId="565F9BDA">
            <w:pPr>
              <w:widowControl/>
              <w:shd w:val="clear"/>
              <w:spacing w:line="500" w:lineRule="exact"/>
              <w:jc w:val="center"/>
              <w:rPr>
                <w:rFonts w:hAnsi="宋体" w:cs="宋体"/>
                <w:color w:val="auto"/>
                <w:sz w:val="24"/>
                <w:highlight w:val="none"/>
              </w:rPr>
            </w:pPr>
          </w:p>
        </w:tc>
        <w:tc>
          <w:tcPr>
            <w:tcW w:w="990" w:type="dxa"/>
          </w:tcPr>
          <w:p w14:paraId="076FC5D2">
            <w:pPr>
              <w:widowControl/>
              <w:shd w:val="clear"/>
              <w:spacing w:line="500" w:lineRule="exact"/>
              <w:jc w:val="center"/>
              <w:rPr>
                <w:rFonts w:hAnsi="宋体" w:cs="宋体"/>
                <w:color w:val="auto"/>
                <w:sz w:val="24"/>
                <w:highlight w:val="none"/>
              </w:rPr>
            </w:pPr>
          </w:p>
        </w:tc>
        <w:tc>
          <w:tcPr>
            <w:tcW w:w="990" w:type="dxa"/>
          </w:tcPr>
          <w:p w14:paraId="20F85DB2">
            <w:pPr>
              <w:widowControl/>
              <w:shd w:val="clear"/>
              <w:spacing w:line="500" w:lineRule="exact"/>
              <w:jc w:val="center"/>
              <w:rPr>
                <w:rFonts w:hAnsi="宋体" w:cs="宋体"/>
                <w:color w:val="auto"/>
                <w:sz w:val="24"/>
                <w:highlight w:val="none"/>
              </w:rPr>
            </w:pPr>
          </w:p>
        </w:tc>
        <w:tc>
          <w:tcPr>
            <w:tcW w:w="1044" w:type="dxa"/>
          </w:tcPr>
          <w:p w14:paraId="60EED8AB">
            <w:pPr>
              <w:widowControl/>
              <w:shd w:val="clear"/>
              <w:spacing w:line="500" w:lineRule="exact"/>
              <w:jc w:val="center"/>
              <w:rPr>
                <w:rFonts w:hAnsi="宋体" w:cs="宋体"/>
                <w:color w:val="auto"/>
                <w:sz w:val="24"/>
                <w:highlight w:val="none"/>
              </w:rPr>
            </w:pPr>
          </w:p>
        </w:tc>
        <w:tc>
          <w:tcPr>
            <w:tcW w:w="1177" w:type="dxa"/>
          </w:tcPr>
          <w:p w14:paraId="5CD487C1">
            <w:pPr>
              <w:widowControl/>
              <w:shd w:val="clear"/>
              <w:spacing w:line="500" w:lineRule="exact"/>
              <w:jc w:val="center"/>
              <w:rPr>
                <w:rFonts w:hAnsi="宋体" w:cs="宋体"/>
                <w:color w:val="auto"/>
                <w:sz w:val="24"/>
                <w:highlight w:val="none"/>
              </w:rPr>
            </w:pPr>
          </w:p>
        </w:tc>
        <w:tc>
          <w:tcPr>
            <w:tcW w:w="1039" w:type="dxa"/>
          </w:tcPr>
          <w:p w14:paraId="7023F981">
            <w:pPr>
              <w:widowControl/>
              <w:shd w:val="clear"/>
              <w:spacing w:line="500" w:lineRule="exact"/>
              <w:jc w:val="center"/>
              <w:rPr>
                <w:rFonts w:hAnsi="宋体" w:cs="宋体"/>
                <w:color w:val="auto"/>
                <w:sz w:val="24"/>
                <w:highlight w:val="none"/>
              </w:rPr>
            </w:pPr>
          </w:p>
        </w:tc>
        <w:tc>
          <w:tcPr>
            <w:tcW w:w="898" w:type="dxa"/>
          </w:tcPr>
          <w:p w14:paraId="46737E0A">
            <w:pPr>
              <w:widowControl/>
              <w:shd w:val="clear"/>
              <w:spacing w:line="500" w:lineRule="exact"/>
              <w:jc w:val="center"/>
              <w:rPr>
                <w:rFonts w:hAnsi="宋体" w:cs="宋体"/>
                <w:color w:val="auto"/>
                <w:sz w:val="24"/>
                <w:highlight w:val="none"/>
              </w:rPr>
            </w:pPr>
          </w:p>
        </w:tc>
      </w:tr>
      <w:tr w14:paraId="6C2006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0" w:hRule="atLeast"/>
          <w:jc w:val="center"/>
        </w:trPr>
        <w:tc>
          <w:tcPr>
            <w:tcW w:w="959" w:type="dxa"/>
            <w:vMerge w:val="continue"/>
            <w:tcBorders>
              <w:bottom w:val="single" w:color="auto" w:sz="4" w:space="0"/>
            </w:tcBorders>
          </w:tcPr>
          <w:p w14:paraId="4B3DC6DD">
            <w:pPr>
              <w:shd w:val="clear"/>
              <w:spacing w:line="500" w:lineRule="exact"/>
              <w:jc w:val="center"/>
              <w:rPr>
                <w:rFonts w:hAnsi="宋体" w:cs="宋体"/>
                <w:color w:val="auto"/>
                <w:highlight w:val="none"/>
              </w:rPr>
            </w:pPr>
          </w:p>
        </w:tc>
        <w:tc>
          <w:tcPr>
            <w:tcW w:w="990" w:type="dxa"/>
            <w:tcBorders>
              <w:bottom w:val="single" w:color="auto" w:sz="4" w:space="0"/>
            </w:tcBorders>
          </w:tcPr>
          <w:p w14:paraId="0B60DD88">
            <w:pPr>
              <w:widowControl/>
              <w:shd w:val="clear"/>
              <w:spacing w:line="500" w:lineRule="exact"/>
              <w:jc w:val="center"/>
              <w:rPr>
                <w:rFonts w:hAnsi="宋体" w:cs="宋体"/>
                <w:color w:val="auto"/>
                <w:sz w:val="24"/>
                <w:highlight w:val="none"/>
              </w:rPr>
            </w:pPr>
          </w:p>
        </w:tc>
        <w:tc>
          <w:tcPr>
            <w:tcW w:w="990" w:type="dxa"/>
          </w:tcPr>
          <w:p w14:paraId="64B9CE06">
            <w:pPr>
              <w:widowControl/>
              <w:shd w:val="clear"/>
              <w:spacing w:line="500" w:lineRule="exact"/>
              <w:jc w:val="center"/>
              <w:rPr>
                <w:rFonts w:hAnsi="宋体" w:cs="宋体"/>
                <w:color w:val="auto"/>
                <w:sz w:val="24"/>
                <w:highlight w:val="none"/>
              </w:rPr>
            </w:pPr>
          </w:p>
        </w:tc>
        <w:tc>
          <w:tcPr>
            <w:tcW w:w="990" w:type="dxa"/>
          </w:tcPr>
          <w:p w14:paraId="78A0A25D">
            <w:pPr>
              <w:widowControl/>
              <w:shd w:val="clear"/>
              <w:spacing w:line="500" w:lineRule="exact"/>
              <w:jc w:val="center"/>
              <w:rPr>
                <w:rFonts w:hAnsi="宋体" w:cs="宋体"/>
                <w:color w:val="auto"/>
                <w:sz w:val="24"/>
                <w:highlight w:val="none"/>
              </w:rPr>
            </w:pPr>
          </w:p>
        </w:tc>
        <w:tc>
          <w:tcPr>
            <w:tcW w:w="990" w:type="dxa"/>
          </w:tcPr>
          <w:p w14:paraId="0A9F6B91">
            <w:pPr>
              <w:widowControl/>
              <w:shd w:val="clear"/>
              <w:spacing w:line="500" w:lineRule="exact"/>
              <w:jc w:val="center"/>
              <w:rPr>
                <w:rFonts w:hAnsi="宋体" w:cs="宋体"/>
                <w:color w:val="auto"/>
                <w:sz w:val="24"/>
                <w:highlight w:val="none"/>
              </w:rPr>
            </w:pPr>
          </w:p>
        </w:tc>
        <w:tc>
          <w:tcPr>
            <w:tcW w:w="1044" w:type="dxa"/>
          </w:tcPr>
          <w:p w14:paraId="531EDE74">
            <w:pPr>
              <w:widowControl/>
              <w:shd w:val="clear"/>
              <w:spacing w:line="500" w:lineRule="exact"/>
              <w:jc w:val="center"/>
              <w:rPr>
                <w:rFonts w:hAnsi="宋体" w:cs="宋体"/>
                <w:color w:val="auto"/>
                <w:sz w:val="24"/>
                <w:highlight w:val="none"/>
              </w:rPr>
            </w:pPr>
          </w:p>
        </w:tc>
        <w:tc>
          <w:tcPr>
            <w:tcW w:w="1177" w:type="dxa"/>
          </w:tcPr>
          <w:p w14:paraId="37EFD66F">
            <w:pPr>
              <w:widowControl/>
              <w:shd w:val="clear"/>
              <w:spacing w:line="500" w:lineRule="exact"/>
              <w:jc w:val="center"/>
              <w:rPr>
                <w:rFonts w:hAnsi="宋体" w:cs="宋体"/>
                <w:color w:val="auto"/>
                <w:sz w:val="24"/>
                <w:highlight w:val="none"/>
              </w:rPr>
            </w:pPr>
          </w:p>
        </w:tc>
        <w:tc>
          <w:tcPr>
            <w:tcW w:w="1039" w:type="dxa"/>
          </w:tcPr>
          <w:p w14:paraId="3D172B6D">
            <w:pPr>
              <w:widowControl/>
              <w:shd w:val="clear"/>
              <w:spacing w:line="500" w:lineRule="exact"/>
              <w:jc w:val="center"/>
              <w:rPr>
                <w:rFonts w:hAnsi="宋体" w:cs="宋体"/>
                <w:color w:val="auto"/>
                <w:sz w:val="24"/>
                <w:highlight w:val="none"/>
              </w:rPr>
            </w:pPr>
          </w:p>
        </w:tc>
        <w:tc>
          <w:tcPr>
            <w:tcW w:w="898" w:type="dxa"/>
          </w:tcPr>
          <w:p w14:paraId="6C17959A">
            <w:pPr>
              <w:widowControl/>
              <w:shd w:val="clear"/>
              <w:spacing w:line="500" w:lineRule="exact"/>
              <w:jc w:val="center"/>
              <w:rPr>
                <w:rFonts w:hAnsi="宋体" w:cs="宋体"/>
                <w:color w:val="auto"/>
                <w:sz w:val="24"/>
                <w:highlight w:val="none"/>
              </w:rPr>
            </w:pPr>
          </w:p>
        </w:tc>
      </w:tr>
    </w:tbl>
    <w:p w14:paraId="4ABD8FAF">
      <w:pPr>
        <w:shd w:val="clear"/>
        <w:spacing w:line="468" w:lineRule="exact"/>
        <w:jc w:val="left"/>
        <w:rPr>
          <w:rFonts w:hAnsi="宋体" w:cs="宋体"/>
          <w:color w:val="auto"/>
          <w:sz w:val="24"/>
          <w:szCs w:val="22"/>
          <w:highlight w:val="none"/>
        </w:rPr>
      </w:pPr>
      <w:r>
        <w:rPr>
          <w:rFonts w:hint="eastAsia" w:hAnsi="宋体" w:cs="宋体"/>
          <w:color w:val="auto"/>
          <w:sz w:val="24"/>
          <w:highlight w:val="none"/>
        </w:rPr>
        <w:t>注：</w:t>
      </w:r>
      <w:r>
        <w:rPr>
          <w:rFonts w:hint="eastAsia" w:hAnsi="宋体" w:cs="宋体"/>
          <w:color w:val="auto"/>
          <w:sz w:val="24"/>
          <w:szCs w:val="22"/>
          <w:highlight w:val="none"/>
        </w:rPr>
        <w:t>1.以上表格格式可增减。</w:t>
      </w:r>
    </w:p>
    <w:p w14:paraId="267911A6">
      <w:pPr>
        <w:pStyle w:val="20"/>
        <w:shd w:val="clear"/>
        <w:spacing w:before="480" w:after="480"/>
        <w:rPr>
          <w:rFonts w:ascii="宋体" w:hAnsi="宋体" w:cs="宋体"/>
          <w:color w:val="auto"/>
          <w:highlight w:val="none"/>
        </w:rPr>
      </w:pPr>
    </w:p>
    <w:p w14:paraId="05AFFAA3">
      <w:pPr>
        <w:widowControl/>
        <w:shd w:val="clear"/>
        <w:spacing w:line="500" w:lineRule="exact"/>
        <w:ind w:firstLine="470" w:firstLineChars="196"/>
        <w:jc w:val="left"/>
        <w:rPr>
          <w:rFonts w:hAnsi="宋体" w:cs="宋体"/>
          <w:color w:val="auto"/>
          <w:sz w:val="24"/>
          <w:highlight w:val="none"/>
        </w:rPr>
      </w:pPr>
      <w:r>
        <w:rPr>
          <w:rFonts w:hint="eastAsia" w:hAnsi="宋体" w:cs="宋体"/>
          <w:color w:val="auto"/>
          <w:sz w:val="24"/>
          <w:highlight w:val="none"/>
        </w:rPr>
        <w:t>投标人名称：XXXX（单位盖章）。</w:t>
      </w:r>
    </w:p>
    <w:p w14:paraId="72A05F59">
      <w:pPr>
        <w:widowControl/>
        <w:shd w:val="clear"/>
        <w:spacing w:line="500" w:lineRule="exact"/>
        <w:ind w:firstLine="470" w:firstLineChars="196"/>
        <w:jc w:val="left"/>
        <w:rPr>
          <w:rFonts w:hAnsi="宋体" w:cs="宋体"/>
          <w:color w:val="auto"/>
          <w:sz w:val="24"/>
          <w:highlight w:val="none"/>
        </w:rPr>
      </w:pPr>
      <w:r>
        <w:rPr>
          <w:rFonts w:hint="eastAsia" w:hAnsi="宋体" w:cs="宋体"/>
          <w:color w:val="auto"/>
          <w:sz w:val="24"/>
          <w:highlight w:val="none"/>
        </w:rPr>
        <w:t>法定代表人或授权代表（签字或加盖个人名章）：XXXX。</w:t>
      </w:r>
    </w:p>
    <w:p w14:paraId="0ED0D441">
      <w:pPr>
        <w:widowControl/>
        <w:shd w:val="clear"/>
        <w:spacing w:line="500" w:lineRule="exact"/>
        <w:ind w:firstLine="470" w:firstLineChars="196"/>
        <w:jc w:val="left"/>
        <w:rPr>
          <w:rFonts w:hAnsi="宋体" w:cs="宋体"/>
          <w:color w:val="auto"/>
          <w:sz w:val="24"/>
          <w:highlight w:val="none"/>
        </w:rPr>
      </w:pPr>
      <w:r>
        <w:rPr>
          <w:rFonts w:hint="eastAsia" w:hAnsi="宋体" w:cs="宋体"/>
          <w:color w:val="auto"/>
          <w:sz w:val="24"/>
          <w:highlight w:val="none"/>
        </w:rPr>
        <w:t>投标日期: XXXX。</w:t>
      </w:r>
    </w:p>
    <w:p w14:paraId="626B3A43">
      <w:pPr>
        <w:widowControl/>
        <w:shd w:val="clear"/>
        <w:spacing w:line="500" w:lineRule="exact"/>
        <w:ind w:firstLine="472" w:firstLineChars="196"/>
        <w:jc w:val="left"/>
        <w:rPr>
          <w:rFonts w:hAnsi="宋体" w:cs="宋体"/>
          <w:b/>
          <w:color w:val="auto"/>
          <w:sz w:val="24"/>
          <w:highlight w:val="none"/>
        </w:rPr>
      </w:pPr>
    </w:p>
    <w:p w14:paraId="7651B6F2">
      <w:pPr>
        <w:pStyle w:val="20"/>
        <w:shd w:val="clear"/>
        <w:spacing w:before="480" w:after="480"/>
        <w:rPr>
          <w:rFonts w:ascii="宋体" w:hAnsi="宋体" w:cs="宋体"/>
          <w:color w:val="auto"/>
          <w:highlight w:val="none"/>
        </w:rPr>
      </w:pPr>
    </w:p>
    <w:p w14:paraId="1A279DFB">
      <w:pPr>
        <w:shd w:val="clear"/>
        <w:rPr>
          <w:rFonts w:hAnsi="宋体" w:cs="宋体"/>
          <w:color w:val="auto"/>
          <w:highlight w:val="none"/>
        </w:rPr>
      </w:pPr>
    </w:p>
    <w:p w14:paraId="3F376F23">
      <w:pPr>
        <w:pStyle w:val="2"/>
        <w:shd w:val="clear"/>
        <w:rPr>
          <w:rFonts w:hAnsi="宋体" w:cs="宋体"/>
          <w:color w:val="auto"/>
          <w:highlight w:val="none"/>
        </w:rPr>
      </w:pPr>
    </w:p>
    <w:p w14:paraId="1AF8AC2E">
      <w:pPr>
        <w:shd w:val="clear"/>
        <w:rPr>
          <w:rFonts w:hAnsi="宋体" w:cs="宋体"/>
          <w:color w:val="auto"/>
          <w:highlight w:val="none"/>
        </w:rPr>
      </w:pPr>
    </w:p>
    <w:p w14:paraId="4842192A">
      <w:pPr>
        <w:widowControl/>
        <w:shd w:val="clear"/>
        <w:spacing w:line="500" w:lineRule="exact"/>
        <w:jc w:val="center"/>
        <w:outlineLvl w:val="1"/>
        <w:rPr>
          <w:rFonts w:hAnsi="宋体" w:cs="宋体"/>
          <w:b/>
          <w:color w:val="auto"/>
          <w:sz w:val="32"/>
          <w:szCs w:val="32"/>
          <w:highlight w:val="none"/>
        </w:rPr>
      </w:pPr>
      <w:r>
        <w:rPr>
          <w:rFonts w:hint="eastAsia" w:hAnsi="宋体" w:cs="宋体"/>
          <w:b/>
          <w:color w:val="auto"/>
          <w:sz w:val="32"/>
          <w:szCs w:val="32"/>
          <w:highlight w:val="none"/>
        </w:rPr>
        <w:t>十二、中小企业声明函</w:t>
      </w:r>
    </w:p>
    <w:p w14:paraId="0FEC759C">
      <w:pPr>
        <w:shd w:val="clear"/>
        <w:spacing w:line="360" w:lineRule="auto"/>
        <w:ind w:firstLine="480" w:firstLineChars="200"/>
        <w:jc w:val="left"/>
        <w:rPr>
          <w:rFonts w:hAnsi="宋体" w:cs="宋体"/>
          <w:color w:val="auto"/>
          <w:sz w:val="24"/>
          <w:szCs w:val="24"/>
          <w:highlight w:val="none"/>
        </w:rPr>
      </w:pPr>
    </w:p>
    <w:p w14:paraId="7AB7A9F0">
      <w:pPr>
        <w:shd w:val="clear"/>
        <w:spacing w:line="4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本公司郑重声明，根据《政府采购促进中小企业发展管理办法》（财库〔2020〕46号）的规定，本公司参加</w:t>
      </w:r>
      <w:r>
        <w:rPr>
          <w:rFonts w:hint="eastAsia" w:hAnsi="宋体" w:cs="宋体"/>
          <w:color w:val="auto"/>
          <w:sz w:val="24"/>
          <w:szCs w:val="24"/>
          <w:highlight w:val="none"/>
          <w:u w:val="single"/>
        </w:rPr>
        <w:t xml:space="preserve"> 单位名称 </w:t>
      </w:r>
      <w:r>
        <w:rPr>
          <w:rFonts w:hint="eastAsia" w:hAnsi="宋体" w:cs="宋体"/>
          <w:color w:val="auto"/>
          <w:sz w:val="24"/>
          <w:szCs w:val="24"/>
          <w:highlight w:val="none"/>
        </w:rPr>
        <w:t>的</w:t>
      </w:r>
      <w:r>
        <w:rPr>
          <w:rFonts w:hint="eastAsia" w:hAnsi="宋体" w:cs="宋体"/>
          <w:color w:val="auto"/>
          <w:sz w:val="24"/>
          <w:szCs w:val="24"/>
          <w:highlight w:val="none"/>
          <w:u w:val="single"/>
        </w:rPr>
        <w:t>（项目名称）</w:t>
      </w:r>
      <w:r>
        <w:rPr>
          <w:rFonts w:hint="eastAsia" w:hAnsi="宋体" w:cs="宋体"/>
          <w:color w:val="auto"/>
          <w:sz w:val="24"/>
          <w:szCs w:val="24"/>
          <w:highlight w:val="none"/>
        </w:rPr>
        <w:t>采购活动，提供的货物全部由符合政策要求的中小企业制造。相关企业的具体情况如下：</w:t>
      </w:r>
    </w:p>
    <w:p w14:paraId="28ACFF58">
      <w:pPr>
        <w:shd w:val="clear"/>
        <w:spacing w:line="4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1.</w:t>
      </w:r>
      <w:r>
        <w:rPr>
          <w:rFonts w:hint="eastAsia" w:hAnsi="宋体" w:cs="宋体"/>
          <w:color w:val="auto"/>
          <w:sz w:val="24"/>
          <w:szCs w:val="24"/>
          <w:highlight w:val="none"/>
          <w:u w:val="single"/>
        </w:rPr>
        <w:t>（标的名称）</w:t>
      </w:r>
      <w:r>
        <w:rPr>
          <w:rFonts w:hint="eastAsia" w:hAnsi="宋体" w:cs="宋体"/>
          <w:color w:val="auto"/>
          <w:sz w:val="24"/>
          <w:szCs w:val="24"/>
          <w:highlight w:val="none"/>
        </w:rPr>
        <w:t>，属于</w:t>
      </w:r>
      <w:r>
        <w:rPr>
          <w:rFonts w:hint="eastAsia" w:hAnsi="宋体" w:cs="宋体"/>
          <w:color w:val="auto"/>
          <w:sz w:val="24"/>
          <w:szCs w:val="24"/>
          <w:highlight w:val="none"/>
          <w:u w:val="single"/>
        </w:rPr>
        <w:t>（采购文件中明确的所属行业）</w:t>
      </w:r>
      <w:r>
        <w:rPr>
          <w:rFonts w:hint="eastAsia" w:hAnsi="宋体" w:cs="宋体"/>
          <w:color w:val="auto"/>
          <w:sz w:val="24"/>
          <w:szCs w:val="24"/>
          <w:highlight w:val="none"/>
        </w:rPr>
        <w:t>行业；制造商为</w:t>
      </w:r>
      <w:r>
        <w:rPr>
          <w:rFonts w:hint="eastAsia" w:hAnsi="宋体" w:cs="宋体"/>
          <w:color w:val="auto"/>
          <w:sz w:val="24"/>
          <w:szCs w:val="24"/>
          <w:highlight w:val="none"/>
          <w:u w:val="single"/>
        </w:rPr>
        <w:t>（企业名称）</w:t>
      </w:r>
      <w:r>
        <w:rPr>
          <w:rFonts w:hint="eastAsia" w:hAnsi="宋体" w:cs="宋体"/>
          <w:color w:val="auto"/>
          <w:sz w:val="24"/>
          <w:szCs w:val="24"/>
          <w:highlight w:val="none"/>
        </w:rPr>
        <w:t>，从业人员人，营业收入为万元，资产总额万元¹，属于</w:t>
      </w:r>
      <w:r>
        <w:rPr>
          <w:rFonts w:hint="eastAsia" w:hAnsi="宋体" w:cs="宋体"/>
          <w:color w:val="auto"/>
          <w:sz w:val="24"/>
          <w:szCs w:val="24"/>
          <w:highlight w:val="none"/>
          <w:u w:val="single"/>
        </w:rPr>
        <w:t>（中型企业、小型企业、微型企业</w:t>
      </w:r>
      <w:r>
        <w:rPr>
          <w:rFonts w:hint="eastAsia" w:hAnsi="宋体" w:cs="宋体"/>
          <w:color w:val="auto"/>
          <w:sz w:val="24"/>
          <w:szCs w:val="24"/>
          <w:highlight w:val="none"/>
        </w:rPr>
        <w:t>）；</w:t>
      </w:r>
    </w:p>
    <w:p w14:paraId="15477E3F">
      <w:pPr>
        <w:shd w:val="clear"/>
        <w:spacing w:line="4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2.</w:t>
      </w:r>
      <w:r>
        <w:rPr>
          <w:rFonts w:hint="eastAsia" w:hAnsi="宋体" w:cs="宋体"/>
          <w:color w:val="auto"/>
          <w:sz w:val="24"/>
          <w:szCs w:val="24"/>
          <w:highlight w:val="none"/>
          <w:u w:val="single"/>
        </w:rPr>
        <w:t xml:space="preserve"> （标的名称）</w:t>
      </w:r>
      <w:r>
        <w:rPr>
          <w:rFonts w:hint="eastAsia" w:hAnsi="宋体" w:cs="宋体"/>
          <w:color w:val="auto"/>
          <w:sz w:val="24"/>
          <w:szCs w:val="24"/>
          <w:highlight w:val="none"/>
        </w:rPr>
        <w:t>，属于</w:t>
      </w:r>
      <w:r>
        <w:rPr>
          <w:rFonts w:hint="eastAsia" w:hAnsi="宋体" w:cs="宋体"/>
          <w:color w:val="auto"/>
          <w:sz w:val="24"/>
          <w:szCs w:val="24"/>
          <w:highlight w:val="none"/>
          <w:u w:val="single"/>
        </w:rPr>
        <w:t>（采购文件中明确的所属行业）</w:t>
      </w:r>
      <w:r>
        <w:rPr>
          <w:rFonts w:hint="eastAsia" w:hAnsi="宋体" w:cs="宋体"/>
          <w:color w:val="auto"/>
          <w:sz w:val="24"/>
          <w:szCs w:val="24"/>
          <w:highlight w:val="none"/>
        </w:rPr>
        <w:t>行业；制造商为</w:t>
      </w:r>
      <w:r>
        <w:rPr>
          <w:rFonts w:hint="eastAsia" w:hAnsi="宋体" w:cs="宋体"/>
          <w:color w:val="auto"/>
          <w:sz w:val="24"/>
          <w:szCs w:val="24"/>
          <w:highlight w:val="none"/>
          <w:u w:val="single"/>
        </w:rPr>
        <w:t>（企业名称）</w:t>
      </w:r>
      <w:r>
        <w:rPr>
          <w:rFonts w:hint="eastAsia" w:hAnsi="宋体" w:cs="宋体"/>
          <w:color w:val="auto"/>
          <w:sz w:val="24"/>
          <w:szCs w:val="24"/>
          <w:highlight w:val="none"/>
        </w:rPr>
        <w:t>，从业人员人，营业收入为万元，资产总额万元¹，属于</w:t>
      </w:r>
      <w:r>
        <w:rPr>
          <w:rFonts w:hint="eastAsia" w:hAnsi="宋体" w:cs="宋体"/>
          <w:color w:val="auto"/>
          <w:sz w:val="24"/>
          <w:szCs w:val="24"/>
          <w:highlight w:val="none"/>
          <w:u w:val="single"/>
        </w:rPr>
        <w:t>（中型企业、小型企业、微型企业</w:t>
      </w:r>
      <w:r>
        <w:rPr>
          <w:rFonts w:hint="eastAsia" w:hAnsi="宋体" w:cs="宋体"/>
          <w:color w:val="auto"/>
          <w:sz w:val="24"/>
          <w:szCs w:val="24"/>
          <w:highlight w:val="none"/>
        </w:rPr>
        <w:t>）；</w:t>
      </w:r>
    </w:p>
    <w:p w14:paraId="02B804A2">
      <w:pPr>
        <w:shd w:val="clear"/>
        <w:spacing w:line="4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w:t>
      </w:r>
    </w:p>
    <w:p w14:paraId="3A21542F">
      <w:pPr>
        <w:shd w:val="clear"/>
        <w:spacing w:line="4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以上企业，不属于大企业的分支机构，不存在控股股东为大企业的情形，也不存在与大企业的负责人为同一人的情形。</w:t>
      </w:r>
    </w:p>
    <w:p w14:paraId="70701C6F">
      <w:pPr>
        <w:shd w:val="clear"/>
        <w:spacing w:line="4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本公司对上述声明的真实性负责。如有虚假，将依法承担相应责任。</w:t>
      </w:r>
    </w:p>
    <w:p w14:paraId="6DECEC2E">
      <w:pPr>
        <w:shd w:val="clear"/>
        <w:spacing w:line="500" w:lineRule="exact"/>
        <w:rPr>
          <w:rFonts w:hAnsi="宋体" w:cs="宋体"/>
          <w:color w:val="auto"/>
          <w:sz w:val="24"/>
          <w:szCs w:val="24"/>
          <w:highlight w:val="none"/>
        </w:rPr>
      </w:pPr>
    </w:p>
    <w:p w14:paraId="3EEB234A">
      <w:pPr>
        <w:shd w:val="clear"/>
        <w:spacing w:line="500" w:lineRule="exact"/>
        <w:rPr>
          <w:rFonts w:hAnsi="宋体" w:cs="宋体"/>
          <w:color w:val="auto"/>
          <w:sz w:val="24"/>
          <w:szCs w:val="24"/>
          <w:highlight w:val="none"/>
        </w:rPr>
      </w:pPr>
      <w:r>
        <w:rPr>
          <w:rFonts w:hint="eastAsia" w:hAnsi="宋体" w:cs="宋体"/>
          <w:color w:val="auto"/>
          <w:sz w:val="24"/>
          <w:szCs w:val="24"/>
          <w:highlight w:val="none"/>
        </w:rPr>
        <w:t>企业名称（盖章）：</w:t>
      </w:r>
    </w:p>
    <w:p w14:paraId="3F15D744">
      <w:pPr>
        <w:shd w:val="clear"/>
        <w:spacing w:line="500" w:lineRule="exact"/>
        <w:rPr>
          <w:rFonts w:hAnsi="宋体" w:cs="宋体"/>
          <w:color w:val="auto"/>
          <w:sz w:val="24"/>
          <w:szCs w:val="24"/>
          <w:highlight w:val="none"/>
        </w:rPr>
      </w:pPr>
      <w:r>
        <w:rPr>
          <w:rFonts w:hint="eastAsia" w:hAnsi="宋体" w:cs="宋体"/>
          <w:color w:val="auto"/>
          <w:sz w:val="24"/>
          <w:szCs w:val="24"/>
          <w:highlight w:val="none"/>
        </w:rPr>
        <w:t>日期：</w:t>
      </w:r>
    </w:p>
    <w:p w14:paraId="3B0A9145">
      <w:pPr>
        <w:shd w:val="clear"/>
        <w:spacing w:line="500" w:lineRule="exact"/>
        <w:rPr>
          <w:rFonts w:hAnsi="宋体" w:cs="宋体"/>
          <w:color w:val="auto"/>
          <w:sz w:val="24"/>
          <w:szCs w:val="24"/>
          <w:highlight w:val="none"/>
        </w:rPr>
      </w:pPr>
    </w:p>
    <w:p w14:paraId="68A6DC58">
      <w:pPr>
        <w:shd w:val="clear"/>
        <w:spacing w:line="500" w:lineRule="exact"/>
        <w:rPr>
          <w:rFonts w:hAnsi="宋体" w:cs="宋体"/>
          <w:color w:val="auto"/>
          <w:sz w:val="24"/>
          <w:szCs w:val="24"/>
          <w:highlight w:val="none"/>
        </w:rPr>
      </w:pPr>
      <w:r>
        <w:rPr>
          <w:rFonts w:hint="eastAsia" w:hAnsi="宋体" w:cs="宋体"/>
          <w:color w:val="auto"/>
          <w:sz w:val="24"/>
          <w:szCs w:val="24"/>
          <w:highlight w:val="none"/>
        </w:rPr>
        <w:t>¹从业人员、营业收入、资产总额填报上一年度数据，无上一年度数据的新成立企业可不填报。</w:t>
      </w:r>
    </w:p>
    <w:p w14:paraId="124FFD51">
      <w:pPr>
        <w:keepNext w:val="0"/>
        <w:keepLines w:val="0"/>
        <w:pageBreakBefore w:val="0"/>
        <w:widowControl w:val="0"/>
        <w:shd w:val="clear"/>
        <w:kinsoku/>
        <w:wordWrap/>
        <w:overflowPunct/>
        <w:topLinePunct w:val="0"/>
        <w:autoSpaceDE/>
        <w:autoSpaceDN/>
        <w:bidi w:val="0"/>
        <w:adjustRightInd/>
        <w:snapToGrid/>
        <w:spacing w:line="420" w:lineRule="exact"/>
        <w:textAlignment w:val="auto"/>
        <w:rPr>
          <w:rFonts w:hint="eastAsia" w:hAnsi="宋体" w:cs="宋体"/>
          <w:color w:val="auto"/>
          <w:sz w:val="24"/>
          <w:szCs w:val="24"/>
          <w:highlight w:val="none"/>
        </w:rPr>
      </w:pPr>
      <w:r>
        <w:rPr>
          <w:rFonts w:hint="eastAsia" w:hAnsi="宋体" w:cs="宋体"/>
          <w:color w:val="auto"/>
          <w:sz w:val="24"/>
          <w:szCs w:val="24"/>
          <w:highlight w:val="none"/>
          <w:lang w:val="en-US" w:eastAsia="zh-CN"/>
        </w:rPr>
        <w:t>结合本项目实际，</w:t>
      </w:r>
      <w:r>
        <w:rPr>
          <w:rFonts w:hint="eastAsia" w:hAnsi="宋体" w:cs="宋体"/>
          <w:color w:val="auto"/>
          <w:sz w:val="24"/>
          <w:szCs w:val="24"/>
          <w:highlight w:val="none"/>
        </w:rPr>
        <w:t>本项目《中小企业声明函》供应商仅对采购产品：</w:t>
      </w:r>
      <w:r>
        <w:rPr>
          <w:rFonts w:hint="eastAsia" w:hAnsi="宋体" w:cs="宋体"/>
          <w:color w:val="auto"/>
          <w:sz w:val="24"/>
          <w:szCs w:val="24"/>
          <w:highlight w:val="none"/>
          <w:lang w:eastAsia="zh-CN"/>
        </w:rPr>
        <w:t>“</w:t>
      </w:r>
      <w:r>
        <w:rPr>
          <w:rFonts w:hint="eastAsia" w:hAnsi="宋体" w:cs="宋体"/>
          <w:color w:val="auto"/>
          <w:sz w:val="24"/>
          <w:szCs w:val="24"/>
          <w:highlight w:val="none"/>
        </w:rPr>
        <w:t>4K摄像机</w:t>
      </w:r>
      <w:r>
        <w:rPr>
          <w:rFonts w:hint="eastAsia" w:hAnsi="宋体" w:cs="宋体"/>
          <w:color w:val="auto"/>
          <w:sz w:val="24"/>
          <w:szCs w:val="24"/>
          <w:highlight w:val="none"/>
          <w:lang w:eastAsia="zh-CN"/>
        </w:rPr>
        <w:t>”</w:t>
      </w:r>
      <w:r>
        <w:rPr>
          <w:rFonts w:hint="eastAsia" w:hAnsi="宋体" w:cs="宋体"/>
          <w:color w:val="auto"/>
          <w:sz w:val="24"/>
          <w:szCs w:val="24"/>
          <w:highlight w:val="none"/>
        </w:rPr>
        <w:t>、</w:t>
      </w:r>
      <w:r>
        <w:rPr>
          <w:rFonts w:hint="eastAsia" w:hAnsi="宋体" w:cs="宋体"/>
          <w:color w:val="auto"/>
          <w:sz w:val="24"/>
          <w:szCs w:val="24"/>
          <w:highlight w:val="none"/>
          <w:lang w:eastAsia="zh-CN"/>
        </w:rPr>
        <w:t>“</w:t>
      </w:r>
      <w:r>
        <w:rPr>
          <w:rFonts w:hint="eastAsia" w:hAnsi="宋体" w:cs="宋体"/>
          <w:color w:val="auto"/>
          <w:sz w:val="24"/>
          <w:szCs w:val="24"/>
          <w:highlight w:val="none"/>
        </w:rPr>
        <w:t>演播室三脚架</w:t>
      </w:r>
      <w:r>
        <w:rPr>
          <w:rFonts w:hint="eastAsia" w:hAnsi="宋体" w:cs="宋体"/>
          <w:color w:val="auto"/>
          <w:sz w:val="24"/>
          <w:szCs w:val="24"/>
          <w:highlight w:val="none"/>
          <w:lang w:eastAsia="zh-CN"/>
        </w:rPr>
        <w:t>”</w:t>
      </w:r>
      <w:r>
        <w:rPr>
          <w:rFonts w:hint="eastAsia" w:hAnsi="宋体" w:cs="宋体"/>
          <w:color w:val="auto"/>
          <w:sz w:val="24"/>
          <w:szCs w:val="24"/>
          <w:highlight w:val="none"/>
        </w:rPr>
        <w:t>、</w:t>
      </w:r>
      <w:r>
        <w:rPr>
          <w:rFonts w:hint="eastAsia" w:hAnsi="宋体" w:cs="宋体"/>
          <w:color w:val="auto"/>
          <w:sz w:val="24"/>
          <w:szCs w:val="24"/>
          <w:highlight w:val="none"/>
          <w:lang w:eastAsia="zh-CN"/>
        </w:rPr>
        <w:t>“</w:t>
      </w:r>
      <w:r>
        <w:rPr>
          <w:rFonts w:hint="eastAsia" w:hAnsi="宋体" w:cs="宋体"/>
          <w:color w:val="auto"/>
          <w:sz w:val="24"/>
          <w:szCs w:val="24"/>
          <w:highlight w:val="none"/>
        </w:rPr>
        <w:t>4K微单相机</w:t>
      </w:r>
      <w:r>
        <w:rPr>
          <w:rFonts w:hint="eastAsia" w:hAnsi="宋体" w:cs="宋体"/>
          <w:color w:val="auto"/>
          <w:sz w:val="24"/>
          <w:szCs w:val="24"/>
          <w:highlight w:val="none"/>
          <w:lang w:eastAsia="zh-CN"/>
        </w:rPr>
        <w:t>”</w:t>
      </w:r>
      <w:r>
        <w:rPr>
          <w:rFonts w:hint="eastAsia" w:hAnsi="宋体" w:cs="宋体"/>
          <w:color w:val="auto"/>
          <w:sz w:val="24"/>
          <w:szCs w:val="24"/>
          <w:highlight w:val="none"/>
        </w:rPr>
        <w:t>、</w:t>
      </w:r>
      <w:r>
        <w:rPr>
          <w:rFonts w:hint="eastAsia" w:hAnsi="宋体" w:cs="宋体"/>
          <w:color w:val="auto"/>
          <w:sz w:val="24"/>
          <w:szCs w:val="24"/>
          <w:highlight w:val="none"/>
          <w:lang w:eastAsia="zh-CN"/>
        </w:rPr>
        <w:t>“</w:t>
      </w:r>
      <w:r>
        <w:rPr>
          <w:rFonts w:hint="eastAsia" w:hAnsi="宋体" w:cs="宋体"/>
          <w:color w:val="auto"/>
          <w:sz w:val="24"/>
          <w:szCs w:val="24"/>
          <w:highlight w:val="none"/>
        </w:rPr>
        <w:t>手持稳定器</w:t>
      </w:r>
      <w:r>
        <w:rPr>
          <w:rFonts w:hint="eastAsia" w:hAnsi="宋体" w:cs="宋体"/>
          <w:color w:val="auto"/>
          <w:sz w:val="24"/>
          <w:szCs w:val="24"/>
          <w:highlight w:val="none"/>
          <w:lang w:eastAsia="zh-CN"/>
        </w:rPr>
        <w:t>”</w:t>
      </w:r>
      <w:r>
        <w:rPr>
          <w:rFonts w:hint="eastAsia" w:hAnsi="宋体" w:cs="宋体"/>
          <w:color w:val="auto"/>
          <w:sz w:val="24"/>
          <w:szCs w:val="24"/>
          <w:highlight w:val="none"/>
        </w:rPr>
        <w:t>、</w:t>
      </w:r>
      <w:r>
        <w:rPr>
          <w:rFonts w:hint="eastAsia" w:hAnsi="宋体" w:cs="宋体"/>
          <w:color w:val="auto"/>
          <w:sz w:val="24"/>
          <w:szCs w:val="24"/>
          <w:highlight w:val="none"/>
          <w:lang w:eastAsia="zh-CN"/>
        </w:rPr>
        <w:t>“</w:t>
      </w:r>
      <w:r>
        <w:rPr>
          <w:rFonts w:hint="eastAsia" w:hAnsi="宋体" w:cs="宋体"/>
          <w:color w:val="auto"/>
          <w:sz w:val="24"/>
          <w:szCs w:val="24"/>
          <w:highlight w:val="none"/>
        </w:rPr>
        <w:t>无人机</w:t>
      </w:r>
      <w:r>
        <w:rPr>
          <w:rFonts w:hint="eastAsia" w:hAnsi="宋体" w:cs="宋体"/>
          <w:color w:val="auto"/>
          <w:sz w:val="24"/>
          <w:szCs w:val="24"/>
          <w:highlight w:val="none"/>
          <w:lang w:eastAsia="zh-CN"/>
        </w:rPr>
        <w:t>”</w:t>
      </w:r>
      <w:r>
        <w:rPr>
          <w:rFonts w:hint="eastAsia" w:hAnsi="宋体" w:cs="宋体"/>
          <w:color w:val="auto"/>
          <w:sz w:val="24"/>
          <w:szCs w:val="24"/>
          <w:highlight w:val="none"/>
        </w:rPr>
        <w:t>、</w:t>
      </w:r>
      <w:r>
        <w:rPr>
          <w:rFonts w:hint="eastAsia" w:hAnsi="宋体" w:cs="宋体"/>
          <w:color w:val="auto"/>
          <w:sz w:val="24"/>
          <w:szCs w:val="24"/>
          <w:highlight w:val="none"/>
          <w:lang w:eastAsia="zh-CN"/>
        </w:rPr>
        <w:t>“</w:t>
      </w:r>
      <w:r>
        <w:rPr>
          <w:rFonts w:hint="eastAsia" w:hAnsi="宋体" w:cs="宋体"/>
          <w:color w:val="auto"/>
          <w:sz w:val="24"/>
          <w:szCs w:val="24"/>
          <w:highlight w:val="none"/>
        </w:rPr>
        <w:t>返看电视机</w:t>
      </w:r>
      <w:r>
        <w:rPr>
          <w:rFonts w:hint="eastAsia" w:hAnsi="宋体" w:cs="宋体"/>
          <w:color w:val="auto"/>
          <w:sz w:val="24"/>
          <w:szCs w:val="24"/>
          <w:highlight w:val="none"/>
          <w:lang w:eastAsia="zh-CN"/>
        </w:rPr>
        <w:t>”</w:t>
      </w:r>
      <w:r>
        <w:rPr>
          <w:rFonts w:hint="eastAsia" w:hAnsi="宋体" w:cs="宋体"/>
          <w:color w:val="auto"/>
          <w:sz w:val="24"/>
          <w:szCs w:val="24"/>
          <w:highlight w:val="none"/>
        </w:rPr>
        <w:t>、</w:t>
      </w:r>
      <w:r>
        <w:rPr>
          <w:rFonts w:hint="eastAsia" w:hAnsi="宋体" w:cs="宋体"/>
          <w:color w:val="auto"/>
          <w:sz w:val="24"/>
          <w:szCs w:val="24"/>
          <w:highlight w:val="none"/>
          <w:lang w:eastAsia="zh-CN"/>
        </w:rPr>
        <w:t>“</w:t>
      </w:r>
      <w:r>
        <w:rPr>
          <w:rFonts w:hint="eastAsia" w:hAnsi="宋体" w:cs="宋体"/>
          <w:color w:val="auto"/>
          <w:sz w:val="24"/>
          <w:szCs w:val="24"/>
          <w:highlight w:val="none"/>
          <w:lang w:val="en-US" w:eastAsia="zh-CN"/>
        </w:rPr>
        <w:t>提词器</w:t>
      </w:r>
      <w:r>
        <w:rPr>
          <w:rFonts w:hint="eastAsia" w:hAnsi="宋体" w:cs="宋体"/>
          <w:color w:val="auto"/>
          <w:sz w:val="24"/>
          <w:szCs w:val="24"/>
          <w:highlight w:val="none"/>
          <w:lang w:eastAsia="zh-CN"/>
        </w:rPr>
        <w:t>”</w:t>
      </w:r>
      <w:r>
        <w:rPr>
          <w:rFonts w:hint="eastAsia" w:hAnsi="宋体" w:cs="宋体"/>
          <w:color w:val="auto"/>
          <w:sz w:val="24"/>
          <w:szCs w:val="24"/>
          <w:highlight w:val="none"/>
        </w:rPr>
        <w:t>、</w:t>
      </w:r>
      <w:r>
        <w:rPr>
          <w:rFonts w:hint="eastAsia" w:hAnsi="宋体" w:cs="宋体"/>
          <w:color w:val="auto"/>
          <w:sz w:val="24"/>
          <w:szCs w:val="24"/>
          <w:highlight w:val="none"/>
          <w:lang w:eastAsia="zh-CN"/>
        </w:rPr>
        <w:t>“便携式移动导播台”、“</w:t>
      </w:r>
      <w:r>
        <w:rPr>
          <w:rFonts w:hint="eastAsia" w:hAnsi="宋体" w:cs="宋体"/>
          <w:color w:val="auto"/>
          <w:sz w:val="24"/>
          <w:szCs w:val="24"/>
          <w:highlight w:val="none"/>
        </w:rPr>
        <w:t>绞盘带线材（电源、信号等）</w:t>
      </w:r>
      <w:r>
        <w:rPr>
          <w:rFonts w:hint="eastAsia" w:hAnsi="宋体" w:cs="宋体"/>
          <w:color w:val="auto"/>
          <w:sz w:val="24"/>
          <w:szCs w:val="24"/>
          <w:highlight w:val="none"/>
          <w:lang w:eastAsia="zh-CN"/>
        </w:rPr>
        <w:t>”</w:t>
      </w:r>
      <w:r>
        <w:rPr>
          <w:rFonts w:hint="eastAsia" w:hAnsi="宋体" w:cs="宋体"/>
          <w:color w:val="auto"/>
          <w:sz w:val="24"/>
          <w:szCs w:val="24"/>
          <w:highlight w:val="none"/>
        </w:rPr>
        <w:t>、</w:t>
      </w:r>
      <w:r>
        <w:rPr>
          <w:rFonts w:hint="eastAsia" w:hAnsi="宋体" w:cs="宋体"/>
          <w:color w:val="auto"/>
          <w:sz w:val="24"/>
          <w:szCs w:val="24"/>
          <w:highlight w:val="none"/>
          <w:lang w:eastAsia="zh-CN"/>
        </w:rPr>
        <w:t>“</w:t>
      </w:r>
      <w:r>
        <w:rPr>
          <w:rFonts w:hint="eastAsia" w:hAnsi="宋体" w:cs="宋体"/>
          <w:color w:val="auto"/>
          <w:sz w:val="24"/>
          <w:szCs w:val="24"/>
          <w:highlight w:val="none"/>
        </w:rPr>
        <w:t>LED聚光灯</w:t>
      </w:r>
      <w:r>
        <w:rPr>
          <w:rFonts w:hint="eastAsia" w:hAnsi="宋体" w:cs="宋体"/>
          <w:color w:val="auto"/>
          <w:sz w:val="24"/>
          <w:szCs w:val="24"/>
          <w:highlight w:val="none"/>
          <w:lang w:eastAsia="zh-CN"/>
        </w:rPr>
        <w:t>”</w:t>
      </w:r>
      <w:r>
        <w:rPr>
          <w:rFonts w:hint="eastAsia" w:hAnsi="宋体" w:cs="宋体"/>
          <w:color w:val="auto"/>
          <w:sz w:val="24"/>
          <w:szCs w:val="24"/>
          <w:highlight w:val="none"/>
        </w:rPr>
        <w:t>、</w:t>
      </w:r>
      <w:r>
        <w:rPr>
          <w:rFonts w:hint="eastAsia" w:hAnsi="宋体" w:cs="宋体"/>
          <w:color w:val="auto"/>
          <w:sz w:val="24"/>
          <w:szCs w:val="24"/>
          <w:highlight w:val="none"/>
          <w:lang w:eastAsia="zh-CN"/>
        </w:rPr>
        <w:t>“</w:t>
      </w:r>
      <w:r>
        <w:rPr>
          <w:rFonts w:hint="eastAsia" w:hAnsi="宋体" w:cs="宋体"/>
          <w:color w:val="auto"/>
          <w:sz w:val="24"/>
          <w:szCs w:val="24"/>
          <w:highlight w:val="none"/>
        </w:rPr>
        <w:t>LED平板柔光灯</w:t>
      </w:r>
      <w:r>
        <w:rPr>
          <w:rFonts w:hint="eastAsia" w:hAnsi="宋体" w:cs="宋体"/>
          <w:color w:val="auto"/>
          <w:sz w:val="24"/>
          <w:szCs w:val="24"/>
          <w:highlight w:val="none"/>
          <w:lang w:eastAsia="zh-CN"/>
        </w:rPr>
        <w:t>”</w:t>
      </w:r>
      <w:r>
        <w:rPr>
          <w:rFonts w:hint="eastAsia" w:hAnsi="宋体" w:cs="宋体"/>
          <w:color w:val="auto"/>
          <w:sz w:val="24"/>
          <w:szCs w:val="24"/>
          <w:highlight w:val="none"/>
        </w:rPr>
        <w:t>、</w:t>
      </w:r>
      <w:r>
        <w:rPr>
          <w:rFonts w:hint="eastAsia" w:hAnsi="宋体" w:cs="宋体"/>
          <w:color w:val="auto"/>
          <w:sz w:val="24"/>
          <w:szCs w:val="24"/>
          <w:highlight w:val="none"/>
          <w:lang w:eastAsia="zh-CN"/>
        </w:rPr>
        <w:t>“</w:t>
      </w:r>
      <w:r>
        <w:rPr>
          <w:rFonts w:hint="eastAsia" w:hAnsi="宋体" w:cs="宋体"/>
          <w:color w:val="auto"/>
          <w:sz w:val="24"/>
          <w:szCs w:val="24"/>
          <w:highlight w:val="none"/>
        </w:rPr>
        <w:t>复合型水平吊杆起重系统（L=6M）</w:t>
      </w:r>
      <w:r>
        <w:rPr>
          <w:rFonts w:hint="eastAsia" w:hAnsi="宋体" w:cs="宋体"/>
          <w:color w:val="auto"/>
          <w:sz w:val="24"/>
          <w:szCs w:val="24"/>
          <w:highlight w:val="none"/>
          <w:lang w:eastAsia="zh-CN"/>
        </w:rPr>
        <w:t>”</w:t>
      </w:r>
      <w:r>
        <w:rPr>
          <w:rFonts w:hint="eastAsia" w:hAnsi="宋体" w:cs="宋体"/>
          <w:color w:val="auto"/>
          <w:sz w:val="24"/>
          <w:szCs w:val="24"/>
          <w:highlight w:val="none"/>
        </w:rPr>
        <w:t>、</w:t>
      </w:r>
      <w:r>
        <w:rPr>
          <w:rFonts w:hint="eastAsia" w:hAnsi="宋体" w:cs="宋体"/>
          <w:color w:val="auto"/>
          <w:sz w:val="24"/>
          <w:szCs w:val="24"/>
          <w:highlight w:val="none"/>
          <w:lang w:eastAsia="zh-CN"/>
        </w:rPr>
        <w:t>“</w:t>
      </w:r>
      <w:r>
        <w:rPr>
          <w:rFonts w:hint="eastAsia" w:hAnsi="宋体" w:cs="宋体"/>
          <w:color w:val="auto"/>
          <w:sz w:val="24"/>
          <w:szCs w:val="24"/>
          <w:highlight w:val="none"/>
        </w:rPr>
        <w:t>复合型水平吊杆起重系统（L=8M）</w:t>
      </w:r>
      <w:r>
        <w:rPr>
          <w:rFonts w:hint="eastAsia" w:hAnsi="宋体" w:cs="宋体"/>
          <w:color w:val="auto"/>
          <w:sz w:val="24"/>
          <w:szCs w:val="24"/>
          <w:highlight w:val="none"/>
          <w:lang w:eastAsia="zh-CN"/>
        </w:rPr>
        <w:t>”</w:t>
      </w:r>
      <w:r>
        <w:rPr>
          <w:rFonts w:hint="eastAsia" w:hAnsi="宋体" w:cs="宋体"/>
          <w:color w:val="auto"/>
          <w:sz w:val="24"/>
          <w:szCs w:val="24"/>
          <w:highlight w:val="none"/>
        </w:rPr>
        <w:t>、</w:t>
      </w:r>
      <w:r>
        <w:rPr>
          <w:rFonts w:hint="eastAsia" w:hAnsi="宋体" w:cs="宋体"/>
          <w:color w:val="auto"/>
          <w:sz w:val="24"/>
          <w:szCs w:val="24"/>
          <w:highlight w:val="none"/>
          <w:lang w:eastAsia="zh-CN"/>
        </w:rPr>
        <w:t>“</w:t>
      </w:r>
      <w:r>
        <w:rPr>
          <w:rFonts w:hint="eastAsia" w:hAnsi="宋体" w:cs="宋体"/>
          <w:color w:val="auto"/>
          <w:sz w:val="24"/>
          <w:szCs w:val="24"/>
          <w:highlight w:val="none"/>
        </w:rPr>
        <w:t>复合型水平吊杆起重系统（L=4M）</w:t>
      </w:r>
      <w:r>
        <w:rPr>
          <w:rFonts w:hint="eastAsia" w:hAnsi="宋体" w:cs="宋体"/>
          <w:color w:val="auto"/>
          <w:sz w:val="24"/>
          <w:szCs w:val="24"/>
          <w:highlight w:val="none"/>
          <w:lang w:eastAsia="zh-CN"/>
        </w:rPr>
        <w:t>”</w:t>
      </w:r>
      <w:r>
        <w:rPr>
          <w:rFonts w:hint="eastAsia" w:hAnsi="宋体" w:cs="宋体"/>
          <w:color w:val="auto"/>
          <w:sz w:val="24"/>
          <w:szCs w:val="24"/>
          <w:highlight w:val="none"/>
        </w:rPr>
        <w:t>、</w:t>
      </w:r>
      <w:r>
        <w:rPr>
          <w:rFonts w:hint="eastAsia" w:hAnsi="宋体" w:cs="宋体"/>
          <w:color w:val="auto"/>
          <w:sz w:val="24"/>
          <w:szCs w:val="24"/>
          <w:highlight w:val="none"/>
          <w:lang w:eastAsia="zh-CN"/>
        </w:rPr>
        <w:t>“</w:t>
      </w:r>
      <w:r>
        <w:rPr>
          <w:rFonts w:hint="eastAsia" w:hAnsi="宋体" w:cs="宋体"/>
          <w:color w:val="auto"/>
          <w:sz w:val="24"/>
          <w:szCs w:val="24"/>
          <w:highlight w:val="none"/>
        </w:rPr>
        <w:t>机械系统动力控制系统</w:t>
      </w:r>
      <w:r>
        <w:rPr>
          <w:rFonts w:hint="eastAsia" w:hAnsi="宋体" w:cs="宋体"/>
          <w:color w:val="auto"/>
          <w:sz w:val="24"/>
          <w:szCs w:val="24"/>
          <w:highlight w:val="none"/>
          <w:lang w:eastAsia="zh-CN"/>
        </w:rPr>
        <w:t>”</w:t>
      </w:r>
      <w:r>
        <w:rPr>
          <w:rFonts w:hint="eastAsia" w:hAnsi="宋体" w:cs="宋体"/>
          <w:color w:val="auto"/>
          <w:sz w:val="24"/>
          <w:szCs w:val="24"/>
          <w:highlight w:val="none"/>
        </w:rPr>
        <w:t>、</w:t>
      </w:r>
      <w:r>
        <w:rPr>
          <w:rFonts w:hint="eastAsia" w:hAnsi="宋体" w:cs="宋体"/>
          <w:color w:val="auto"/>
          <w:sz w:val="24"/>
          <w:szCs w:val="24"/>
          <w:highlight w:val="none"/>
          <w:lang w:eastAsia="zh-CN"/>
        </w:rPr>
        <w:t>“</w:t>
      </w:r>
      <w:r>
        <w:rPr>
          <w:rFonts w:hint="eastAsia" w:hAnsi="宋体" w:cs="宋体"/>
          <w:color w:val="auto"/>
          <w:sz w:val="24"/>
          <w:szCs w:val="24"/>
          <w:highlight w:val="none"/>
        </w:rPr>
        <w:t>调光台</w:t>
      </w:r>
      <w:r>
        <w:rPr>
          <w:rFonts w:hint="eastAsia" w:hAnsi="宋体" w:cs="宋体"/>
          <w:color w:val="auto"/>
          <w:sz w:val="24"/>
          <w:szCs w:val="24"/>
          <w:highlight w:val="none"/>
          <w:lang w:eastAsia="zh-CN"/>
        </w:rPr>
        <w:t>”</w:t>
      </w:r>
      <w:r>
        <w:rPr>
          <w:rFonts w:hint="eastAsia" w:hAnsi="宋体" w:cs="宋体"/>
          <w:color w:val="auto"/>
          <w:sz w:val="24"/>
          <w:szCs w:val="24"/>
          <w:highlight w:val="none"/>
        </w:rPr>
        <w:t>、</w:t>
      </w:r>
      <w:r>
        <w:rPr>
          <w:rFonts w:hint="eastAsia" w:hAnsi="宋体" w:cs="宋体"/>
          <w:color w:val="auto"/>
          <w:sz w:val="24"/>
          <w:szCs w:val="24"/>
          <w:highlight w:val="none"/>
          <w:lang w:eastAsia="zh-CN"/>
        </w:rPr>
        <w:t>“</w:t>
      </w:r>
      <w:r>
        <w:rPr>
          <w:rFonts w:hint="eastAsia" w:hAnsi="宋体" w:cs="宋体"/>
          <w:color w:val="auto"/>
          <w:sz w:val="24"/>
          <w:szCs w:val="24"/>
          <w:highlight w:val="none"/>
        </w:rPr>
        <w:t>直通箱</w:t>
      </w:r>
      <w:r>
        <w:rPr>
          <w:rFonts w:hint="eastAsia" w:hAnsi="宋体" w:cs="宋体"/>
          <w:color w:val="auto"/>
          <w:sz w:val="24"/>
          <w:szCs w:val="24"/>
          <w:highlight w:val="none"/>
          <w:lang w:eastAsia="zh-CN"/>
        </w:rPr>
        <w:t>”</w:t>
      </w:r>
      <w:r>
        <w:rPr>
          <w:rFonts w:hint="eastAsia" w:hAnsi="宋体" w:cs="宋体"/>
          <w:color w:val="auto"/>
          <w:sz w:val="24"/>
          <w:szCs w:val="24"/>
          <w:highlight w:val="none"/>
        </w:rPr>
        <w:t>、</w:t>
      </w:r>
      <w:r>
        <w:rPr>
          <w:rFonts w:hint="eastAsia" w:hAnsi="宋体" w:cs="宋体"/>
          <w:color w:val="auto"/>
          <w:sz w:val="24"/>
          <w:szCs w:val="24"/>
          <w:highlight w:val="none"/>
          <w:lang w:eastAsia="zh-CN"/>
        </w:rPr>
        <w:t>“</w:t>
      </w:r>
      <w:r>
        <w:rPr>
          <w:rFonts w:hint="eastAsia" w:hAnsi="宋体" w:cs="宋体"/>
          <w:color w:val="auto"/>
          <w:sz w:val="24"/>
          <w:szCs w:val="24"/>
          <w:highlight w:val="none"/>
        </w:rPr>
        <w:t>信号放大器</w:t>
      </w:r>
      <w:r>
        <w:rPr>
          <w:rFonts w:hint="eastAsia" w:hAnsi="宋体" w:cs="宋体"/>
          <w:color w:val="auto"/>
          <w:sz w:val="24"/>
          <w:szCs w:val="24"/>
          <w:highlight w:val="none"/>
          <w:lang w:eastAsia="zh-CN"/>
        </w:rPr>
        <w:t>”</w:t>
      </w:r>
      <w:r>
        <w:rPr>
          <w:rFonts w:hint="eastAsia" w:hAnsi="宋体" w:cs="宋体"/>
          <w:color w:val="auto"/>
          <w:sz w:val="24"/>
          <w:szCs w:val="24"/>
          <w:highlight w:val="none"/>
        </w:rPr>
        <w:t>、</w:t>
      </w:r>
      <w:r>
        <w:rPr>
          <w:rFonts w:hint="eastAsia" w:hAnsi="宋体" w:cs="宋体"/>
          <w:color w:val="auto"/>
          <w:sz w:val="24"/>
          <w:szCs w:val="24"/>
          <w:highlight w:val="none"/>
          <w:lang w:eastAsia="zh-CN"/>
        </w:rPr>
        <w:t>“</w:t>
      </w:r>
      <w:r>
        <w:rPr>
          <w:rFonts w:hint="eastAsia" w:hAnsi="宋体" w:cs="宋体"/>
          <w:color w:val="auto"/>
          <w:sz w:val="24"/>
          <w:szCs w:val="24"/>
          <w:highlight w:val="none"/>
        </w:rPr>
        <w:t>电源、信号分线盒</w:t>
      </w:r>
      <w:r>
        <w:rPr>
          <w:rFonts w:hint="eastAsia" w:hAnsi="宋体" w:cs="宋体"/>
          <w:color w:val="auto"/>
          <w:sz w:val="24"/>
          <w:szCs w:val="24"/>
          <w:highlight w:val="none"/>
          <w:lang w:eastAsia="zh-CN"/>
        </w:rPr>
        <w:t>”</w:t>
      </w:r>
      <w:r>
        <w:rPr>
          <w:rFonts w:hint="eastAsia" w:hAnsi="宋体" w:cs="宋体"/>
          <w:color w:val="auto"/>
          <w:sz w:val="24"/>
          <w:szCs w:val="24"/>
          <w:highlight w:val="none"/>
        </w:rPr>
        <w:t>、</w:t>
      </w:r>
      <w:r>
        <w:rPr>
          <w:rFonts w:hint="eastAsia" w:hAnsi="宋体" w:cs="宋体"/>
          <w:color w:val="auto"/>
          <w:sz w:val="24"/>
          <w:szCs w:val="24"/>
          <w:highlight w:val="none"/>
          <w:lang w:eastAsia="zh-CN"/>
        </w:rPr>
        <w:t>“</w:t>
      </w:r>
      <w:r>
        <w:rPr>
          <w:rFonts w:hint="eastAsia" w:hAnsi="宋体" w:cs="宋体"/>
          <w:color w:val="auto"/>
          <w:sz w:val="24"/>
          <w:szCs w:val="24"/>
          <w:highlight w:val="none"/>
        </w:rPr>
        <w:t>电源接插件</w:t>
      </w:r>
      <w:r>
        <w:rPr>
          <w:rFonts w:hint="eastAsia" w:hAnsi="宋体" w:cs="宋体"/>
          <w:color w:val="auto"/>
          <w:sz w:val="24"/>
          <w:szCs w:val="24"/>
          <w:highlight w:val="none"/>
          <w:lang w:eastAsia="zh-CN"/>
        </w:rPr>
        <w:t>”</w:t>
      </w:r>
      <w:r>
        <w:rPr>
          <w:rFonts w:hint="eastAsia" w:hAnsi="宋体" w:cs="宋体"/>
          <w:color w:val="auto"/>
          <w:sz w:val="24"/>
          <w:szCs w:val="24"/>
          <w:highlight w:val="none"/>
        </w:rPr>
        <w:t>、</w:t>
      </w:r>
      <w:r>
        <w:rPr>
          <w:rFonts w:hint="eastAsia" w:hAnsi="宋体" w:cs="宋体"/>
          <w:color w:val="auto"/>
          <w:sz w:val="24"/>
          <w:szCs w:val="24"/>
          <w:highlight w:val="none"/>
          <w:lang w:eastAsia="zh-CN"/>
        </w:rPr>
        <w:t>“</w:t>
      </w:r>
      <w:r>
        <w:rPr>
          <w:rFonts w:hint="eastAsia" w:hAnsi="宋体" w:cs="宋体"/>
          <w:color w:val="auto"/>
          <w:sz w:val="24"/>
          <w:szCs w:val="24"/>
          <w:highlight w:val="none"/>
        </w:rPr>
        <w:t>信号接插件</w:t>
      </w:r>
      <w:r>
        <w:rPr>
          <w:rFonts w:hint="eastAsia" w:hAnsi="宋体" w:cs="宋体"/>
          <w:color w:val="auto"/>
          <w:sz w:val="24"/>
          <w:szCs w:val="24"/>
          <w:highlight w:val="none"/>
          <w:lang w:eastAsia="zh-CN"/>
        </w:rPr>
        <w:t>”</w:t>
      </w:r>
      <w:r>
        <w:rPr>
          <w:rFonts w:hint="eastAsia" w:hAnsi="宋体" w:cs="宋体"/>
          <w:color w:val="auto"/>
          <w:sz w:val="24"/>
          <w:szCs w:val="24"/>
          <w:highlight w:val="none"/>
        </w:rPr>
        <w:t>、</w:t>
      </w:r>
      <w:r>
        <w:rPr>
          <w:rFonts w:hint="eastAsia" w:hAnsi="宋体" w:cs="宋体"/>
          <w:color w:val="auto"/>
          <w:sz w:val="24"/>
          <w:szCs w:val="24"/>
          <w:highlight w:val="none"/>
          <w:lang w:eastAsia="zh-CN"/>
        </w:rPr>
        <w:t>“</w:t>
      </w:r>
      <w:r>
        <w:rPr>
          <w:rFonts w:hint="eastAsia" w:hAnsi="宋体" w:cs="宋体"/>
          <w:color w:val="auto"/>
          <w:sz w:val="24"/>
          <w:szCs w:val="24"/>
          <w:highlight w:val="none"/>
        </w:rPr>
        <w:t>电源线</w:t>
      </w:r>
      <w:r>
        <w:rPr>
          <w:rFonts w:hint="eastAsia" w:hAnsi="宋体" w:cs="宋体"/>
          <w:color w:val="auto"/>
          <w:sz w:val="24"/>
          <w:szCs w:val="24"/>
          <w:highlight w:val="none"/>
          <w:lang w:eastAsia="zh-CN"/>
        </w:rPr>
        <w:t>”</w:t>
      </w:r>
      <w:r>
        <w:rPr>
          <w:rFonts w:hint="eastAsia" w:hAnsi="宋体" w:cs="宋体"/>
          <w:color w:val="auto"/>
          <w:sz w:val="24"/>
          <w:szCs w:val="24"/>
          <w:highlight w:val="none"/>
        </w:rPr>
        <w:t>、</w:t>
      </w:r>
      <w:r>
        <w:rPr>
          <w:rFonts w:hint="eastAsia" w:hAnsi="宋体" w:cs="宋体"/>
          <w:color w:val="auto"/>
          <w:sz w:val="24"/>
          <w:szCs w:val="24"/>
          <w:highlight w:val="none"/>
          <w:lang w:eastAsia="zh-CN"/>
        </w:rPr>
        <w:t>“</w:t>
      </w:r>
      <w:r>
        <w:rPr>
          <w:rFonts w:hint="eastAsia" w:hAnsi="宋体" w:cs="宋体"/>
          <w:color w:val="auto"/>
          <w:sz w:val="24"/>
          <w:szCs w:val="24"/>
          <w:highlight w:val="none"/>
        </w:rPr>
        <w:t>信号线</w:t>
      </w:r>
      <w:r>
        <w:rPr>
          <w:rFonts w:hint="eastAsia" w:hAnsi="宋体" w:cs="宋体"/>
          <w:color w:val="auto"/>
          <w:sz w:val="24"/>
          <w:szCs w:val="24"/>
          <w:highlight w:val="none"/>
          <w:lang w:eastAsia="zh-CN"/>
        </w:rPr>
        <w:t>”</w:t>
      </w:r>
      <w:r>
        <w:rPr>
          <w:rFonts w:hint="eastAsia" w:hAnsi="宋体" w:cs="宋体"/>
          <w:color w:val="auto"/>
          <w:sz w:val="24"/>
          <w:szCs w:val="24"/>
          <w:highlight w:val="none"/>
        </w:rPr>
        <w:t>、</w:t>
      </w:r>
      <w:r>
        <w:rPr>
          <w:rFonts w:hint="eastAsia" w:hAnsi="宋体" w:cs="宋体"/>
          <w:color w:val="auto"/>
          <w:sz w:val="24"/>
          <w:szCs w:val="24"/>
          <w:highlight w:val="none"/>
          <w:lang w:eastAsia="zh-CN"/>
        </w:rPr>
        <w:t>“</w:t>
      </w:r>
      <w:r>
        <w:rPr>
          <w:rFonts w:hint="eastAsia" w:hAnsi="宋体" w:cs="宋体"/>
          <w:color w:val="auto"/>
          <w:sz w:val="24"/>
          <w:szCs w:val="24"/>
          <w:highlight w:val="none"/>
        </w:rPr>
        <w:t>监听音响</w:t>
      </w:r>
      <w:r>
        <w:rPr>
          <w:rFonts w:hint="eastAsia" w:hAnsi="宋体" w:cs="宋体"/>
          <w:color w:val="auto"/>
          <w:sz w:val="24"/>
          <w:szCs w:val="24"/>
          <w:highlight w:val="none"/>
          <w:lang w:eastAsia="zh-CN"/>
        </w:rPr>
        <w:t>”</w:t>
      </w:r>
      <w:r>
        <w:rPr>
          <w:rFonts w:hint="eastAsia" w:hAnsi="宋体" w:cs="宋体"/>
          <w:color w:val="auto"/>
          <w:sz w:val="24"/>
          <w:szCs w:val="24"/>
          <w:highlight w:val="none"/>
        </w:rPr>
        <w:t>、</w:t>
      </w:r>
      <w:r>
        <w:rPr>
          <w:rFonts w:hint="eastAsia" w:hAnsi="宋体" w:cs="宋体"/>
          <w:color w:val="auto"/>
          <w:sz w:val="24"/>
          <w:szCs w:val="24"/>
          <w:highlight w:val="none"/>
          <w:lang w:eastAsia="zh-CN"/>
        </w:rPr>
        <w:t>“</w:t>
      </w:r>
      <w:r>
        <w:rPr>
          <w:rFonts w:hint="eastAsia" w:hAnsi="宋体" w:cs="宋体"/>
          <w:color w:val="auto"/>
          <w:sz w:val="24"/>
          <w:szCs w:val="24"/>
          <w:highlight w:val="none"/>
        </w:rPr>
        <w:t>演播室音箱</w:t>
      </w:r>
      <w:r>
        <w:rPr>
          <w:rFonts w:hint="eastAsia" w:hAnsi="宋体" w:cs="宋体"/>
          <w:color w:val="auto"/>
          <w:sz w:val="24"/>
          <w:szCs w:val="24"/>
          <w:highlight w:val="none"/>
          <w:lang w:eastAsia="zh-CN"/>
        </w:rPr>
        <w:t>”</w:t>
      </w:r>
      <w:r>
        <w:rPr>
          <w:rFonts w:hint="eastAsia" w:hAnsi="宋体" w:cs="宋体"/>
          <w:color w:val="auto"/>
          <w:sz w:val="24"/>
          <w:szCs w:val="24"/>
          <w:highlight w:val="none"/>
        </w:rPr>
        <w:t>、</w:t>
      </w:r>
      <w:r>
        <w:rPr>
          <w:rFonts w:hint="eastAsia" w:hAnsi="宋体" w:cs="宋体"/>
          <w:color w:val="auto"/>
          <w:sz w:val="24"/>
          <w:szCs w:val="24"/>
          <w:highlight w:val="none"/>
          <w:lang w:eastAsia="zh-CN"/>
        </w:rPr>
        <w:t>“</w:t>
      </w:r>
      <w:r>
        <w:rPr>
          <w:rFonts w:hint="eastAsia" w:hAnsi="宋体" w:cs="宋体"/>
          <w:color w:val="auto"/>
          <w:sz w:val="24"/>
          <w:szCs w:val="24"/>
          <w:highlight w:val="none"/>
        </w:rPr>
        <w:t>功率放大器</w:t>
      </w:r>
      <w:r>
        <w:rPr>
          <w:rFonts w:hint="eastAsia" w:hAnsi="宋体" w:cs="宋体"/>
          <w:color w:val="auto"/>
          <w:sz w:val="24"/>
          <w:szCs w:val="24"/>
          <w:highlight w:val="none"/>
          <w:lang w:eastAsia="zh-CN"/>
        </w:rPr>
        <w:t>”</w:t>
      </w:r>
      <w:r>
        <w:rPr>
          <w:rFonts w:hint="eastAsia" w:hAnsi="宋体" w:cs="宋体"/>
          <w:color w:val="auto"/>
          <w:sz w:val="24"/>
          <w:szCs w:val="24"/>
          <w:highlight w:val="none"/>
        </w:rPr>
        <w:t>、</w:t>
      </w:r>
      <w:r>
        <w:rPr>
          <w:rFonts w:hint="eastAsia" w:hAnsi="宋体" w:cs="宋体"/>
          <w:color w:val="auto"/>
          <w:sz w:val="24"/>
          <w:szCs w:val="24"/>
          <w:highlight w:val="none"/>
          <w:lang w:eastAsia="zh-CN"/>
        </w:rPr>
        <w:t>“</w:t>
      </w:r>
      <w:r>
        <w:rPr>
          <w:rFonts w:hint="eastAsia" w:hAnsi="宋体" w:cs="宋体"/>
          <w:color w:val="auto"/>
          <w:sz w:val="24"/>
          <w:szCs w:val="24"/>
          <w:highlight w:val="none"/>
        </w:rPr>
        <w:t>数字音频处理器</w:t>
      </w:r>
      <w:r>
        <w:rPr>
          <w:rFonts w:hint="eastAsia" w:hAnsi="宋体" w:cs="宋体"/>
          <w:color w:val="auto"/>
          <w:sz w:val="24"/>
          <w:szCs w:val="24"/>
          <w:highlight w:val="none"/>
          <w:lang w:eastAsia="zh-CN"/>
        </w:rPr>
        <w:t>”</w:t>
      </w:r>
      <w:r>
        <w:rPr>
          <w:rFonts w:hint="eastAsia" w:hAnsi="宋体" w:cs="宋体"/>
          <w:color w:val="auto"/>
          <w:sz w:val="24"/>
          <w:szCs w:val="24"/>
          <w:highlight w:val="none"/>
        </w:rPr>
        <w:t>、</w:t>
      </w:r>
      <w:r>
        <w:rPr>
          <w:rFonts w:hint="eastAsia" w:hAnsi="宋体" w:cs="宋体"/>
          <w:color w:val="auto"/>
          <w:sz w:val="24"/>
          <w:szCs w:val="24"/>
          <w:highlight w:val="none"/>
          <w:lang w:eastAsia="zh-CN"/>
        </w:rPr>
        <w:t>“</w:t>
      </w:r>
      <w:r>
        <w:rPr>
          <w:rFonts w:hint="eastAsia" w:hAnsi="宋体" w:cs="宋体"/>
          <w:color w:val="auto"/>
          <w:sz w:val="24"/>
          <w:szCs w:val="24"/>
          <w:highlight w:val="none"/>
        </w:rPr>
        <w:t>一拖二无线麦克风（手持）</w:t>
      </w:r>
      <w:r>
        <w:rPr>
          <w:rFonts w:hint="eastAsia" w:hAnsi="宋体" w:cs="宋体"/>
          <w:color w:val="auto"/>
          <w:sz w:val="24"/>
          <w:szCs w:val="24"/>
          <w:highlight w:val="none"/>
          <w:lang w:eastAsia="zh-CN"/>
        </w:rPr>
        <w:t>”</w:t>
      </w:r>
      <w:r>
        <w:rPr>
          <w:rFonts w:hint="eastAsia" w:hAnsi="宋体" w:cs="宋体"/>
          <w:color w:val="auto"/>
          <w:sz w:val="24"/>
          <w:szCs w:val="24"/>
          <w:highlight w:val="none"/>
        </w:rPr>
        <w:t>、</w:t>
      </w:r>
      <w:r>
        <w:rPr>
          <w:rFonts w:hint="eastAsia" w:hAnsi="宋体" w:cs="宋体"/>
          <w:color w:val="auto"/>
          <w:sz w:val="24"/>
          <w:szCs w:val="24"/>
          <w:highlight w:val="none"/>
          <w:lang w:eastAsia="zh-CN"/>
        </w:rPr>
        <w:t>“</w:t>
      </w:r>
      <w:r>
        <w:rPr>
          <w:rFonts w:hint="eastAsia" w:hAnsi="宋体" w:cs="宋体"/>
          <w:color w:val="auto"/>
          <w:sz w:val="24"/>
          <w:szCs w:val="24"/>
          <w:highlight w:val="none"/>
        </w:rPr>
        <w:t>一拖二无线麦克风（领夹）</w:t>
      </w:r>
      <w:r>
        <w:rPr>
          <w:rFonts w:hint="eastAsia" w:hAnsi="宋体" w:cs="宋体"/>
          <w:color w:val="auto"/>
          <w:sz w:val="24"/>
          <w:szCs w:val="24"/>
          <w:highlight w:val="none"/>
          <w:lang w:eastAsia="zh-CN"/>
        </w:rPr>
        <w:t>”</w:t>
      </w:r>
      <w:r>
        <w:rPr>
          <w:rFonts w:hint="eastAsia" w:hAnsi="宋体" w:cs="宋体"/>
          <w:color w:val="auto"/>
          <w:sz w:val="24"/>
          <w:szCs w:val="24"/>
          <w:highlight w:val="none"/>
        </w:rPr>
        <w:t>、</w:t>
      </w:r>
      <w:r>
        <w:rPr>
          <w:rFonts w:hint="eastAsia" w:hAnsi="宋体" w:cs="宋体"/>
          <w:color w:val="auto"/>
          <w:sz w:val="24"/>
          <w:szCs w:val="24"/>
          <w:highlight w:val="none"/>
          <w:lang w:eastAsia="zh-CN"/>
        </w:rPr>
        <w:t>“</w:t>
      </w:r>
      <w:r>
        <w:rPr>
          <w:rFonts w:hint="eastAsia" w:hAnsi="宋体" w:cs="宋体"/>
          <w:color w:val="auto"/>
          <w:sz w:val="24"/>
          <w:szCs w:val="24"/>
          <w:highlight w:val="none"/>
        </w:rPr>
        <w:t>电源时序器</w:t>
      </w:r>
      <w:r>
        <w:rPr>
          <w:rFonts w:hint="eastAsia" w:hAnsi="宋体" w:cs="宋体"/>
          <w:color w:val="auto"/>
          <w:sz w:val="24"/>
          <w:szCs w:val="24"/>
          <w:highlight w:val="none"/>
          <w:lang w:eastAsia="zh-CN"/>
        </w:rPr>
        <w:t>”</w:t>
      </w:r>
      <w:r>
        <w:rPr>
          <w:rFonts w:hint="eastAsia" w:hAnsi="宋体" w:cs="宋体"/>
          <w:color w:val="auto"/>
          <w:sz w:val="24"/>
          <w:szCs w:val="24"/>
          <w:highlight w:val="none"/>
        </w:rPr>
        <w:t>、</w:t>
      </w:r>
      <w:r>
        <w:rPr>
          <w:rFonts w:hint="eastAsia" w:hAnsi="宋体" w:cs="宋体"/>
          <w:color w:val="auto"/>
          <w:sz w:val="24"/>
          <w:szCs w:val="24"/>
          <w:highlight w:val="none"/>
          <w:lang w:eastAsia="zh-CN"/>
        </w:rPr>
        <w:t>“</w:t>
      </w:r>
      <w:r>
        <w:rPr>
          <w:rFonts w:hint="eastAsia" w:hAnsi="宋体" w:cs="宋体"/>
          <w:color w:val="auto"/>
          <w:sz w:val="24"/>
          <w:szCs w:val="24"/>
          <w:highlight w:val="none"/>
        </w:rPr>
        <w:t>控制柜</w:t>
      </w:r>
      <w:r>
        <w:rPr>
          <w:rFonts w:hint="eastAsia" w:hAnsi="宋体" w:cs="宋体"/>
          <w:color w:val="auto"/>
          <w:sz w:val="24"/>
          <w:szCs w:val="24"/>
          <w:highlight w:val="none"/>
          <w:lang w:eastAsia="zh-CN"/>
        </w:rPr>
        <w:t>”</w:t>
      </w:r>
      <w:r>
        <w:rPr>
          <w:rFonts w:hint="eastAsia" w:hAnsi="宋体" w:cs="宋体"/>
          <w:color w:val="auto"/>
          <w:sz w:val="24"/>
          <w:szCs w:val="24"/>
          <w:highlight w:val="none"/>
        </w:rPr>
        <w:t>、</w:t>
      </w:r>
      <w:r>
        <w:rPr>
          <w:rFonts w:hint="eastAsia" w:hAnsi="宋体" w:cs="宋体"/>
          <w:color w:val="auto"/>
          <w:sz w:val="24"/>
          <w:szCs w:val="24"/>
          <w:highlight w:val="none"/>
          <w:lang w:eastAsia="zh-CN"/>
        </w:rPr>
        <w:t>“</w:t>
      </w:r>
      <w:r>
        <w:rPr>
          <w:rFonts w:hint="eastAsia" w:hAnsi="宋体" w:cs="宋体"/>
          <w:color w:val="auto"/>
          <w:sz w:val="24"/>
          <w:szCs w:val="24"/>
          <w:highlight w:val="none"/>
        </w:rPr>
        <w:t>主播话筒</w:t>
      </w:r>
      <w:r>
        <w:rPr>
          <w:rFonts w:hint="eastAsia" w:hAnsi="宋体" w:cs="宋体"/>
          <w:color w:val="auto"/>
          <w:sz w:val="24"/>
          <w:szCs w:val="24"/>
          <w:highlight w:val="none"/>
          <w:lang w:eastAsia="zh-CN"/>
        </w:rPr>
        <w:t>”</w:t>
      </w:r>
      <w:r>
        <w:rPr>
          <w:rFonts w:hint="eastAsia" w:hAnsi="宋体" w:cs="宋体"/>
          <w:color w:val="auto"/>
          <w:sz w:val="24"/>
          <w:szCs w:val="24"/>
          <w:highlight w:val="none"/>
        </w:rPr>
        <w:t>、</w:t>
      </w:r>
      <w:r>
        <w:rPr>
          <w:rFonts w:hint="eastAsia" w:hAnsi="宋体" w:cs="宋体"/>
          <w:color w:val="auto"/>
          <w:sz w:val="24"/>
          <w:szCs w:val="24"/>
          <w:highlight w:val="none"/>
          <w:lang w:eastAsia="zh-CN"/>
        </w:rPr>
        <w:t>“</w:t>
      </w:r>
      <w:r>
        <w:rPr>
          <w:rFonts w:hint="eastAsia" w:hAnsi="宋体" w:cs="宋体"/>
          <w:color w:val="auto"/>
          <w:sz w:val="24"/>
          <w:szCs w:val="24"/>
          <w:highlight w:val="none"/>
        </w:rPr>
        <w:t>录音室桌</w:t>
      </w:r>
      <w:r>
        <w:rPr>
          <w:rFonts w:hint="eastAsia" w:hAnsi="宋体" w:cs="宋体"/>
          <w:color w:val="auto"/>
          <w:sz w:val="24"/>
          <w:szCs w:val="24"/>
          <w:highlight w:val="none"/>
          <w:lang w:eastAsia="zh-CN"/>
        </w:rPr>
        <w:t>”</w:t>
      </w:r>
      <w:r>
        <w:rPr>
          <w:rFonts w:hint="eastAsia" w:hAnsi="宋体" w:cs="宋体"/>
          <w:color w:val="auto"/>
          <w:sz w:val="24"/>
          <w:szCs w:val="24"/>
          <w:highlight w:val="none"/>
        </w:rPr>
        <w:t>、</w:t>
      </w:r>
      <w:r>
        <w:rPr>
          <w:rFonts w:hint="eastAsia" w:hAnsi="宋体" w:cs="宋体"/>
          <w:color w:val="auto"/>
          <w:sz w:val="24"/>
          <w:szCs w:val="24"/>
          <w:highlight w:val="none"/>
          <w:lang w:eastAsia="zh-CN"/>
        </w:rPr>
        <w:t>“</w:t>
      </w:r>
      <w:r>
        <w:rPr>
          <w:rFonts w:hint="eastAsia" w:hAnsi="宋体" w:cs="宋体"/>
          <w:color w:val="auto"/>
          <w:sz w:val="24"/>
          <w:szCs w:val="24"/>
          <w:highlight w:val="none"/>
        </w:rPr>
        <w:t>虚拟蓝箱（含舞美置景）</w:t>
      </w:r>
      <w:r>
        <w:rPr>
          <w:rFonts w:hint="eastAsia" w:hAnsi="宋体" w:cs="宋体"/>
          <w:color w:val="auto"/>
          <w:sz w:val="24"/>
          <w:szCs w:val="24"/>
          <w:highlight w:val="none"/>
          <w:lang w:eastAsia="zh-CN"/>
        </w:rPr>
        <w:t>”</w:t>
      </w:r>
      <w:r>
        <w:rPr>
          <w:rFonts w:hint="eastAsia" w:hAnsi="宋体" w:cs="宋体"/>
          <w:color w:val="auto"/>
          <w:sz w:val="24"/>
          <w:szCs w:val="24"/>
          <w:highlight w:val="none"/>
        </w:rPr>
        <w:t>等3</w:t>
      </w:r>
      <w:r>
        <w:rPr>
          <w:rFonts w:hint="eastAsia" w:hAnsi="宋体" w:cs="宋体"/>
          <w:color w:val="auto"/>
          <w:sz w:val="24"/>
          <w:szCs w:val="24"/>
          <w:highlight w:val="none"/>
          <w:lang w:val="en-US" w:eastAsia="zh-CN"/>
        </w:rPr>
        <w:t>4</w:t>
      </w:r>
      <w:r>
        <w:rPr>
          <w:rFonts w:hint="eastAsia" w:hAnsi="宋体" w:cs="宋体"/>
          <w:color w:val="auto"/>
          <w:sz w:val="24"/>
          <w:szCs w:val="24"/>
          <w:highlight w:val="none"/>
        </w:rPr>
        <w:t>项货物进行声明，其余采购</w:t>
      </w:r>
      <w:r>
        <w:rPr>
          <w:rFonts w:hint="eastAsia" w:hAnsi="宋体" w:cs="宋体"/>
          <w:color w:val="auto"/>
          <w:sz w:val="24"/>
          <w:szCs w:val="24"/>
          <w:highlight w:val="none"/>
          <w:lang w:val="en-US" w:eastAsia="zh-CN"/>
        </w:rPr>
        <w:t>标的“</w:t>
      </w:r>
      <w:r>
        <w:rPr>
          <w:rFonts w:hint="eastAsia" w:hAnsi="宋体" w:cs="宋体"/>
          <w:color w:val="auto"/>
          <w:sz w:val="24"/>
          <w:highlight w:val="none"/>
        </w:rPr>
        <w:t>灯光系统集成</w:t>
      </w:r>
      <w:r>
        <w:rPr>
          <w:rFonts w:hint="eastAsia" w:hAnsi="宋体" w:cs="宋体"/>
          <w:color w:val="auto"/>
          <w:sz w:val="24"/>
          <w:highlight w:val="none"/>
          <w:lang w:eastAsia="zh-CN"/>
        </w:rPr>
        <w:t>、音响系统集成(含线材、接插件)</w:t>
      </w:r>
      <w:r>
        <w:rPr>
          <w:rFonts w:hint="eastAsia" w:hAnsi="宋体" w:cs="宋体"/>
          <w:color w:val="auto"/>
          <w:sz w:val="24"/>
          <w:szCs w:val="24"/>
          <w:highlight w:val="none"/>
          <w:lang w:val="en-US" w:eastAsia="zh-CN"/>
        </w:rPr>
        <w:t>”</w:t>
      </w:r>
      <w:r>
        <w:rPr>
          <w:rFonts w:hint="eastAsia" w:hAnsi="宋体" w:cs="宋体"/>
          <w:color w:val="auto"/>
          <w:sz w:val="24"/>
          <w:szCs w:val="24"/>
          <w:highlight w:val="none"/>
        </w:rPr>
        <w:t>不作要求。</w:t>
      </w:r>
    </w:p>
    <w:p w14:paraId="2BD9F692">
      <w:pPr>
        <w:pStyle w:val="4"/>
        <w:shd w:val="clear"/>
        <w:jc w:val="center"/>
        <w:rPr>
          <w:rFonts w:ascii="宋体" w:hAnsi="宋体" w:eastAsia="宋体" w:cs="宋体"/>
          <w:color w:val="auto"/>
          <w:highlight w:val="none"/>
        </w:rPr>
      </w:pPr>
      <w:r>
        <w:rPr>
          <w:rFonts w:hint="eastAsia" w:ascii="宋体" w:hAnsi="宋体" w:eastAsia="宋体" w:cs="宋体"/>
          <w:color w:val="auto"/>
          <w:highlight w:val="none"/>
        </w:rPr>
        <w:t>十三、监狱企业证明材料</w:t>
      </w:r>
    </w:p>
    <w:p w14:paraId="2EAE8132">
      <w:pPr>
        <w:shd w:val="clear"/>
        <w:spacing w:line="240" w:lineRule="exact"/>
        <w:ind w:left="1560"/>
        <w:rPr>
          <w:rFonts w:hAnsi="宋体" w:cs="宋体"/>
          <w:color w:val="auto"/>
          <w:highlight w:val="none"/>
        </w:rPr>
      </w:pPr>
    </w:p>
    <w:p w14:paraId="2EE8B313">
      <w:pPr>
        <w:shd w:val="clear"/>
        <w:spacing w:line="240" w:lineRule="exact"/>
        <w:ind w:left="1560"/>
        <w:rPr>
          <w:rFonts w:hAnsi="宋体" w:cs="宋体"/>
          <w:color w:val="auto"/>
          <w:highlight w:val="none"/>
        </w:rPr>
      </w:pPr>
    </w:p>
    <w:p w14:paraId="0442A7A3">
      <w:pPr>
        <w:shd w:val="clear"/>
        <w:spacing w:line="240" w:lineRule="exact"/>
        <w:ind w:left="1560"/>
        <w:rPr>
          <w:rFonts w:hAnsi="宋体" w:cs="宋体"/>
          <w:color w:val="auto"/>
          <w:highlight w:val="none"/>
        </w:rPr>
      </w:pPr>
    </w:p>
    <w:p w14:paraId="7CDB3DCF">
      <w:pPr>
        <w:shd w:val="clear"/>
        <w:spacing w:line="240" w:lineRule="exact"/>
        <w:ind w:left="1560"/>
        <w:rPr>
          <w:rFonts w:hAnsi="宋体" w:cs="宋体"/>
          <w:color w:val="auto"/>
          <w:highlight w:val="none"/>
        </w:rPr>
      </w:pPr>
    </w:p>
    <w:p w14:paraId="755047D3">
      <w:pPr>
        <w:shd w:val="clear"/>
        <w:spacing w:line="240" w:lineRule="exact"/>
        <w:ind w:left="1560"/>
        <w:rPr>
          <w:rFonts w:hAnsi="宋体" w:cs="宋体"/>
          <w:color w:val="auto"/>
          <w:highlight w:val="none"/>
        </w:rPr>
      </w:pPr>
    </w:p>
    <w:p w14:paraId="4227F954">
      <w:pPr>
        <w:widowControl/>
        <w:shd w:val="clear"/>
        <w:spacing w:line="560" w:lineRule="exact"/>
        <w:jc w:val="left"/>
        <w:rPr>
          <w:rFonts w:hAnsi="宋体"/>
          <w:color w:val="auto"/>
          <w:spacing w:val="6"/>
          <w:sz w:val="24"/>
          <w:highlight w:val="none"/>
        </w:rPr>
      </w:pPr>
      <w:r>
        <w:rPr>
          <w:rFonts w:hint="eastAsia" w:hAnsi="宋体"/>
          <w:color w:val="auto"/>
          <w:spacing w:val="6"/>
          <w:sz w:val="24"/>
          <w:highlight w:val="none"/>
        </w:rPr>
        <w:t>监狱企业提供政府采购活动时，应提供由省级以上监狱管理局、戒毒管理局（含新疆生产建设兵团）出具的属于监狱企业的证明文件复印件。</w:t>
      </w:r>
    </w:p>
    <w:p w14:paraId="73C67216">
      <w:pPr>
        <w:widowControl/>
        <w:shd w:val="clear"/>
        <w:spacing w:line="560" w:lineRule="exact"/>
        <w:jc w:val="left"/>
        <w:rPr>
          <w:rFonts w:hAnsi="宋体"/>
          <w:color w:val="auto"/>
          <w:spacing w:val="6"/>
          <w:sz w:val="24"/>
          <w:highlight w:val="none"/>
        </w:rPr>
      </w:pPr>
    </w:p>
    <w:p w14:paraId="256D83AF">
      <w:pPr>
        <w:widowControl/>
        <w:shd w:val="clear"/>
        <w:spacing w:line="360" w:lineRule="auto"/>
        <w:jc w:val="left"/>
        <w:rPr>
          <w:rFonts w:hAnsi="宋体"/>
          <w:color w:val="auto"/>
          <w:sz w:val="24"/>
          <w:highlight w:val="none"/>
        </w:rPr>
      </w:pPr>
    </w:p>
    <w:p w14:paraId="70396D68">
      <w:pPr>
        <w:widowControl/>
        <w:shd w:val="clear"/>
        <w:spacing w:line="360" w:lineRule="auto"/>
        <w:jc w:val="left"/>
        <w:rPr>
          <w:rFonts w:hAnsi="宋体"/>
          <w:color w:val="auto"/>
          <w:sz w:val="24"/>
          <w:highlight w:val="none"/>
        </w:rPr>
      </w:pPr>
    </w:p>
    <w:p w14:paraId="50DC99A0">
      <w:pPr>
        <w:widowControl/>
        <w:shd w:val="clear"/>
        <w:spacing w:line="360" w:lineRule="auto"/>
        <w:jc w:val="left"/>
        <w:rPr>
          <w:rFonts w:hAnsi="宋体"/>
          <w:b/>
          <w:color w:val="auto"/>
          <w:spacing w:val="6"/>
          <w:sz w:val="24"/>
          <w:highlight w:val="none"/>
        </w:rPr>
      </w:pPr>
      <w:r>
        <w:rPr>
          <w:rFonts w:hint="eastAsia" w:hAnsi="宋体"/>
          <w:b/>
          <w:color w:val="auto"/>
          <w:spacing w:val="6"/>
          <w:sz w:val="24"/>
          <w:highlight w:val="none"/>
        </w:rPr>
        <w:t>说明：非监狱企业不提供此证明材料。</w:t>
      </w:r>
    </w:p>
    <w:p w14:paraId="7259CD78">
      <w:pPr>
        <w:shd w:val="clear"/>
        <w:rPr>
          <w:rFonts w:hAnsi="宋体" w:cs="宋体"/>
          <w:color w:val="auto"/>
          <w:highlight w:val="none"/>
        </w:rPr>
      </w:pPr>
      <w:r>
        <w:rPr>
          <w:rFonts w:hint="eastAsia" w:hAnsi="宋体" w:cs="宋体"/>
          <w:color w:val="auto"/>
          <w:highlight w:val="none"/>
        </w:rPr>
        <w:br w:type="page"/>
      </w:r>
    </w:p>
    <w:p w14:paraId="7B70230E">
      <w:pPr>
        <w:widowControl/>
        <w:shd w:val="clear"/>
        <w:spacing w:line="500" w:lineRule="exact"/>
        <w:jc w:val="center"/>
        <w:outlineLvl w:val="1"/>
        <w:rPr>
          <w:rFonts w:hAnsi="宋体" w:cs="宋体"/>
          <w:b/>
          <w:color w:val="auto"/>
          <w:sz w:val="32"/>
          <w:szCs w:val="32"/>
          <w:highlight w:val="none"/>
        </w:rPr>
      </w:pPr>
      <w:r>
        <w:rPr>
          <w:rFonts w:hint="eastAsia" w:hAnsi="宋体" w:cs="宋体"/>
          <w:b/>
          <w:color w:val="auto"/>
          <w:sz w:val="32"/>
          <w:szCs w:val="32"/>
          <w:highlight w:val="none"/>
        </w:rPr>
        <w:t>十四、残疾人福利性单位声明函</w:t>
      </w:r>
    </w:p>
    <w:p w14:paraId="7EEAB15F">
      <w:pPr>
        <w:pStyle w:val="2"/>
        <w:shd w:val="clear"/>
        <w:rPr>
          <w:rFonts w:hAnsi="宋体" w:cs="宋体"/>
          <w:color w:val="auto"/>
          <w:highlight w:val="none"/>
        </w:rPr>
      </w:pPr>
    </w:p>
    <w:p w14:paraId="2F17255D">
      <w:pPr>
        <w:pStyle w:val="2"/>
        <w:shd w:val="clear"/>
        <w:spacing w:line="5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本单位郑重声明，根据《财政部 民政部 中国残疾人联合会关于促进残疾人就业政府采购政策的通知》（财库〔2017〕141号）的规定，本单位为符合条件的残疾人福利性单位，且本单位参加______单位的______项目采购活动提供本单位制造的货物（由本单位承担工程/提供服务），或者提供其他残疾人福利性单位制造的货物（不包括使用非残疾人福利性单位注册商标的货物）。</w:t>
      </w:r>
    </w:p>
    <w:p w14:paraId="17064A81">
      <w:pPr>
        <w:pStyle w:val="2"/>
        <w:shd w:val="clear"/>
        <w:spacing w:line="500" w:lineRule="exact"/>
        <w:ind w:firstLine="480" w:firstLineChars="200"/>
        <w:rPr>
          <w:rFonts w:hAnsi="宋体" w:cs="宋体"/>
          <w:color w:val="auto"/>
          <w:highlight w:val="none"/>
        </w:rPr>
      </w:pPr>
      <w:r>
        <w:rPr>
          <w:rFonts w:hint="eastAsia" w:hAnsi="宋体" w:cs="宋体"/>
          <w:color w:val="auto"/>
          <w:sz w:val="24"/>
          <w:szCs w:val="24"/>
          <w:highlight w:val="none"/>
        </w:rPr>
        <w:t>本单位对上述声明的真实性负责。如有虚假，将依法承担相应责任。</w:t>
      </w:r>
    </w:p>
    <w:p w14:paraId="34229C19">
      <w:pPr>
        <w:pStyle w:val="2"/>
        <w:shd w:val="clear"/>
        <w:rPr>
          <w:rFonts w:hAnsi="宋体" w:cs="宋体"/>
          <w:color w:val="auto"/>
          <w:highlight w:val="none"/>
        </w:rPr>
      </w:pPr>
    </w:p>
    <w:p w14:paraId="05260206">
      <w:pPr>
        <w:pStyle w:val="2"/>
        <w:shd w:val="clear"/>
        <w:rPr>
          <w:rFonts w:hAnsi="宋体" w:cs="宋体"/>
          <w:color w:val="auto"/>
          <w:highlight w:val="none"/>
        </w:rPr>
      </w:pPr>
    </w:p>
    <w:p w14:paraId="7C7B0468">
      <w:pPr>
        <w:pStyle w:val="2"/>
        <w:shd w:val="clear"/>
        <w:spacing w:line="500" w:lineRule="exact"/>
        <w:rPr>
          <w:rFonts w:hAnsi="宋体" w:cs="宋体"/>
          <w:color w:val="auto"/>
          <w:sz w:val="24"/>
          <w:szCs w:val="24"/>
          <w:highlight w:val="none"/>
        </w:rPr>
      </w:pPr>
      <w:r>
        <w:rPr>
          <w:rFonts w:hint="eastAsia" w:hAnsi="宋体" w:cs="宋体"/>
          <w:color w:val="auto"/>
          <w:sz w:val="24"/>
          <w:szCs w:val="24"/>
          <w:highlight w:val="none"/>
        </w:rPr>
        <w:t>单位名称（盖章）：</w:t>
      </w:r>
    </w:p>
    <w:p w14:paraId="35EE76B6">
      <w:pPr>
        <w:pStyle w:val="2"/>
        <w:shd w:val="clear"/>
        <w:spacing w:line="500" w:lineRule="exact"/>
        <w:rPr>
          <w:rFonts w:hAnsi="宋体" w:cs="宋体"/>
          <w:color w:val="auto"/>
          <w:sz w:val="24"/>
          <w:szCs w:val="24"/>
          <w:highlight w:val="none"/>
        </w:rPr>
      </w:pPr>
      <w:r>
        <w:rPr>
          <w:rFonts w:hint="eastAsia" w:hAnsi="宋体" w:cs="宋体"/>
          <w:color w:val="auto"/>
          <w:sz w:val="24"/>
          <w:szCs w:val="24"/>
          <w:highlight w:val="none"/>
        </w:rPr>
        <w:t>日  期：</w:t>
      </w:r>
    </w:p>
    <w:p w14:paraId="5F801CEE">
      <w:pPr>
        <w:pStyle w:val="2"/>
        <w:shd w:val="clear"/>
        <w:rPr>
          <w:rFonts w:hAnsi="宋体" w:cs="宋体"/>
          <w:color w:val="auto"/>
          <w:highlight w:val="none"/>
        </w:rPr>
      </w:pPr>
    </w:p>
    <w:p w14:paraId="2E6B2A91">
      <w:pPr>
        <w:pStyle w:val="2"/>
        <w:shd w:val="clear"/>
        <w:rPr>
          <w:rFonts w:hAnsi="宋体" w:cs="宋体"/>
          <w:color w:val="auto"/>
          <w:highlight w:val="none"/>
        </w:rPr>
      </w:pPr>
    </w:p>
    <w:p w14:paraId="604ED40F">
      <w:pPr>
        <w:pStyle w:val="2"/>
        <w:shd w:val="clear"/>
        <w:rPr>
          <w:rFonts w:hAnsi="宋体" w:cs="宋体"/>
          <w:color w:val="auto"/>
          <w:highlight w:val="none"/>
        </w:rPr>
      </w:pPr>
    </w:p>
    <w:p w14:paraId="134875B1">
      <w:pPr>
        <w:pStyle w:val="2"/>
        <w:shd w:val="clear"/>
        <w:rPr>
          <w:rFonts w:hAnsi="宋体" w:cs="宋体"/>
          <w:color w:val="auto"/>
          <w:highlight w:val="none"/>
        </w:rPr>
      </w:pPr>
    </w:p>
    <w:p w14:paraId="47D49B25">
      <w:pPr>
        <w:shd w:val="clear"/>
        <w:spacing w:after="120"/>
        <w:rPr>
          <w:rFonts w:hAnsi="宋体" w:cs="宋体"/>
          <w:color w:val="auto"/>
          <w:sz w:val="24"/>
          <w:szCs w:val="24"/>
          <w:highlight w:val="none"/>
        </w:rPr>
      </w:pPr>
      <w:r>
        <w:rPr>
          <w:rFonts w:hint="eastAsia" w:hAnsi="宋体"/>
          <w:color w:val="auto"/>
          <w:sz w:val="24"/>
          <w:highlight w:val="none"/>
        </w:rPr>
        <w:t>注：非残疾人福利性单位不提供此声明。</w:t>
      </w:r>
    </w:p>
    <w:p w14:paraId="0498BB26">
      <w:pPr>
        <w:shd w:val="clear"/>
        <w:rPr>
          <w:rFonts w:hAnsi="宋体" w:cs="宋体"/>
          <w:color w:val="auto"/>
          <w:highlight w:val="none"/>
        </w:rPr>
      </w:pPr>
      <w:r>
        <w:rPr>
          <w:rFonts w:hint="eastAsia" w:hAnsi="宋体" w:cs="宋体"/>
          <w:color w:val="auto"/>
          <w:highlight w:val="none"/>
        </w:rPr>
        <w:br w:type="page"/>
      </w:r>
    </w:p>
    <w:p w14:paraId="32351929">
      <w:pPr>
        <w:widowControl/>
        <w:shd w:val="clear"/>
        <w:spacing w:line="500" w:lineRule="exact"/>
        <w:jc w:val="center"/>
        <w:outlineLvl w:val="1"/>
        <w:rPr>
          <w:rFonts w:hAnsi="宋体" w:cs="宋体"/>
          <w:color w:val="auto"/>
          <w:sz w:val="24"/>
          <w:szCs w:val="24"/>
          <w:highlight w:val="none"/>
        </w:rPr>
      </w:pPr>
      <w:r>
        <w:rPr>
          <w:rFonts w:hint="eastAsia" w:hAnsi="宋体" w:cs="宋体"/>
          <w:b/>
          <w:color w:val="auto"/>
          <w:sz w:val="32"/>
          <w:szCs w:val="32"/>
          <w:highlight w:val="none"/>
        </w:rPr>
        <w:t>十五、项目实施方案</w:t>
      </w:r>
    </w:p>
    <w:p w14:paraId="01A0D356">
      <w:pPr>
        <w:shd w:val="clear"/>
        <w:rPr>
          <w:rFonts w:hAnsi="宋体" w:cs="宋体"/>
          <w:color w:val="auto"/>
          <w:sz w:val="24"/>
          <w:szCs w:val="24"/>
          <w:highlight w:val="none"/>
        </w:rPr>
      </w:pPr>
      <w:r>
        <w:rPr>
          <w:rFonts w:hint="eastAsia" w:hAnsi="宋体" w:cs="宋体"/>
          <w:color w:val="auto"/>
          <w:sz w:val="24"/>
          <w:szCs w:val="24"/>
          <w:highlight w:val="none"/>
        </w:rPr>
        <w:br w:type="page"/>
      </w:r>
    </w:p>
    <w:p w14:paraId="0D320AE9">
      <w:pPr>
        <w:widowControl/>
        <w:shd w:val="clear"/>
        <w:spacing w:line="500" w:lineRule="exact"/>
        <w:jc w:val="center"/>
        <w:outlineLvl w:val="1"/>
        <w:rPr>
          <w:rFonts w:hAnsi="宋体" w:cs="宋体"/>
          <w:b/>
          <w:color w:val="auto"/>
          <w:sz w:val="32"/>
          <w:szCs w:val="32"/>
          <w:highlight w:val="none"/>
        </w:rPr>
      </w:pPr>
      <w:r>
        <w:rPr>
          <w:rFonts w:hint="eastAsia" w:hAnsi="宋体" w:cs="宋体"/>
          <w:b/>
          <w:color w:val="auto"/>
          <w:sz w:val="32"/>
          <w:szCs w:val="32"/>
          <w:highlight w:val="none"/>
        </w:rPr>
        <w:t>十六、投标人认为需要提供的其他文件和资料</w:t>
      </w:r>
    </w:p>
    <w:p w14:paraId="468F9331">
      <w:pPr>
        <w:shd w:val="clear"/>
        <w:rPr>
          <w:rFonts w:hAnsi="宋体" w:cs="宋体"/>
          <w:color w:val="auto"/>
          <w:highlight w:val="none"/>
        </w:rPr>
      </w:pPr>
    </w:p>
    <w:p w14:paraId="619F62F5">
      <w:pPr>
        <w:shd w:val="clear"/>
        <w:rPr>
          <w:color w:val="auto"/>
          <w:highlight w:val="none"/>
        </w:rPr>
      </w:pPr>
      <w:r>
        <w:rPr>
          <w:color w:val="auto"/>
          <w:highlight w:val="none"/>
        </w:rPr>
        <w:br w:type="page"/>
      </w:r>
    </w:p>
    <w:p w14:paraId="2508B110">
      <w:pPr>
        <w:pStyle w:val="2"/>
        <w:shd w:val="clear"/>
        <w:rPr>
          <w:color w:val="auto"/>
          <w:highlight w:val="none"/>
        </w:rPr>
      </w:pPr>
    </w:p>
    <w:p w14:paraId="27DBE7F4">
      <w:pPr>
        <w:pStyle w:val="3"/>
        <w:numPr>
          <w:ilvl w:val="0"/>
          <w:numId w:val="3"/>
        </w:numPr>
        <w:shd w:val="clear"/>
        <w:spacing w:before="0" w:after="0" w:line="500" w:lineRule="exact"/>
        <w:rPr>
          <w:rFonts w:hAnsi="宋体" w:cs="宋体"/>
          <w:color w:val="auto"/>
          <w:sz w:val="36"/>
          <w:szCs w:val="36"/>
          <w:highlight w:val="none"/>
        </w:rPr>
      </w:pPr>
      <w:bookmarkStart w:id="133" w:name="_Toc13920"/>
      <w:r>
        <w:rPr>
          <w:rFonts w:hint="eastAsia" w:hAnsi="宋体" w:cs="宋体"/>
          <w:color w:val="auto"/>
          <w:sz w:val="36"/>
          <w:szCs w:val="36"/>
          <w:highlight w:val="none"/>
        </w:rPr>
        <w:t>投标人和投标产品的资格、资质性及其他类似效力要求</w:t>
      </w:r>
      <w:bookmarkEnd w:id="133"/>
    </w:p>
    <w:p w14:paraId="3933150F">
      <w:pPr>
        <w:shd w:val="clear"/>
        <w:spacing w:line="400" w:lineRule="exact"/>
        <w:rPr>
          <w:rFonts w:hAnsi="宋体" w:cs="宋体"/>
          <w:b/>
          <w:bCs/>
          <w:color w:val="auto"/>
          <w:sz w:val="24"/>
          <w:szCs w:val="24"/>
          <w:highlight w:val="none"/>
        </w:rPr>
      </w:pPr>
      <w:r>
        <w:rPr>
          <w:rFonts w:hint="eastAsia" w:hAnsi="宋体" w:cs="宋体"/>
          <w:b/>
          <w:bCs/>
          <w:color w:val="auto"/>
          <w:sz w:val="24"/>
          <w:szCs w:val="24"/>
          <w:highlight w:val="none"/>
        </w:rPr>
        <w:t>一、投标人资格、资质性及其他类似效力要求</w:t>
      </w:r>
    </w:p>
    <w:p w14:paraId="5EDED4A4">
      <w:pPr>
        <w:pStyle w:val="51"/>
        <w:shd w:val="clear"/>
        <w:spacing w:line="400" w:lineRule="exact"/>
        <w:ind w:firstLine="0" w:firstLineChars="0"/>
        <w:rPr>
          <w:rFonts w:hAnsi="宋体" w:cs="宋体"/>
          <w:color w:val="auto"/>
          <w:sz w:val="24"/>
          <w:highlight w:val="none"/>
        </w:rPr>
      </w:pPr>
      <w:r>
        <w:rPr>
          <w:rFonts w:hint="eastAsia" w:hAnsi="宋体" w:cs="宋体"/>
          <w:color w:val="auto"/>
          <w:sz w:val="24"/>
          <w:highlight w:val="none"/>
        </w:rPr>
        <w:t>（一）资格要求：</w:t>
      </w:r>
    </w:p>
    <w:p w14:paraId="561DCC7A">
      <w:pPr>
        <w:shd w:val="clear"/>
        <w:autoSpaceDE w:val="0"/>
        <w:spacing w:line="500" w:lineRule="exact"/>
        <w:rPr>
          <w:rFonts w:hAnsi="宋体" w:cs="宋体"/>
          <w:color w:val="auto"/>
          <w:sz w:val="24"/>
          <w:highlight w:val="none"/>
        </w:rPr>
      </w:pPr>
      <w:r>
        <w:rPr>
          <w:rFonts w:hint="eastAsia" w:hAnsi="宋体" w:cs="宋体"/>
          <w:color w:val="auto"/>
          <w:sz w:val="24"/>
          <w:highlight w:val="none"/>
        </w:rPr>
        <w:t>1、具有独立承担民事责任的能力；</w:t>
      </w:r>
    </w:p>
    <w:p w14:paraId="4EFB29C9">
      <w:pPr>
        <w:shd w:val="clear"/>
        <w:autoSpaceDE w:val="0"/>
        <w:spacing w:line="500" w:lineRule="exact"/>
        <w:rPr>
          <w:rFonts w:hAnsi="宋体" w:cs="宋体"/>
          <w:color w:val="auto"/>
          <w:sz w:val="24"/>
          <w:highlight w:val="none"/>
        </w:rPr>
      </w:pPr>
      <w:r>
        <w:rPr>
          <w:rFonts w:hint="eastAsia" w:hAnsi="宋体" w:cs="宋体"/>
          <w:color w:val="auto"/>
          <w:sz w:val="24"/>
          <w:highlight w:val="none"/>
        </w:rPr>
        <w:t>2、具有良好的商业信誉和健全的财务会计制度；</w:t>
      </w:r>
    </w:p>
    <w:p w14:paraId="57BB73E0">
      <w:pPr>
        <w:shd w:val="clear"/>
        <w:autoSpaceDE w:val="0"/>
        <w:spacing w:line="500" w:lineRule="exact"/>
        <w:rPr>
          <w:rFonts w:hAnsi="宋体" w:cs="宋体"/>
          <w:color w:val="auto"/>
          <w:sz w:val="24"/>
          <w:highlight w:val="none"/>
        </w:rPr>
      </w:pPr>
      <w:r>
        <w:rPr>
          <w:rFonts w:hint="eastAsia" w:hAnsi="宋体" w:cs="宋体"/>
          <w:color w:val="auto"/>
          <w:sz w:val="24"/>
          <w:highlight w:val="none"/>
        </w:rPr>
        <w:t>3、具有履行合同所必需的设备和专业技术能力；</w:t>
      </w:r>
    </w:p>
    <w:p w14:paraId="0B791FF4">
      <w:pPr>
        <w:shd w:val="clear"/>
        <w:autoSpaceDE w:val="0"/>
        <w:spacing w:line="500" w:lineRule="exact"/>
        <w:rPr>
          <w:rFonts w:hAnsi="宋体" w:cs="宋体"/>
          <w:color w:val="auto"/>
          <w:sz w:val="24"/>
          <w:highlight w:val="none"/>
        </w:rPr>
      </w:pPr>
      <w:r>
        <w:rPr>
          <w:rFonts w:hint="eastAsia" w:hAnsi="宋体" w:cs="宋体"/>
          <w:color w:val="auto"/>
          <w:sz w:val="24"/>
          <w:highlight w:val="none"/>
        </w:rPr>
        <w:t>4、有依法缴纳税收和社会保障资金的良好记录；</w:t>
      </w:r>
    </w:p>
    <w:p w14:paraId="4937B5B6">
      <w:pPr>
        <w:shd w:val="clear"/>
        <w:autoSpaceDE w:val="0"/>
        <w:spacing w:line="500" w:lineRule="exact"/>
        <w:rPr>
          <w:rFonts w:hAnsi="宋体" w:cs="宋体"/>
          <w:color w:val="auto"/>
          <w:sz w:val="24"/>
          <w:highlight w:val="none"/>
        </w:rPr>
      </w:pPr>
      <w:r>
        <w:rPr>
          <w:rFonts w:hint="eastAsia" w:hAnsi="宋体" w:cs="宋体"/>
          <w:color w:val="auto"/>
          <w:sz w:val="24"/>
          <w:highlight w:val="none"/>
        </w:rPr>
        <w:t>5、参加政府采购活动前三年内在经营活动中没有重大违法记录。</w:t>
      </w:r>
    </w:p>
    <w:p w14:paraId="6C34788C">
      <w:pPr>
        <w:shd w:val="clear"/>
        <w:autoSpaceDE w:val="0"/>
        <w:spacing w:line="500" w:lineRule="exact"/>
        <w:rPr>
          <w:rFonts w:hAnsi="宋体" w:cs="宋体"/>
          <w:color w:val="auto"/>
          <w:sz w:val="24"/>
          <w:highlight w:val="none"/>
        </w:rPr>
      </w:pPr>
      <w:r>
        <w:rPr>
          <w:rFonts w:hint="eastAsia" w:hAnsi="宋体" w:cs="宋体"/>
          <w:color w:val="auto"/>
          <w:sz w:val="24"/>
          <w:highlight w:val="none"/>
        </w:rPr>
        <w:t>6、法律、行政法规规定的其他条件：</w:t>
      </w:r>
    </w:p>
    <w:p w14:paraId="7A4CFA8A">
      <w:pPr>
        <w:shd w:val="clear"/>
        <w:autoSpaceDE w:val="0"/>
        <w:spacing w:line="500" w:lineRule="exact"/>
        <w:rPr>
          <w:rFonts w:hAnsi="宋体" w:cs="宋体"/>
          <w:color w:val="auto"/>
          <w:sz w:val="24"/>
          <w:highlight w:val="none"/>
        </w:rPr>
      </w:pPr>
      <w:r>
        <w:rPr>
          <w:rFonts w:hint="eastAsia" w:hAnsi="宋体" w:cs="宋体"/>
          <w:color w:val="auto"/>
          <w:sz w:val="24"/>
          <w:highlight w:val="none"/>
        </w:rPr>
        <w:t>7、参加本次招标采购活动，不存在与单位负责人为同一人或者存在直接控股、管理关系的其他投标人参与同一合同项下的政府采购活动的行为。</w:t>
      </w:r>
    </w:p>
    <w:p w14:paraId="63D0CDE8">
      <w:pPr>
        <w:shd w:val="clear"/>
        <w:autoSpaceDE w:val="0"/>
        <w:spacing w:line="500" w:lineRule="exact"/>
        <w:rPr>
          <w:rFonts w:hAnsi="宋体" w:cs="宋体"/>
          <w:color w:val="auto"/>
          <w:sz w:val="24"/>
          <w:highlight w:val="none"/>
        </w:rPr>
      </w:pPr>
      <w:r>
        <w:rPr>
          <w:rFonts w:hint="eastAsia" w:hAnsi="宋体" w:cs="宋体"/>
          <w:color w:val="auto"/>
          <w:sz w:val="24"/>
          <w:highlight w:val="none"/>
        </w:rPr>
        <w:t>8、投标人未对本次采购项目提供过整体设计、规范编制或者项目管理、监理、检测等服务。</w:t>
      </w:r>
    </w:p>
    <w:p w14:paraId="2345EA5C">
      <w:pPr>
        <w:pStyle w:val="2"/>
        <w:shd w:val="clear"/>
        <w:spacing w:line="400" w:lineRule="exact"/>
        <w:rPr>
          <w:rFonts w:hAnsi="宋体" w:cs="宋体"/>
          <w:color w:val="auto"/>
          <w:sz w:val="24"/>
          <w:highlight w:val="none"/>
        </w:rPr>
      </w:pPr>
      <w:r>
        <w:rPr>
          <w:rFonts w:hint="eastAsia" w:hAnsi="宋体" w:cs="宋体"/>
          <w:color w:val="auto"/>
          <w:sz w:val="24"/>
          <w:highlight w:val="none"/>
        </w:rPr>
        <w:t>9、投标人未被列入失信被执行人、重大税收违法案件当事人名单、政府采购严重违法失信行为记录名单。</w:t>
      </w:r>
    </w:p>
    <w:p w14:paraId="5BA82F47">
      <w:pPr>
        <w:shd w:val="clear"/>
        <w:autoSpaceDE w:val="0"/>
        <w:spacing w:line="500" w:lineRule="exact"/>
        <w:rPr>
          <w:color w:val="auto"/>
          <w:highlight w:val="none"/>
        </w:rPr>
      </w:pPr>
      <w:r>
        <w:rPr>
          <w:rFonts w:hint="eastAsia" w:hAnsi="宋体" w:cs="宋体"/>
          <w:color w:val="auto"/>
          <w:sz w:val="24"/>
          <w:highlight w:val="none"/>
        </w:rPr>
        <w:t>10、投标人单位及其现任法定代表人不得具有行贿犯罪记录。</w:t>
      </w:r>
    </w:p>
    <w:p w14:paraId="34A3F8BE">
      <w:pPr>
        <w:shd w:val="clear"/>
        <w:autoSpaceDE w:val="0"/>
        <w:spacing w:line="500" w:lineRule="exact"/>
        <w:rPr>
          <w:rFonts w:hAnsi="宋体" w:cs="宋体"/>
          <w:color w:val="auto"/>
          <w:sz w:val="24"/>
          <w:highlight w:val="none"/>
        </w:rPr>
      </w:pPr>
      <w:r>
        <w:rPr>
          <w:rFonts w:hint="eastAsia" w:hAnsi="宋体" w:cs="宋体"/>
          <w:color w:val="auto"/>
          <w:sz w:val="24"/>
          <w:highlight w:val="none"/>
        </w:rPr>
        <w:t>11、本项目不接受联合体投标。</w:t>
      </w:r>
    </w:p>
    <w:p w14:paraId="01638CD2">
      <w:pPr>
        <w:shd w:val="clear"/>
        <w:autoSpaceDE w:val="0"/>
        <w:spacing w:line="500" w:lineRule="exact"/>
        <w:rPr>
          <w:rFonts w:hAnsi="宋体" w:cs="宋体"/>
          <w:color w:val="auto"/>
          <w:sz w:val="24"/>
          <w:highlight w:val="none"/>
        </w:rPr>
      </w:pPr>
    </w:p>
    <w:p w14:paraId="72EE67B5">
      <w:pPr>
        <w:pStyle w:val="2"/>
        <w:numPr>
          <w:ilvl w:val="0"/>
          <w:numId w:val="4"/>
        </w:numPr>
        <w:shd w:val="clear"/>
        <w:spacing w:line="400" w:lineRule="exact"/>
        <w:rPr>
          <w:rFonts w:hAnsi="宋体" w:cs="宋体"/>
          <w:color w:val="auto"/>
          <w:sz w:val="24"/>
          <w:highlight w:val="none"/>
        </w:rPr>
      </w:pPr>
      <w:r>
        <w:rPr>
          <w:rFonts w:hint="eastAsia" w:hAnsi="宋体" w:cs="宋体"/>
          <w:color w:val="auto"/>
          <w:sz w:val="24"/>
          <w:highlight w:val="none"/>
        </w:rPr>
        <w:t>资质性要求：无</w:t>
      </w:r>
    </w:p>
    <w:p w14:paraId="0B4218C5">
      <w:pPr>
        <w:pStyle w:val="2"/>
        <w:numPr>
          <w:ilvl w:val="0"/>
          <w:numId w:val="4"/>
        </w:numPr>
        <w:shd w:val="clear"/>
        <w:spacing w:line="400" w:lineRule="exact"/>
        <w:rPr>
          <w:rFonts w:hAnsi="宋体" w:cs="宋体"/>
          <w:color w:val="auto"/>
          <w:sz w:val="24"/>
          <w:highlight w:val="none"/>
        </w:rPr>
      </w:pPr>
      <w:r>
        <w:rPr>
          <w:rFonts w:hint="eastAsia" w:hAnsi="宋体" w:cs="宋体"/>
          <w:color w:val="auto"/>
          <w:sz w:val="24"/>
          <w:highlight w:val="none"/>
        </w:rPr>
        <w:t>其他类似效力要求：</w:t>
      </w:r>
    </w:p>
    <w:p w14:paraId="554A5D82">
      <w:pPr>
        <w:pStyle w:val="2"/>
        <w:shd w:val="clear"/>
        <w:spacing w:line="400" w:lineRule="exact"/>
        <w:rPr>
          <w:rFonts w:hAnsi="宋体" w:cs="宋体"/>
          <w:color w:val="auto"/>
          <w:sz w:val="24"/>
          <w:highlight w:val="none"/>
        </w:rPr>
      </w:pPr>
      <w:r>
        <w:rPr>
          <w:rFonts w:hint="eastAsia" w:hAnsi="宋体" w:cs="宋体"/>
          <w:color w:val="auto"/>
          <w:sz w:val="24"/>
          <w:highlight w:val="none"/>
        </w:rPr>
        <w:t>授权参加本次投标活动的投标人代表证明材料。</w:t>
      </w:r>
    </w:p>
    <w:p w14:paraId="6201146A">
      <w:pPr>
        <w:shd w:val="clear"/>
        <w:spacing w:line="400" w:lineRule="exact"/>
        <w:rPr>
          <w:rFonts w:hAnsi="宋体" w:cs="宋体"/>
          <w:b/>
          <w:bCs/>
          <w:color w:val="auto"/>
          <w:sz w:val="24"/>
          <w:szCs w:val="24"/>
          <w:highlight w:val="none"/>
        </w:rPr>
      </w:pPr>
      <w:r>
        <w:rPr>
          <w:rFonts w:hint="eastAsia" w:hAnsi="宋体" w:cs="宋体"/>
          <w:b/>
          <w:bCs/>
          <w:color w:val="auto"/>
          <w:sz w:val="24"/>
          <w:szCs w:val="24"/>
          <w:highlight w:val="none"/>
        </w:rPr>
        <w:t>二、投标产品的资格、资质性及其他类似效力要求</w:t>
      </w:r>
    </w:p>
    <w:p w14:paraId="6F58527B">
      <w:pPr>
        <w:shd w:val="clear"/>
        <w:spacing w:line="400" w:lineRule="exact"/>
        <w:rPr>
          <w:rFonts w:hAnsi="宋体" w:cs="宋体"/>
          <w:b/>
          <w:bCs/>
          <w:color w:val="auto"/>
          <w:sz w:val="24"/>
          <w:szCs w:val="24"/>
          <w:highlight w:val="none"/>
        </w:rPr>
      </w:pPr>
      <w:r>
        <w:rPr>
          <w:rFonts w:hint="eastAsia" w:hAnsi="宋体" w:cs="宋体"/>
          <w:b/>
          <w:bCs/>
          <w:color w:val="auto"/>
          <w:sz w:val="24"/>
          <w:highlight w:val="none"/>
        </w:rPr>
        <w:t>（一）</w:t>
      </w:r>
      <w:r>
        <w:rPr>
          <w:rFonts w:hint="eastAsia" w:hAnsi="宋体" w:cs="宋体"/>
          <w:b/>
          <w:bCs/>
          <w:color w:val="auto"/>
          <w:sz w:val="24"/>
          <w:szCs w:val="24"/>
          <w:highlight w:val="none"/>
        </w:rPr>
        <w:t>资格要求：无</w:t>
      </w:r>
    </w:p>
    <w:p w14:paraId="1017BD9D">
      <w:pPr>
        <w:shd w:val="clear"/>
        <w:spacing w:line="400" w:lineRule="exact"/>
        <w:rPr>
          <w:rFonts w:hAnsi="宋体" w:cs="宋体"/>
          <w:b/>
          <w:bCs/>
          <w:color w:val="auto"/>
          <w:sz w:val="24"/>
          <w:szCs w:val="24"/>
          <w:highlight w:val="none"/>
        </w:rPr>
      </w:pPr>
      <w:r>
        <w:rPr>
          <w:rFonts w:hint="eastAsia" w:hAnsi="宋体" w:cs="宋体"/>
          <w:b/>
          <w:bCs/>
          <w:color w:val="auto"/>
          <w:sz w:val="24"/>
          <w:szCs w:val="24"/>
          <w:highlight w:val="none"/>
        </w:rPr>
        <w:t>（二）资质性要求：无</w:t>
      </w:r>
    </w:p>
    <w:p w14:paraId="21972F56">
      <w:pPr>
        <w:shd w:val="clear"/>
        <w:spacing w:line="400" w:lineRule="exact"/>
        <w:rPr>
          <w:rFonts w:hAnsi="宋体" w:cs="宋体"/>
          <w:color w:val="auto"/>
          <w:sz w:val="24"/>
          <w:highlight w:val="none"/>
        </w:rPr>
      </w:pPr>
      <w:r>
        <w:rPr>
          <w:rFonts w:hint="eastAsia" w:hAnsi="宋体" w:cs="宋体"/>
          <w:b/>
          <w:bCs/>
          <w:color w:val="auto"/>
          <w:sz w:val="24"/>
          <w:szCs w:val="24"/>
          <w:highlight w:val="none"/>
        </w:rPr>
        <w:t>（三）其他类似效力要求</w:t>
      </w:r>
      <w:r>
        <w:rPr>
          <w:rFonts w:hint="eastAsia" w:hAnsi="宋体" w:cs="宋体"/>
          <w:color w:val="auto"/>
          <w:sz w:val="24"/>
          <w:highlight w:val="none"/>
        </w:rPr>
        <w:t>：</w:t>
      </w:r>
      <w:r>
        <w:rPr>
          <w:rFonts w:hint="eastAsia" w:hAnsi="宋体" w:cs="宋体"/>
          <w:b/>
          <w:color w:val="auto"/>
          <w:sz w:val="24"/>
          <w:highlight w:val="none"/>
        </w:rPr>
        <w:t>无</w:t>
      </w:r>
    </w:p>
    <w:p w14:paraId="2522D587">
      <w:pPr>
        <w:shd w:val="clear"/>
        <w:spacing w:line="400" w:lineRule="exact"/>
        <w:rPr>
          <w:rFonts w:hAnsi="宋体" w:cs="宋体"/>
          <w:color w:val="auto"/>
          <w:sz w:val="24"/>
          <w:highlight w:val="none"/>
        </w:rPr>
      </w:pPr>
      <w:r>
        <w:rPr>
          <w:rFonts w:hint="eastAsia" w:hAnsi="宋体" w:cs="宋体"/>
          <w:color w:val="auto"/>
          <w:sz w:val="24"/>
          <w:highlight w:val="none"/>
        </w:rPr>
        <w:t>……</w:t>
      </w:r>
    </w:p>
    <w:p w14:paraId="7E3A51D9">
      <w:pPr>
        <w:pStyle w:val="51"/>
        <w:shd w:val="clear"/>
        <w:spacing w:line="400" w:lineRule="exact"/>
        <w:ind w:firstLine="0" w:firstLineChars="0"/>
        <w:rPr>
          <w:rFonts w:hAnsi="宋体" w:cs="宋体"/>
          <w:b/>
          <w:color w:val="auto"/>
          <w:sz w:val="24"/>
          <w:highlight w:val="none"/>
        </w:rPr>
      </w:pPr>
      <w:r>
        <w:rPr>
          <w:rFonts w:hint="eastAsia" w:hAnsi="宋体" w:cs="宋体"/>
          <w:b/>
          <w:color w:val="auto"/>
          <w:sz w:val="24"/>
          <w:highlight w:val="none"/>
        </w:rPr>
        <w:t>注：1、本项目确定投标人重大违法记录中的较大数额罚款的具体金额标准是：以财库〔2022〕3 号文为准，即：认定为200万元以上的罚款，法律、行政法规以及国务院有关部门明确规定相关领域“较大数额罚款”标准高于 200 万元的，从其规定。</w:t>
      </w:r>
    </w:p>
    <w:p w14:paraId="59514A6B">
      <w:pPr>
        <w:pStyle w:val="51"/>
        <w:shd w:val="clear"/>
        <w:spacing w:line="400" w:lineRule="exact"/>
        <w:ind w:firstLine="472" w:firstLineChars="196"/>
        <w:rPr>
          <w:rFonts w:hAnsi="宋体" w:cs="宋体"/>
          <w:b/>
          <w:color w:val="auto"/>
          <w:sz w:val="24"/>
          <w:highlight w:val="none"/>
        </w:rPr>
      </w:pPr>
      <w:r>
        <w:rPr>
          <w:rFonts w:hint="eastAsia" w:hAnsi="宋体" w:cs="宋体"/>
          <w:b/>
          <w:color w:val="auto"/>
          <w:sz w:val="24"/>
          <w:highlight w:val="none"/>
        </w:rPr>
        <w:t>2、投标人在参加政府采购活动前，被纳入法院、工商行政管理部门、税务部门、银行认定的失信名单且在有效期内，或者在前三年政府采购合同履约过程中及其他经营活动履约过程中未依法履约被有关行政部门处罚（处理）的，本项目不认定其具有良好的商业信誉。</w:t>
      </w:r>
    </w:p>
    <w:p w14:paraId="0766A027">
      <w:pPr>
        <w:pStyle w:val="51"/>
        <w:shd w:val="clear"/>
        <w:spacing w:line="420" w:lineRule="exact"/>
        <w:ind w:firstLine="472" w:firstLineChars="196"/>
        <w:rPr>
          <w:rFonts w:hAnsi="宋体" w:cs="宋体"/>
          <w:b/>
          <w:color w:val="auto"/>
          <w:sz w:val="24"/>
          <w:highlight w:val="none"/>
        </w:rPr>
      </w:pPr>
      <w:r>
        <w:rPr>
          <w:rFonts w:hint="eastAsia" w:hAnsi="宋体" w:cs="宋体"/>
          <w:b/>
          <w:color w:val="auto"/>
          <w:sz w:val="24"/>
          <w:highlight w:val="none"/>
        </w:rPr>
        <w:t>3、根据《关于在政府采购活动中查询及使用信用记录有关问题的通知》（财库〔2016〕125 号）的要求，采购代理机构将通过“信用中国”网站（www.creditchina.gov.cn）、“中国政府采购网”网站（www.ccgp.gov.cn）等渠道查询投标人在投标截止日前的信用记录并保存信用记录结果网页截图，拒绝列入失信被执行人、重大税收违法案件当事人名单、政府采购严重违法失信行为记录名单中的投标人报名参加本项目的采购活动。</w:t>
      </w:r>
    </w:p>
    <w:p w14:paraId="4F4746D9">
      <w:pPr>
        <w:pStyle w:val="51"/>
        <w:shd w:val="clear"/>
        <w:spacing w:line="420" w:lineRule="exact"/>
        <w:ind w:firstLine="472" w:firstLineChars="196"/>
        <w:rPr>
          <w:rFonts w:hAnsi="宋体" w:cs="宋体"/>
          <w:b/>
          <w:color w:val="auto"/>
          <w:sz w:val="24"/>
          <w:highlight w:val="none"/>
        </w:rPr>
      </w:pPr>
    </w:p>
    <w:p w14:paraId="3BF57568">
      <w:pPr>
        <w:pStyle w:val="51"/>
        <w:shd w:val="clear"/>
        <w:spacing w:line="400" w:lineRule="exact"/>
        <w:ind w:firstLine="472" w:firstLineChars="196"/>
        <w:rPr>
          <w:rFonts w:hAnsi="宋体" w:cs="宋体"/>
          <w:b/>
          <w:color w:val="auto"/>
          <w:sz w:val="24"/>
          <w:highlight w:val="none"/>
        </w:rPr>
      </w:pPr>
    </w:p>
    <w:p w14:paraId="430256B9">
      <w:pPr>
        <w:shd w:val="clear"/>
        <w:spacing w:line="500" w:lineRule="exact"/>
        <w:jc w:val="center"/>
        <w:outlineLvl w:val="0"/>
        <w:rPr>
          <w:rFonts w:hAnsi="宋体" w:cs="宋体"/>
          <w:b/>
          <w:color w:val="auto"/>
          <w:sz w:val="36"/>
          <w:szCs w:val="36"/>
          <w:highlight w:val="none"/>
        </w:rPr>
      </w:pPr>
      <w:r>
        <w:rPr>
          <w:rFonts w:hint="eastAsia" w:hAnsi="宋体" w:cs="宋体"/>
          <w:color w:val="auto"/>
          <w:highlight w:val="none"/>
        </w:rPr>
        <w:br w:type="page"/>
      </w:r>
      <w:bookmarkStart w:id="134" w:name="_Toc13146"/>
      <w:r>
        <w:rPr>
          <w:rFonts w:hint="eastAsia" w:hAnsi="宋体" w:cs="宋体"/>
          <w:b/>
          <w:color w:val="auto"/>
          <w:sz w:val="36"/>
          <w:szCs w:val="36"/>
          <w:highlight w:val="none"/>
        </w:rPr>
        <w:t>第五章  投标人应当提供的</w:t>
      </w:r>
      <w:r>
        <w:rPr>
          <w:rFonts w:hint="eastAsia" w:hAnsi="宋体" w:cs="宋体"/>
          <w:b/>
          <w:bCs/>
          <w:color w:val="auto"/>
          <w:sz w:val="36"/>
          <w:szCs w:val="36"/>
          <w:highlight w:val="none"/>
        </w:rPr>
        <w:t>资格、资质性及其他类似效力要求的</w:t>
      </w:r>
      <w:r>
        <w:rPr>
          <w:rFonts w:hint="eastAsia" w:hAnsi="宋体" w:cs="宋体"/>
          <w:b/>
          <w:color w:val="auto"/>
          <w:sz w:val="36"/>
          <w:szCs w:val="36"/>
          <w:highlight w:val="none"/>
        </w:rPr>
        <w:t>相关证明材料</w:t>
      </w:r>
      <w:bookmarkEnd w:id="134"/>
    </w:p>
    <w:p w14:paraId="647BD4E9">
      <w:pPr>
        <w:pStyle w:val="4"/>
        <w:shd w:val="clear"/>
        <w:spacing w:line="360" w:lineRule="exact"/>
        <w:rPr>
          <w:rFonts w:ascii="宋体" w:hAnsi="宋体" w:eastAsia="宋体" w:cs="宋体"/>
          <w:color w:val="auto"/>
          <w:sz w:val="24"/>
          <w:szCs w:val="24"/>
          <w:highlight w:val="none"/>
        </w:rPr>
      </w:pPr>
      <w:bookmarkStart w:id="135" w:name="_Toc217446093"/>
      <w:r>
        <w:rPr>
          <w:rFonts w:hint="eastAsia" w:ascii="宋体" w:hAnsi="宋体" w:eastAsia="宋体" w:cs="宋体"/>
          <w:color w:val="auto"/>
          <w:sz w:val="24"/>
          <w:szCs w:val="24"/>
          <w:highlight w:val="none"/>
        </w:rPr>
        <w:t>一、应当提供的投标人资格、资质性及其他类似效力要求的相关证明材料</w:t>
      </w:r>
    </w:p>
    <w:p w14:paraId="2A5FA509">
      <w:pPr>
        <w:shd w:val="clear"/>
        <w:rPr>
          <w:rFonts w:hAnsi="宋体" w:cs="宋体"/>
          <w:b/>
          <w:bCs/>
          <w:color w:val="auto"/>
          <w:sz w:val="24"/>
          <w:highlight w:val="none"/>
        </w:rPr>
      </w:pPr>
      <w:r>
        <w:rPr>
          <w:rFonts w:hint="eastAsia" w:hAnsi="宋体" w:cs="宋体"/>
          <w:b/>
          <w:bCs/>
          <w:color w:val="auto"/>
          <w:sz w:val="24"/>
          <w:highlight w:val="none"/>
        </w:rPr>
        <w:t>（一）资格要求相关证明材料：</w:t>
      </w:r>
    </w:p>
    <w:p w14:paraId="5F38082F">
      <w:pPr>
        <w:pStyle w:val="51"/>
        <w:shd w:val="clear"/>
        <w:spacing w:line="500" w:lineRule="exact"/>
        <w:ind w:firstLine="0" w:firstLineChars="0"/>
        <w:rPr>
          <w:rFonts w:hAnsi="宋体" w:cs="宋体"/>
          <w:color w:val="auto"/>
          <w:sz w:val="24"/>
          <w:highlight w:val="none"/>
        </w:rPr>
      </w:pPr>
      <w:r>
        <w:rPr>
          <w:rFonts w:hint="eastAsia" w:hAnsi="宋体" w:cs="宋体"/>
          <w:color w:val="auto"/>
          <w:sz w:val="24"/>
          <w:highlight w:val="none"/>
        </w:rPr>
        <w:t>1、具有独立承担民事责任的能力。(注：①投标人若为企业法人：提供“统一社会信用代码营业执照”；②若为事业法人：提供“统一社会信用代码法人登记证书”；③若为其他组织：提供“对应主管部门颁发的准许执业证明文件或营业执照”；④若为自然人：提供“身份证明材料”。以上均提供复印件；⑤投标人属于银行、保险、石油石化、电力、电信、移动、联通、广电等有行业特殊情况的，可提供企业分支机构统一社会信用代码的营业执照（复印件）及其他企业分支机构证明文件，法定代表人签署和授权可由分支机构负责人签署和授权)</w:t>
      </w:r>
    </w:p>
    <w:p w14:paraId="30F02B13">
      <w:pPr>
        <w:pStyle w:val="51"/>
        <w:shd w:val="clear"/>
        <w:spacing w:line="500" w:lineRule="exact"/>
        <w:ind w:firstLine="0" w:firstLineChars="0"/>
        <w:rPr>
          <w:rFonts w:hAnsi="宋体" w:cs="宋体"/>
          <w:color w:val="auto"/>
          <w:sz w:val="24"/>
          <w:highlight w:val="none"/>
        </w:rPr>
      </w:pPr>
      <w:r>
        <w:rPr>
          <w:rFonts w:hint="eastAsia" w:hAnsi="宋体" w:cs="宋体"/>
          <w:color w:val="auto"/>
          <w:sz w:val="24"/>
          <w:highlight w:val="none"/>
        </w:rPr>
        <w:t>2、具备良好商业信誉的证明材料（可提供承诺函）；</w:t>
      </w:r>
    </w:p>
    <w:p w14:paraId="44F068DD">
      <w:pPr>
        <w:pStyle w:val="51"/>
        <w:shd w:val="clear"/>
        <w:spacing w:line="500" w:lineRule="exact"/>
        <w:ind w:firstLine="0" w:firstLineChars="0"/>
        <w:rPr>
          <w:rFonts w:hAnsi="宋体" w:cs="宋体"/>
          <w:color w:val="auto"/>
          <w:sz w:val="24"/>
          <w:highlight w:val="none"/>
        </w:rPr>
      </w:pPr>
      <w:r>
        <w:rPr>
          <w:rFonts w:hint="eastAsia" w:hAnsi="宋体" w:cs="宋体"/>
          <w:color w:val="auto"/>
          <w:sz w:val="24"/>
          <w:szCs w:val="22"/>
          <w:highlight w:val="none"/>
        </w:rPr>
        <w:t>3、具备健全的财务会计制度的证明材料。注：①可提供2022</w:t>
      </w:r>
      <w:r>
        <w:rPr>
          <w:rFonts w:hint="eastAsia" w:hAnsi="宋体" w:cs="宋体"/>
          <w:color w:val="auto"/>
          <w:sz w:val="24"/>
          <w:szCs w:val="24"/>
          <w:highlight w:val="none"/>
          <w:lang w:val="en-US" w:eastAsia="zh-CN"/>
        </w:rPr>
        <w:t>年</w:t>
      </w:r>
      <w:r>
        <w:rPr>
          <w:rFonts w:hint="eastAsia"/>
          <w:color w:val="auto"/>
          <w:sz w:val="24"/>
          <w:szCs w:val="24"/>
          <w:highlight w:val="none"/>
        </w:rPr>
        <w:t>以来</w:t>
      </w:r>
      <w:r>
        <w:rPr>
          <w:rFonts w:hint="eastAsia"/>
          <w:color w:val="auto"/>
          <w:sz w:val="24"/>
          <w:szCs w:val="24"/>
          <w:highlight w:val="none"/>
          <w:lang w:eastAsia="zh-CN"/>
        </w:rPr>
        <w:t>（</w:t>
      </w:r>
      <w:r>
        <w:rPr>
          <w:rFonts w:hint="eastAsia"/>
          <w:color w:val="auto"/>
          <w:sz w:val="24"/>
          <w:szCs w:val="24"/>
          <w:highlight w:val="none"/>
          <w:lang w:val="en-US" w:eastAsia="zh-CN"/>
        </w:rPr>
        <w:t>含</w:t>
      </w:r>
      <w:r>
        <w:rPr>
          <w:rFonts w:hint="eastAsia"/>
          <w:color w:val="auto"/>
          <w:sz w:val="24"/>
          <w:szCs w:val="24"/>
          <w:highlight w:val="none"/>
          <w:lang w:eastAsia="zh-CN"/>
        </w:rPr>
        <w:t>）</w:t>
      </w:r>
      <w:r>
        <w:rPr>
          <w:rFonts w:hint="eastAsia"/>
          <w:color w:val="auto"/>
          <w:sz w:val="24"/>
          <w:szCs w:val="24"/>
          <w:highlight w:val="none"/>
        </w:rPr>
        <w:t>任意</w:t>
      </w:r>
      <w:r>
        <w:rPr>
          <w:rFonts w:hint="eastAsia" w:hAnsi="宋体" w:cs="宋体"/>
          <w:color w:val="auto"/>
          <w:sz w:val="24"/>
          <w:szCs w:val="24"/>
          <w:highlight w:val="none"/>
          <w:lang w:val="en-US" w:eastAsia="zh-CN"/>
        </w:rPr>
        <w:t>一年</w:t>
      </w:r>
      <w:r>
        <w:rPr>
          <w:rFonts w:hint="eastAsia" w:hAnsi="宋体" w:cs="宋体"/>
          <w:color w:val="auto"/>
          <w:sz w:val="24"/>
          <w:szCs w:val="22"/>
          <w:highlight w:val="none"/>
        </w:rPr>
        <w:t>年度经审计的财务报告复印件（包括“三表一注”，即资产负债表、利润表、现金流量表及其附注复印件）</w:t>
      </w:r>
      <w:r>
        <w:rPr>
          <w:rFonts w:hint="eastAsia" w:hAnsi="宋体" w:cs="宋体"/>
          <w:color w:val="auto"/>
          <w:sz w:val="24"/>
          <w:highlight w:val="none"/>
          <w:lang w:eastAsia="zh-CN"/>
        </w:rPr>
        <w:t>；</w:t>
      </w:r>
      <w:r>
        <w:rPr>
          <w:rFonts w:hint="eastAsia" w:hAnsi="宋体" w:cs="宋体"/>
          <w:color w:val="auto"/>
          <w:sz w:val="24"/>
          <w:highlight w:val="none"/>
        </w:rPr>
        <w:t>②也可提供</w:t>
      </w:r>
      <w:r>
        <w:rPr>
          <w:rFonts w:hint="eastAsia" w:hAnsi="宋体" w:cs="宋体"/>
          <w:color w:val="auto"/>
          <w:sz w:val="24"/>
          <w:szCs w:val="22"/>
          <w:highlight w:val="none"/>
        </w:rPr>
        <w:t>2022</w:t>
      </w:r>
      <w:r>
        <w:rPr>
          <w:rFonts w:hint="eastAsia" w:hAnsi="宋体" w:cs="宋体"/>
          <w:color w:val="auto"/>
          <w:sz w:val="24"/>
          <w:szCs w:val="22"/>
          <w:highlight w:val="none"/>
          <w:lang w:val="en-US" w:eastAsia="zh-CN"/>
        </w:rPr>
        <w:t>年</w:t>
      </w:r>
      <w:r>
        <w:rPr>
          <w:rFonts w:hint="eastAsia"/>
          <w:color w:val="auto"/>
          <w:sz w:val="24"/>
          <w:szCs w:val="24"/>
          <w:highlight w:val="none"/>
        </w:rPr>
        <w:t>以来</w:t>
      </w:r>
      <w:r>
        <w:rPr>
          <w:rFonts w:hint="eastAsia"/>
          <w:color w:val="auto"/>
          <w:sz w:val="24"/>
          <w:szCs w:val="24"/>
          <w:highlight w:val="none"/>
          <w:lang w:eastAsia="zh-CN"/>
        </w:rPr>
        <w:t>（</w:t>
      </w:r>
      <w:r>
        <w:rPr>
          <w:rFonts w:hint="eastAsia"/>
          <w:color w:val="auto"/>
          <w:sz w:val="24"/>
          <w:szCs w:val="24"/>
          <w:highlight w:val="none"/>
          <w:lang w:val="en-US" w:eastAsia="zh-CN"/>
        </w:rPr>
        <w:t>含</w:t>
      </w:r>
      <w:r>
        <w:rPr>
          <w:rFonts w:hint="eastAsia"/>
          <w:color w:val="auto"/>
          <w:sz w:val="24"/>
          <w:szCs w:val="24"/>
          <w:highlight w:val="none"/>
          <w:lang w:eastAsia="zh-CN"/>
        </w:rPr>
        <w:t>）</w:t>
      </w:r>
      <w:r>
        <w:rPr>
          <w:rFonts w:hint="eastAsia"/>
          <w:color w:val="auto"/>
          <w:sz w:val="24"/>
          <w:szCs w:val="24"/>
          <w:highlight w:val="none"/>
        </w:rPr>
        <w:t>任意</w:t>
      </w:r>
      <w:r>
        <w:rPr>
          <w:rFonts w:hint="eastAsia" w:hAnsi="宋体" w:cs="宋体"/>
          <w:color w:val="auto"/>
          <w:sz w:val="24"/>
          <w:szCs w:val="24"/>
          <w:highlight w:val="none"/>
          <w:lang w:val="en-US" w:eastAsia="zh-CN"/>
        </w:rPr>
        <w:t>一年</w:t>
      </w:r>
      <w:r>
        <w:rPr>
          <w:rFonts w:hint="eastAsia" w:hAnsi="宋体" w:cs="宋体"/>
          <w:color w:val="auto"/>
          <w:sz w:val="24"/>
          <w:highlight w:val="none"/>
        </w:rPr>
        <w:t>年度投标人内部的财务报表复印件</w:t>
      </w:r>
      <w:r>
        <w:rPr>
          <w:rFonts w:hint="eastAsia" w:hAnsi="宋体" w:cs="宋体"/>
          <w:color w:val="auto"/>
          <w:sz w:val="24"/>
          <w:szCs w:val="22"/>
          <w:highlight w:val="none"/>
        </w:rPr>
        <w:t>（包括资产负债表、现金流量表、利润表）</w:t>
      </w:r>
      <w:r>
        <w:rPr>
          <w:rFonts w:hint="eastAsia" w:hAnsi="宋体" w:cs="宋体"/>
          <w:color w:val="auto"/>
          <w:sz w:val="24"/>
          <w:highlight w:val="none"/>
          <w:lang w:eastAsia="zh-CN"/>
        </w:rPr>
        <w:t>；</w:t>
      </w:r>
      <w:r>
        <w:rPr>
          <w:rFonts w:hint="eastAsia" w:hAnsi="宋体" w:cs="宋体"/>
          <w:color w:val="auto"/>
          <w:sz w:val="24"/>
          <w:highlight w:val="none"/>
        </w:rPr>
        <w:t>③也可提供截至投标文件递交截止日一年内银行出具的资信证明（复印件）</w:t>
      </w:r>
      <w:r>
        <w:rPr>
          <w:rFonts w:hint="eastAsia" w:hAnsi="宋体" w:cs="宋体"/>
          <w:color w:val="auto"/>
          <w:sz w:val="24"/>
          <w:highlight w:val="none"/>
          <w:lang w:eastAsia="zh-CN"/>
        </w:rPr>
        <w:t>；</w:t>
      </w:r>
      <w:r>
        <w:rPr>
          <w:rFonts w:hint="eastAsia" w:hAnsi="宋体" w:cs="宋体"/>
          <w:color w:val="auto"/>
          <w:sz w:val="24"/>
          <w:highlight w:val="none"/>
        </w:rPr>
        <w:t>④投标人注册时间截至投标文件递交截止日不足一年的，也可提供在工商备案的公司章程（复印件）。</w:t>
      </w:r>
    </w:p>
    <w:p w14:paraId="61E00A8B">
      <w:pPr>
        <w:pStyle w:val="51"/>
        <w:shd w:val="clear"/>
        <w:spacing w:line="500" w:lineRule="exact"/>
        <w:ind w:firstLine="0" w:firstLineChars="0"/>
        <w:rPr>
          <w:rFonts w:hAnsi="宋体" w:cs="宋体"/>
          <w:color w:val="auto"/>
          <w:sz w:val="24"/>
          <w:szCs w:val="22"/>
          <w:highlight w:val="none"/>
        </w:rPr>
      </w:pPr>
      <w:r>
        <w:rPr>
          <w:rFonts w:hint="eastAsia" w:hAnsi="宋体" w:cs="宋体"/>
          <w:color w:val="auto"/>
          <w:sz w:val="24"/>
          <w:szCs w:val="22"/>
          <w:highlight w:val="none"/>
        </w:rPr>
        <w:t>4、202</w:t>
      </w:r>
      <w:r>
        <w:rPr>
          <w:rFonts w:hint="eastAsia" w:hAnsi="宋体" w:cs="宋体"/>
          <w:color w:val="auto"/>
          <w:sz w:val="24"/>
          <w:szCs w:val="22"/>
          <w:highlight w:val="none"/>
          <w:lang w:val="en-US" w:eastAsia="zh-CN"/>
        </w:rPr>
        <w:t>4</w:t>
      </w:r>
      <w:r>
        <w:rPr>
          <w:rFonts w:hint="eastAsia" w:hAnsi="宋体" w:cs="宋体"/>
          <w:color w:val="auto"/>
          <w:sz w:val="24"/>
          <w:szCs w:val="22"/>
          <w:highlight w:val="none"/>
        </w:rPr>
        <w:t>年1月1日以来任意3个月的税收缴纳证明材料复印件，</w:t>
      </w:r>
      <w:r>
        <w:rPr>
          <w:rFonts w:hint="eastAsia" w:hAnsi="宋体" w:cs="宋体"/>
          <w:color w:val="auto"/>
          <w:sz w:val="24"/>
          <w:szCs w:val="24"/>
          <w:highlight w:val="none"/>
          <w:lang w:val="zh-CN"/>
        </w:rPr>
        <w:t>零申报的提供税务系统网络申报或税务大厅申报零申报报表，</w:t>
      </w:r>
      <w:r>
        <w:rPr>
          <w:rFonts w:hint="eastAsia" w:hAnsi="宋体" w:cs="宋体"/>
          <w:color w:val="auto"/>
          <w:sz w:val="24"/>
          <w:szCs w:val="22"/>
          <w:highlight w:val="none"/>
        </w:rPr>
        <w:t>新成立公司按实际缴纳情况提供，</w:t>
      </w:r>
      <w:r>
        <w:rPr>
          <w:rFonts w:hint="eastAsia" w:hAnsi="宋体" w:cs="宋体"/>
          <w:color w:val="auto"/>
          <w:sz w:val="24"/>
          <w:szCs w:val="24"/>
          <w:highlight w:val="none"/>
          <w:lang w:val="zh-CN"/>
        </w:rPr>
        <w:t>依法免税的公司须提供相应文件证明其依法免税；</w:t>
      </w:r>
      <w:r>
        <w:rPr>
          <w:rFonts w:hint="eastAsia" w:hAnsi="宋体" w:cs="宋体"/>
          <w:color w:val="auto"/>
          <w:sz w:val="24"/>
          <w:szCs w:val="22"/>
          <w:highlight w:val="none"/>
        </w:rPr>
        <w:t>（注：证明材料可为银行电子回单或者税务部门出具的纳税证明或完税证明或有效票据的复印件加盖投标人公章）</w:t>
      </w:r>
    </w:p>
    <w:p w14:paraId="222334C1">
      <w:pPr>
        <w:pStyle w:val="51"/>
        <w:shd w:val="clear"/>
        <w:spacing w:line="500" w:lineRule="exact"/>
        <w:ind w:firstLine="0" w:firstLineChars="0"/>
        <w:rPr>
          <w:rFonts w:hAnsi="宋体" w:cs="宋体"/>
          <w:color w:val="auto"/>
          <w:sz w:val="24"/>
          <w:szCs w:val="22"/>
          <w:highlight w:val="none"/>
        </w:rPr>
      </w:pPr>
      <w:r>
        <w:rPr>
          <w:rFonts w:hint="eastAsia" w:hAnsi="宋体" w:cs="宋体"/>
          <w:color w:val="auto"/>
          <w:sz w:val="24"/>
          <w:szCs w:val="22"/>
          <w:highlight w:val="none"/>
        </w:rPr>
        <w:t>5、202</w:t>
      </w:r>
      <w:r>
        <w:rPr>
          <w:rFonts w:hint="eastAsia" w:hAnsi="宋体" w:cs="宋体"/>
          <w:color w:val="auto"/>
          <w:sz w:val="24"/>
          <w:szCs w:val="22"/>
          <w:highlight w:val="none"/>
          <w:lang w:val="en-US" w:eastAsia="zh-CN"/>
        </w:rPr>
        <w:t>4</w:t>
      </w:r>
      <w:r>
        <w:rPr>
          <w:rFonts w:hint="eastAsia" w:hAnsi="宋体" w:cs="宋体"/>
          <w:color w:val="auto"/>
          <w:sz w:val="24"/>
          <w:szCs w:val="22"/>
          <w:highlight w:val="none"/>
        </w:rPr>
        <w:t>年1月1日以来任意3个月的社保缴纳证明材料复印件，新成立公司按实际缴纳情况提供，不需要缴纳社会保障资金的公司须提供相应文件证明其不需要缴纳社会保障资金；（注：证明材料可为银行电子回单或社保部门（税务部门）出具的社保缴纳证明材料或有效票据复印件加盖投标人公章）</w:t>
      </w:r>
    </w:p>
    <w:p w14:paraId="78F060A1">
      <w:pPr>
        <w:pStyle w:val="51"/>
        <w:shd w:val="clear"/>
        <w:spacing w:line="500" w:lineRule="exact"/>
        <w:ind w:firstLine="0" w:firstLineChars="0"/>
        <w:rPr>
          <w:rFonts w:hAnsi="宋体" w:cs="宋体"/>
          <w:color w:val="auto"/>
          <w:sz w:val="24"/>
          <w:highlight w:val="none"/>
        </w:rPr>
      </w:pPr>
      <w:r>
        <w:rPr>
          <w:rFonts w:hint="eastAsia" w:hAnsi="宋体" w:cs="宋体"/>
          <w:color w:val="auto"/>
          <w:sz w:val="24"/>
          <w:highlight w:val="none"/>
        </w:rPr>
        <w:t>6、具备履行合同所必需的设备和专业技术能力的证明材料（可提供承诺函）；</w:t>
      </w:r>
    </w:p>
    <w:p w14:paraId="6F09BAD5">
      <w:pPr>
        <w:pStyle w:val="51"/>
        <w:shd w:val="clear"/>
        <w:spacing w:line="500" w:lineRule="exact"/>
        <w:ind w:firstLine="0" w:firstLineChars="0"/>
        <w:rPr>
          <w:rFonts w:hAnsi="宋体" w:cs="宋体"/>
          <w:color w:val="auto"/>
          <w:sz w:val="24"/>
          <w:highlight w:val="none"/>
        </w:rPr>
      </w:pPr>
      <w:r>
        <w:rPr>
          <w:rFonts w:hint="eastAsia" w:hAnsi="宋体" w:cs="宋体"/>
          <w:color w:val="auto"/>
          <w:sz w:val="24"/>
          <w:highlight w:val="none"/>
        </w:rPr>
        <w:t>7、参加政府采购活动前三年内在经营活动中没有重大违法记录的承诺函；</w:t>
      </w:r>
    </w:p>
    <w:p w14:paraId="4DC4A43D">
      <w:pPr>
        <w:pStyle w:val="51"/>
        <w:shd w:val="clear"/>
        <w:spacing w:line="500" w:lineRule="exact"/>
        <w:ind w:firstLine="0" w:firstLineChars="0"/>
        <w:rPr>
          <w:rFonts w:hAnsi="宋体" w:cs="宋体"/>
          <w:color w:val="auto"/>
          <w:sz w:val="24"/>
          <w:highlight w:val="none"/>
        </w:rPr>
      </w:pPr>
      <w:r>
        <w:rPr>
          <w:rFonts w:hint="eastAsia" w:hAnsi="宋体" w:cs="宋体"/>
          <w:color w:val="auto"/>
          <w:sz w:val="24"/>
          <w:highlight w:val="none"/>
        </w:rPr>
        <w:t>8、具备法律、行政法规规定的其他条件的证明材料（可提供承诺函）；</w:t>
      </w:r>
    </w:p>
    <w:p w14:paraId="703E1F75">
      <w:pPr>
        <w:pStyle w:val="51"/>
        <w:shd w:val="clear"/>
        <w:spacing w:line="500" w:lineRule="exact"/>
        <w:ind w:firstLine="0" w:firstLineChars="0"/>
        <w:rPr>
          <w:rFonts w:hAnsi="宋体" w:cs="宋体"/>
          <w:color w:val="auto"/>
          <w:sz w:val="24"/>
          <w:highlight w:val="none"/>
        </w:rPr>
      </w:pPr>
      <w:r>
        <w:rPr>
          <w:rFonts w:hint="eastAsia" w:hAnsi="宋体" w:cs="宋体"/>
          <w:color w:val="auto"/>
          <w:sz w:val="24"/>
          <w:highlight w:val="none"/>
        </w:rPr>
        <w:t>9、参加本次招标采购活动，不存在与单位负责人为同一人或者存在直接控股、管理关系的其他投标人参与同一合同项下的政府采购活动的行为。（可提供承诺函）</w:t>
      </w:r>
    </w:p>
    <w:p w14:paraId="10877202">
      <w:pPr>
        <w:pStyle w:val="51"/>
        <w:shd w:val="clear"/>
        <w:spacing w:line="500" w:lineRule="exact"/>
        <w:ind w:firstLine="0" w:firstLineChars="0"/>
        <w:rPr>
          <w:rFonts w:hAnsi="宋体" w:cs="宋体"/>
          <w:color w:val="auto"/>
          <w:sz w:val="24"/>
          <w:highlight w:val="none"/>
        </w:rPr>
      </w:pPr>
      <w:r>
        <w:rPr>
          <w:rFonts w:hint="eastAsia" w:hAnsi="宋体" w:cs="宋体"/>
          <w:color w:val="auto"/>
          <w:sz w:val="24"/>
          <w:highlight w:val="none"/>
        </w:rPr>
        <w:t>10、投标人未对本次采购项目提供过整体设计、规范编制或者项目管理、监理、检测等服务。（可提供承诺函）</w:t>
      </w:r>
    </w:p>
    <w:p w14:paraId="4A2220A2">
      <w:pPr>
        <w:pStyle w:val="51"/>
        <w:shd w:val="clear"/>
        <w:spacing w:line="500" w:lineRule="exact"/>
        <w:ind w:firstLine="0" w:firstLineChars="0"/>
        <w:rPr>
          <w:rFonts w:hAnsi="宋体" w:cs="宋体"/>
          <w:color w:val="auto"/>
          <w:sz w:val="24"/>
          <w:highlight w:val="none"/>
        </w:rPr>
      </w:pPr>
      <w:r>
        <w:rPr>
          <w:rFonts w:hint="eastAsia" w:hAnsi="宋体" w:cs="宋体"/>
          <w:color w:val="auto"/>
          <w:sz w:val="24"/>
          <w:highlight w:val="none"/>
        </w:rPr>
        <w:t>11、投标人单位及其现任法定代表人不得具有行贿犯罪记录。（提供承诺函，如果发现虚假承诺，作无效投标处理</w:t>
      </w:r>
      <w:r>
        <w:rPr>
          <w:rFonts w:hint="eastAsia" w:hAnsi="宋体" w:cs="宋体"/>
          <w:color w:val="auto"/>
          <w:sz w:val="24"/>
          <w:szCs w:val="22"/>
          <w:highlight w:val="none"/>
        </w:rPr>
        <w:t>，投标文件中不需提供行贿犯罪档案查询结果的证明材料。</w:t>
      </w:r>
      <w:r>
        <w:rPr>
          <w:rFonts w:hint="eastAsia" w:hAnsi="宋体" w:cs="宋体"/>
          <w:color w:val="auto"/>
          <w:sz w:val="24"/>
          <w:highlight w:val="none"/>
        </w:rPr>
        <w:t>）</w:t>
      </w:r>
    </w:p>
    <w:p w14:paraId="6E90AFB0">
      <w:pPr>
        <w:pStyle w:val="51"/>
        <w:shd w:val="clear"/>
        <w:spacing w:line="500" w:lineRule="exact"/>
        <w:ind w:firstLine="0" w:firstLineChars="0"/>
        <w:rPr>
          <w:rFonts w:hAnsi="宋体" w:cs="宋体"/>
          <w:color w:val="auto"/>
          <w:sz w:val="24"/>
          <w:szCs w:val="22"/>
          <w:highlight w:val="none"/>
        </w:rPr>
      </w:pPr>
      <w:r>
        <w:rPr>
          <w:rFonts w:hint="eastAsia" w:hAnsi="宋体" w:cs="宋体"/>
          <w:color w:val="auto"/>
          <w:sz w:val="24"/>
          <w:highlight w:val="none"/>
        </w:rPr>
        <w:t>12、</w:t>
      </w:r>
      <w:r>
        <w:rPr>
          <w:rFonts w:hint="eastAsia" w:hAnsi="宋体" w:cs="宋体"/>
          <w:color w:val="auto"/>
          <w:sz w:val="24"/>
          <w:szCs w:val="22"/>
          <w:highlight w:val="none"/>
        </w:rPr>
        <w:t>投标人须提供“截至投标截止日未被列入失信被执行人、重大税收违法案件当事人、</w:t>
      </w:r>
      <w:r>
        <w:rPr>
          <w:rFonts w:hint="eastAsia" w:hAnsi="宋体" w:cs="宋体"/>
          <w:color w:val="auto"/>
          <w:sz w:val="24"/>
          <w:highlight w:val="none"/>
        </w:rPr>
        <w:t>政府采购严重违法失信行为</w:t>
      </w:r>
      <w:r>
        <w:rPr>
          <w:rFonts w:hint="eastAsia" w:hAnsi="宋体" w:cs="宋体"/>
          <w:color w:val="auto"/>
          <w:sz w:val="24"/>
          <w:szCs w:val="22"/>
          <w:highlight w:val="none"/>
        </w:rPr>
        <w:t>名单”的承诺函 。</w:t>
      </w:r>
    </w:p>
    <w:p w14:paraId="5C992F63">
      <w:pPr>
        <w:pStyle w:val="51"/>
        <w:shd w:val="clear"/>
        <w:spacing w:line="500" w:lineRule="exact"/>
        <w:ind w:firstLine="0" w:firstLineChars="0"/>
        <w:rPr>
          <w:rFonts w:hAnsi="宋体" w:cs="宋体"/>
          <w:color w:val="auto"/>
          <w:sz w:val="24"/>
          <w:szCs w:val="22"/>
          <w:highlight w:val="none"/>
        </w:rPr>
      </w:pPr>
      <w:r>
        <w:rPr>
          <w:rFonts w:hint="eastAsia" w:hAnsi="宋体" w:cs="宋体"/>
          <w:color w:val="auto"/>
          <w:sz w:val="24"/>
          <w:szCs w:val="22"/>
          <w:highlight w:val="none"/>
        </w:rPr>
        <w:t>注：根据《关于在政府采购活动中查询及使用信用记录有关问题的通知》（财库〔2016〕125号）的要求，采购代理机构将通过“信用中国”网站（www.creditchina.gov.cn）、“中国政府采购网”网站（www.ccgp.gov.cn）等渠道查询投标人在投标截止日前的信用记录并保存信用记录结果网页截图，拒绝列入失信被执行人、重大税收违法案件当事人名单、政府采购严重违法失信行为记录名单中的投标人报名参加本项目的采购活动。</w:t>
      </w:r>
    </w:p>
    <w:p w14:paraId="19336DBE">
      <w:pPr>
        <w:shd w:val="clear"/>
        <w:spacing w:line="500" w:lineRule="exact"/>
        <w:rPr>
          <w:rFonts w:hAnsi="宋体" w:cs="宋体"/>
          <w:b/>
          <w:bCs/>
          <w:color w:val="auto"/>
          <w:sz w:val="24"/>
          <w:highlight w:val="none"/>
        </w:rPr>
      </w:pPr>
      <w:r>
        <w:rPr>
          <w:rFonts w:hint="eastAsia" w:hAnsi="宋体" w:cs="宋体"/>
          <w:b/>
          <w:bCs/>
          <w:color w:val="auto"/>
          <w:sz w:val="24"/>
          <w:highlight w:val="none"/>
        </w:rPr>
        <w:t>（二）资质性要求相关证明材料：无</w:t>
      </w:r>
    </w:p>
    <w:p w14:paraId="6FBD5F3A">
      <w:pPr>
        <w:shd w:val="clear"/>
        <w:spacing w:line="500" w:lineRule="exact"/>
        <w:rPr>
          <w:rFonts w:hAnsi="宋体" w:cs="宋体"/>
          <w:b/>
          <w:bCs/>
          <w:color w:val="auto"/>
          <w:sz w:val="24"/>
          <w:highlight w:val="none"/>
        </w:rPr>
      </w:pPr>
      <w:r>
        <w:rPr>
          <w:rFonts w:hint="eastAsia" w:hAnsi="宋体" w:cs="宋体"/>
          <w:b/>
          <w:bCs/>
          <w:color w:val="auto"/>
          <w:sz w:val="24"/>
          <w:highlight w:val="none"/>
        </w:rPr>
        <w:t>（三）其他类似效力要求相关证明材料：</w:t>
      </w:r>
    </w:p>
    <w:p w14:paraId="2DD303DC">
      <w:pPr>
        <w:shd w:val="clear"/>
        <w:spacing w:line="500" w:lineRule="exact"/>
        <w:rPr>
          <w:rFonts w:hAnsi="宋体" w:cs="宋体"/>
          <w:color w:val="auto"/>
          <w:sz w:val="24"/>
          <w:highlight w:val="none"/>
        </w:rPr>
      </w:pPr>
      <w:r>
        <w:rPr>
          <w:rFonts w:hint="eastAsia" w:hAnsi="宋体" w:cs="宋体"/>
          <w:color w:val="auto"/>
          <w:sz w:val="24"/>
          <w:highlight w:val="none"/>
        </w:rPr>
        <w:t>（1）法定代表人授权书原件(法定代表人参与投标时不需要提供授权书，但须提供法定代表人身份证明）；</w:t>
      </w:r>
    </w:p>
    <w:p w14:paraId="4BEF7890">
      <w:pPr>
        <w:pStyle w:val="2"/>
        <w:shd w:val="clear"/>
        <w:spacing w:line="500" w:lineRule="exact"/>
        <w:rPr>
          <w:rFonts w:hAnsi="宋体" w:cs="宋体"/>
          <w:color w:val="auto"/>
          <w:sz w:val="24"/>
          <w:highlight w:val="none"/>
        </w:rPr>
      </w:pPr>
      <w:r>
        <w:rPr>
          <w:rFonts w:hint="eastAsia" w:hAnsi="宋体" w:cs="宋体"/>
          <w:color w:val="auto"/>
          <w:sz w:val="24"/>
          <w:highlight w:val="none"/>
        </w:rPr>
        <w:t>（2）法定代表人和授权代表身份证明复印件（法定代表人参与投标时只需提供法定代表人身份证明复印件，授权代表参与投标时需提供法定代表人和授权代表身份证明复印件，复印件均需加盖公章，身份证明文件包括居民身份证、军官证、外籍人员的护照等，身份证明文件应同时提供其在有效期的材料）。</w:t>
      </w:r>
    </w:p>
    <w:p w14:paraId="1848B7C1">
      <w:pPr>
        <w:pStyle w:val="4"/>
        <w:shd w:val="clear"/>
        <w:spacing w:line="500" w:lineRule="exact"/>
        <w:rPr>
          <w:rFonts w:ascii="宋体" w:hAnsi="宋体" w:eastAsia="宋体" w:cs="宋体"/>
          <w:color w:val="auto"/>
          <w:sz w:val="24"/>
          <w:szCs w:val="24"/>
          <w:highlight w:val="none"/>
        </w:rPr>
      </w:pPr>
      <w:r>
        <w:rPr>
          <w:rFonts w:hint="eastAsia" w:ascii="宋体" w:hAnsi="宋体" w:eastAsia="宋体" w:cs="宋体"/>
          <w:b w:val="0"/>
          <w:bCs w:val="0"/>
          <w:color w:val="auto"/>
          <w:sz w:val="24"/>
          <w:szCs w:val="24"/>
          <w:highlight w:val="none"/>
        </w:rPr>
        <w:t>二、</w:t>
      </w:r>
      <w:r>
        <w:rPr>
          <w:rFonts w:hint="eastAsia" w:ascii="宋体" w:hAnsi="宋体" w:eastAsia="宋体" w:cs="宋体"/>
          <w:color w:val="auto"/>
          <w:sz w:val="24"/>
          <w:szCs w:val="24"/>
          <w:highlight w:val="none"/>
        </w:rPr>
        <w:t>应当提供的投标产品的资格、资质性及其他具有类似效力的要求的相关证明材料</w:t>
      </w:r>
    </w:p>
    <w:p w14:paraId="086FD3AA">
      <w:pPr>
        <w:shd w:val="clear"/>
        <w:spacing w:line="500" w:lineRule="exact"/>
        <w:rPr>
          <w:rFonts w:hAnsi="宋体" w:cs="宋体"/>
          <w:color w:val="auto"/>
          <w:sz w:val="24"/>
          <w:highlight w:val="none"/>
        </w:rPr>
      </w:pPr>
      <w:r>
        <w:rPr>
          <w:rFonts w:hint="eastAsia" w:hAnsi="宋体" w:cs="宋体"/>
          <w:b/>
          <w:bCs/>
          <w:color w:val="auto"/>
          <w:sz w:val="24"/>
          <w:highlight w:val="none"/>
        </w:rPr>
        <w:t>（一）资格要求相关证明材料：</w:t>
      </w:r>
      <w:r>
        <w:rPr>
          <w:rFonts w:hint="eastAsia" w:hAnsi="宋体" w:cs="宋体"/>
          <w:b/>
          <w:color w:val="auto"/>
          <w:sz w:val="24"/>
          <w:highlight w:val="none"/>
        </w:rPr>
        <w:t>无</w:t>
      </w:r>
    </w:p>
    <w:p w14:paraId="52E7BEFE">
      <w:pPr>
        <w:shd w:val="clear"/>
        <w:spacing w:line="500" w:lineRule="exact"/>
        <w:rPr>
          <w:rFonts w:hAnsi="宋体" w:cs="宋体"/>
          <w:b/>
          <w:bCs/>
          <w:color w:val="auto"/>
          <w:sz w:val="24"/>
          <w:highlight w:val="none"/>
        </w:rPr>
      </w:pPr>
      <w:r>
        <w:rPr>
          <w:rFonts w:hint="eastAsia" w:hAnsi="宋体" w:cs="宋体"/>
          <w:b/>
          <w:bCs/>
          <w:color w:val="auto"/>
          <w:sz w:val="24"/>
          <w:highlight w:val="none"/>
        </w:rPr>
        <w:t>（二）资质性要求相关证明材料：无</w:t>
      </w:r>
    </w:p>
    <w:p w14:paraId="006CE67A">
      <w:pPr>
        <w:shd w:val="clear"/>
        <w:spacing w:line="500" w:lineRule="exact"/>
        <w:rPr>
          <w:rFonts w:hAnsi="宋体" w:cs="宋体"/>
          <w:color w:val="auto"/>
          <w:highlight w:val="none"/>
        </w:rPr>
      </w:pPr>
      <w:r>
        <w:rPr>
          <w:rFonts w:hint="eastAsia" w:hAnsi="宋体" w:cs="宋体"/>
          <w:b/>
          <w:bCs/>
          <w:color w:val="auto"/>
          <w:sz w:val="24"/>
          <w:highlight w:val="none"/>
        </w:rPr>
        <w:t>（三）其他类似效力要求相关证明材料：无</w:t>
      </w:r>
    </w:p>
    <w:p w14:paraId="25BAEB06">
      <w:pPr>
        <w:shd w:val="clear"/>
        <w:spacing w:line="500" w:lineRule="exact"/>
        <w:rPr>
          <w:rFonts w:hAnsi="宋体" w:cs="宋体"/>
          <w:color w:val="auto"/>
          <w:sz w:val="36"/>
          <w:szCs w:val="36"/>
          <w:highlight w:val="none"/>
        </w:rPr>
      </w:pPr>
      <w:r>
        <w:rPr>
          <w:rFonts w:hint="eastAsia" w:hAnsi="宋体" w:cs="宋体"/>
          <w:b/>
          <w:bCs/>
          <w:color w:val="auto"/>
          <w:sz w:val="24"/>
          <w:highlight w:val="none"/>
        </w:rPr>
        <w:t>注：以上要求的资料复印件（身份证明材料除外）均须加盖投标单位的公章（鲜章）。</w:t>
      </w:r>
    </w:p>
    <w:p w14:paraId="4079B27E">
      <w:pPr>
        <w:shd w:val="clear"/>
        <w:spacing w:line="500" w:lineRule="exact"/>
        <w:ind w:firstLine="482" w:firstLineChars="200"/>
        <w:rPr>
          <w:rFonts w:hAnsi="宋体" w:cs="宋体"/>
          <w:b/>
          <w:color w:val="auto"/>
          <w:sz w:val="24"/>
          <w:szCs w:val="22"/>
          <w:highlight w:val="none"/>
        </w:rPr>
      </w:pPr>
      <w:r>
        <w:rPr>
          <w:rFonts w:hint="eastAsia" w:hAnsi="宋体" w:cs="宋体"/>
          <w:b/>
          <w:color w:val="auto"/>
          <w:sz w:val="24"/>
          <w:szCs w:val="22"/>
          <w:highlight w:val="none"/>
        </w:rPr>
        <w:t>本项目投标人的资格条件在开标结束后由采购代理机构和采购人代表进行审查。投标人应在投标文件中按招标文件的规定和要求附上所有的资格证明文件，若提供的资格证明文件无效、不全或不实，将导致其投标或中标资格被取消。</w:t>
      </w:r>
    </w:p>
    <w:p w14:paraId="36F235BB">
      <w:pPr>
        <w:shd w:val="clear"/>
        <w:rPr>
          <w:rFonts w:hAnsi="宋体" w:cs="宋体"/>
          <w:color w:val="auto"/>
          <w:sz w:val="36"/>
          <w:szCs w:val="36"/>
          <w:highlight w:val="none"/>
        </w:rPr>
      </w:pPr>
      <w:r>
        <w:rPr>
          <w:rFonts w:hint="eastAsia" w:hAnsi="宋体" w:cs="宋体"/>
          <w:color w:val="auto"/>
          <w:sz w:val="36"/>
          <w:szCs w:val="36"/>
          <w:highlight w:val="none"/>
        </w:rPr>
        <w:br w:type="page"/>
      </w:r>
    </w:p>
    <w:p w14:paraId="40A23BED">
      <w:pPr>
        <w:pStyle w:val="3"/>
        <w:shd w:val="clear"/>
        <w:spacing w:before="260" w:after="260" w:line="500" w:lineRule="exact"/>
        <w:rPr>
          <w:rFonts w:hAnsi="宋体" w:cs="宋体"/>
          <w:color w:val="auto"/>
          <w:sz w:val="36"/>
          <w:szCs w:val="36"/>
          <w:highlight w:val="none"/>
        </w:rPr>
      </w:pPr>
      <w:bookmarkStart w:id="136" w:name="_Toc20249"/>
      <w:r>
        <w:rPr>
          <w:rFonts w:hint="eastAsia" w:hAnsi="宋体" w:cs="宋体"/>
          <w:color w:val="auto"/>
          <w:sz w:val="36"/>
          <w:szCs w:val="36"/>
          <w:highlight w:val="none"/>
        </w:rPr>
        <w:t>第六章 招标项目技术、服务及其他商务要求</w:t>
      </w:r>
      <w:bookmarkEnd w:id="136"/>
    </w:p>
    <w:p w14:paraId="62681194">
      <w:pPr>
        <w:pStyle w:val="8"/>
        <w:shd w:val="clear"/>
        <w:tabs>
          <w:tab w:val="left" w:pos="3740"/>
        </w:tabs>
        <w:spacing w:line="360" w:lineRule="auto"/>
        <w:ind w:firstLine="0" w:firstLineChars="0"/>
        <w:outlineLvl w:val="1"/>
        <w:rPr>
          <w:rFonts w:hAnsi="宋体" w:cs="宋体"/>
          <w:b/>
          <w:color w:val="auto"/>
          <w:sz w:val="28"/>
          <w:szCs w:val="28"/>
          <w:highlight w:val="none"/>
        </w:rPr>
      </w:pPr>
      <w:r>
        <w:rPr>
          <w:rFonts w:hint="eastAsia" w:hAnsi="宋体" w:cs="宋体"/>
          <w:b/>
          <w:color w:val="auto"/>
          <w:sz w:val="28"/>
          <w:szCs w:val="28"/>
          <w:highlight w:val="none"/>
        </w:rPr>
        <w:t>一、项目整体要求</w:t>
      </w:r>
    </w:p>
    <w:p w14:paraId="6BB1BE52">
      <w:pPr>
        <w:shd w:val="clear"/>
        <w:spacing w:line="360" w:lineRule="auto"/>
        <w:ind w:firstLine="480" w:firstLineChars="200"/>
        <w:rPr>
          <w:rFonts w:hAnsi="宋体" w:cs="宋体"/>
          <w:color w:val="auto"/>
          <w:sz w:val="24"/>
          <w:highlight w:val="none"/>
        </w:rPr>
      </w:pPr>
      <w:r>
        <w:rPr>
          <w:rFonts w:hint="eastAsia" w:hAnsi="宋体" w:cs="宋体"/>
          <w:color w:val="auto"/>
          <w:sz w:val="24"/>
          <w:highlight w:val="none"/>
        </w:rPr>
        <w:t>1、设计原则：遵循安全性、先进性、实用性、开放性、高度集成性。</w:t>
      </w:r>
    </w:p>
    <w:p w14:paraId="6258E90F">
      <w:pPr>
        <w:shd w:val="clear"/>
        <w:spacing w:line="360" w:lineRule="auto"/>
        <w:ind w:firstLine="480" w:firstLineChars="200"/>
        <w:rPr>
          <w:rFonts w:hAnsi="宋体" w:cs="宋体"/>
          <w:color w:val="auto"/>
          <w:sz w:val="24"/>
          <w:highlight w:val="none"/>
        </w:rPr>
      </w:pPr>
      <w:r>
        <w:rPr>
          <w:rFonts w:hint="eastAsia" w:hAnsi="宋体" w:cs="宋体"/>
          <w:color w:val="auto"/>
          <w:sz w:val="24"/>
          <w:highlight w:val="none"/>
        </w:rPr>
        <w:t>2、设备选型要求稳定、可靠、安全，按照目前行业主流的一线产品进行配置，所选配的设备要求均采用技术成熟且运行稳定的品牌产品。</w:t>
      </w:r>
    </w:p>
    <w:p w14:paraId="7309EB84">
      <w:pPr>
        <w:shd w:val="clear"/>
        <w:spacing w:line="360" w:lineRule="auto"/>
        <w:ind w:firstLine="480" w:firstLineChars="200"/>
        <w:rPr>
          <w:rFonts w:hAnsi="宋体" w:cs="宋体"/>
          <w:color w:val="auto"/>
          <w:sz w:val="24"/>
          <w:highlight w:val="none"/>
        </w:rPr>
      </w:pPr>
      <w:r>
        <w:rPr>
          <w:rFonts w:hint="eastAsia" w:hAnsi="宋体" w:cs="宋体"/>
          <w:color w:val="auto"/>
          <w:sz w:val="24"/>
          <w:highlight w:val="none"/>
        </w:rPr>
        <w:t>3、系统必须高度可靠，对环境温度、湿度有较宽的适应范围，设备全开启时的噪声应符合相关标准，以人体主观感觉安静舒适、不干扰工作、不影响健康为宜。</w:t>
      </w:r>
    </w:p>
    <w:p w14:paraId="055A392E">
      <w:pPr>
        <w:shd w:val="clear"/>
        <w:spacing w:line="360" w:lineRule="auto"/>
        <w:ind w:firstLine="480" w:firstLineChars="200"/>
        <w:rPr>
          <w:rFonts w:hAnsi="宋体" w:cs="宋体"/>
          <w:color w:val="auto"/>
          <w:sz w:val="24"/>
          <w:highlight w:val="none"/>
        </w:rPr>
      </w:pPr>
      <w:r>
        <w:rPr>
          <w:rFonts w:hint="eastAsia" w:hAnsi="宋体" w:cs="宋体"/>
          <w:color w:val="auto"/>
          <w:sz w:val="24"/>
          <w:highlight w:val="none"/>
        </w:rPr>
        <w:t>4、整个系统的各种软硬件均应符合国际或国内的相关标准。必须满足新闻、专题类节目的高清录制的各项功能需求。充分满足人体工程学的需要，空间和设备利用率高，机架和设备安装分布合理，符合节目制作流程和操作习惯。能兼容多种格式的外来输入信号。设备好用易用，通过培训能够满足</w:t>
      </w:r>
      <w:r>
        <w:rPr>
          <w:rFonts w:hint="eastAsia" w:hAnsi="宋体" w:cs="宋体"/>
          <w:color w:val="auto"/>
          <w:sz w:val="24"/>
          <w:highlight w:val="none"/>
          <w:lang w:val="en-US" w:eastAsia="zh-CN"/>
        </w:rPr>
        <w:t>采购人</w:t>
      </w:r>
      <w:r>
        <w:rPr>
          <w:rFonts w:hint="eastAsia" w:hAnsi="宋体" w:cs="宋体"/>
          <w:color w:val="auto"/>
          <w:sz w:val="24"/>
          <w:highlight w:val="none"/>
        </w:rPr>
        <w:t>日常节目的录制。</w:t>
      </w:r>
    </w:p>
    <w:p w14:paraId="36A8B513">
      <w:pPr>
        <w:shd w:val="clear"/>
        <w:spacing w:line="360" w:lineRule="auto"/>
        <w:ind w:firstLine="480" w:firstLineChars="200"/>
        <w:rPr>
          <w:rFonts w:hAnsi="宋体" w:cs="宋体"/>
          <w:color w:val="auto"/>
          <w:sz w:val="24"/>
          <w:highlight w:val="none"/>
        </w:rPr>
      </w:pPr>
      <w:r>
        <w:rPr>
          <w:rFonts w:hint="eastAsia" w:hAnsi="宋体" w:cs="宋体"/>
          <w:color w:val="auto"/>
          <w:sz w:val="24"/>
          <w:highlight w:val="none"/>
        </w:rPr>
        <w:t>5、系统应与先进理念保持同步，采用开放性系统架构，具备较强的扩展性，以适应未来节目制作和直播的要求。系统设备采用技术先进、稳定成熟且具有电视台专业演播室成功应用案例的设备。</w:t>
      </w:r>
    </w:p>
    <w:p w14:paraId="588072F8">
      <w:pPr>
        <w:pStyle w:val="8"/>
        <w:shd w:val="clear"/>
        <w:tabs>
          <w:tab w:val="left" w:pos="3740"/>
        </w:tabs>
        <w:spacing w:line="360" w:lineRule="auto"/>
        <w:ind w:firstLine="480"/>
        <w:rPr>
          <w:rFonts w:hAnsi="宋体" w:cs="宋体"/>
          <w:b/>
          <w:color w:val="auto"/>
          <w:sz w:val="28"/>
          <w:szCs w:val="28"/>
          <w:highlight w:val="none"/>
        </w:rPr>
      </w:pPr>
      <w:r>
        <w:rPr>
          <w:rFonts w:hint="eastAsia" w:hAnsi="宋体" w:cs="宋体"/>
          <w:color w:val="auto"/>
          <w:sz w:val="24"/>
          <w:highlight w:val="none"/>
        </w:rPr>
        <w:t>6、系统应具备结构的灵活性、接入的灵活性和操作的灵活性。系统操作简单直观、信号调配灵活、维护管理方便。系统设计、信号接口具有可扩展性,便于今后的系统扩展和升级。</w:t>
      </w:r>
    </w:p>
    <w:p w14:paraId="65A8F4FB">
      <w:pPr>
        <w:pStyle w:val="8"/>
        <w:shd w:val="clear"/>
        <w:tabs>
          <w:tab w:val="left" w:pos="3740"/>
        </w:tabs>
        <w:spacing w:line="500" w:lineRule="exact"/>
        <w:ind w:firstLine="0" w:firstLineChars="0"/>
        <w:outlineLvl w:val="1"/>
        <w:rPr>
          <w:rFonts w:hAnsi="宋体" w:cs="宋体"/>
          <w:b/>
          <w:color w:val="auto"/>
          <w:sz w:val="28"/>
          <w:szCs w:val="28"/>
          <w:highlight w:val="none"/>
        </w:rPr>
      </w:pPr>
      <w:r>
        <w:rPr>
          <w:rFonts w:hint="eastAsia" w:hAnsi="宋体" w:cs="宋体"/>
          <w:b/>
          <w:color w:val="auto"/>
          <w:sz w:val="28"/>
          <w:szCs w:val="28"/>
          <w:highlight w:val="none"/>
        </w:rPr>
        <w:t>二、采购清单及技术要</w:t>
      </w:r>
      <w:r>
        <w:rPr>
          <w:rFonts w:hint="eastAsia" w:hAnsi="宋体" w:cs="宋体"/>
          <w:b/>
          <w:bCs/>
          <w:color w:val="auto"/>
          <w:sz w:val="28"/>
          <w:szCs w:val="28"/>
          <w:highlight w:val="none"/>
        </w:rPr>
        <w:t>求</w:t>
      </w:r>
    </w:p>
    <w:p w14:paraId="078C83CB">
      <w:pPr>
        <w:pStyle w:val="2"/>
        <w:shd w:val="clear"/>
        <w:spacing w:line="500" w:lineRule="exact"/>
        <w:rPr>
          <w:rFonts w:hAnsi="宋体" w:cs="宋体"/>
          <w:b/>
          <w:bCs/>
          <w:color w:val="auto"/>
          <w:sz w:val="24"/>
          <w:szCs w:val="24"/>
          <w:highlight w:val="none"/>
        </w:rPr>
      </w:pPr>
      <w:r>
        <w:rPr>
          <w:rFonts w:hint="eastAsia" w:hAnsi="宋体" w:cs="宋体"/>
          <w:b/>
          <w:bCs/>
          <w:color w:val="auto"/>
          <w:sz w:val="24"/>
          <w:szCs w:val="24"/>
          <w:highlight w:val="none"/>
        </w:rPr>
        <w:t>（一）采购清单（</w:t>
      </w:r>
      <w:r>
        <w:rPr>
          <w:rFonts w:hint="eastAsia" w:ascii="黑体" w:hAnsi="黑体" w:eastAsia="黑体" w:cs="黑体"/>
          <w:b/>
          <w:bCs/>
          <w:color w:val="auto"/>
          <w:sz w:val="24"/>
          <w:szCs w:val="24"/>
          <w:highlight w:val="none"/>
        </w:rPr>
        <w:t>★</w:t>
      </w:r>
      <w:r>
        <w:rPr>
          <w:rFonts w:hint="eastAsia" w:hAnsi="宋体" w:cs="宋体"/>
          <w:b/>
          <w:bCs/>
          <w:color w:val="auto"/>
          <w:sz w:val="24"/>
          <w:szCs w:val="24"/>
          <w:highlight w:val="none"/>
        </w:rPr>
        <w:t>实质性要求）</w:t>
      </w:r>
    </w:p>
    <w:tbl>
      <w:tblPr>
        <w:tblStyle w:val="30"/>
        <w:tblW w:w="91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7"/>
        <w:gridCol w:w="3987"/>
        <w:gridCol w:w="989"/>
        <w:gridCol w:w="956"/>
        <w:gridCol w:w="1548"/>
        <w:gridCol w:w="870"/>
      </w:tblGrid>
      <w:tr w14:paraId="355258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67" w:hRule="atLeast"/>
          <w:jc w:val="center"/>
        </w:trPr>
        <w:tc>
          <w:tcPr>
            <w:tcW w:w="847" w:type="dxa"/>
            <w:vAlign w:val="center"/>
          </w:tcPr>
          <w:p w14:paraId="2FDA50D3">
            <w:pPr>
              <w:shd w:val="clear"/>
              <w:spacing w:line="640" w:lineRule="exact"/>
              <w:jc w:val="center"/>
              <w:textAlignment w:val="center"/>
              <w:rPr>
                <w:rFonts w:hAnsi="宋体" w:cs="宋体"/>
                <w:b/>
                <w:bCs/>
                <w:color w:val="auto"/>
                <w:sz w:val="24"/>
                <w:szCs w:val="24"/>
                <w:highlight w:val="none"/>
              </w:rPr>
            </w:pPr>
            <w:r>
              <w:rPr>
                <w:rFonts w:hint="eastAsia" w:hAnsi="宋体" w:cs="宋体"/>
                <w:b/>
                <w:bCs/>
                <w:color w:val="auto"/>
                <w:sz w:val="24"/>
                <w:szCs w:val="24"/>
                <w:highlight w:val="none"/>
              </w:rPr>
              <w:t>序号</w:t>
            </w:r>
          </w:p>
        </w:tc>
        <w:tc>
          <w:tcPr>
            <w:tcW w:w="3987" w:type="dxa"/>
            <w:vAlign w:val="center"/>
          </w:tcPr>
          <w:p w14:paraId="3A166D91">
            <w:pPr>
              <w:shd w:val="clear"/>
              <w:spacing w:line="640" w:lineRule="exact"/>
              <w:jc w:val="center"/>
              <w:textAlignment w:val="center"/>
              <w:rPr>
                <w:rFonts w:hAnsi="宋体" w:cs="宋体"/>
                <w:b/>
                <w:bCs/>
                <w:color w:val="auto"/>
                <w:sz w:val="24"/>
                <w:szCs w:val="24"/>
                <w:highlight w:val="none"/>
              </w:rPr>
            </w:pPr>
            <w:r>
              <w:rPr>
                <w:rFonts w:hint="eastAsia" w:hAnsi="宋体" w:cs="宋体"/>
                <w:b/>
                <w:bCs/>
                <w:color w:val="auto"/>
                <w:sz w:val="24"/>
                <w:szCs w:val="24"/>
                <w:highlight w:val="none"/>
              </w:rPr>
              <w:t>标的名称</w:t>
            </w:r>
          </w:p>
        </w:tc>
        <w:tc>
          <w:tcPr>
            <w:tcW w:w="989" w:type="dxa"/>
            <w:vAlign w:val="center"/>
          </w:tcPr>
          <w:p w14:paraId="2497520E">
            <w:pPr>
              <w:shd w:val="clear"/>
              <w:spacing w:line="640" w:lineRule="exact"/>
              <w:jc w:val="center"/>
              <w:textAlignment w:val="center"/>
              <w:rPr>
                <w:rFonts w:hint="eastAsia" w:hAnsi="宋体" w:cs="宋体"/>
                <w:b/>
                <w:bCs/>
                <w:color w:val="auto"/>
                <w:sz w:val="24"/>
                <w:szCs w:val="24"/>
                <w:highlight w:val="none"/>
              </w:rPr>
            </w:pPr>
            <w:r>
              <w:rPr>
                <w:rFonts w:hint="eastAsia" w:hAnsi="宋体" w:cs="宋体"/>
                <w:b/>
                <w:bCs/>
                <w:color w:val="auto"/>
                <w:sz w:val="24"/>
                <w:szCs w:val="24"/>
                <w:highlight w:val="none"/>
              </w:rPr>
              <w:t>计量</w:t>
            </w:r>
          </w:p>
          <w:p w14:paraId="3D057BA6">
            <w:pPr>
              <w:shd w:val="clear"/>
              <w:spacing w:line="640" w:lineRule="exact"/>
              <w:jc w:val="center"/>
              <w:textAlignment w:val="center"/>
              <w:rPr>
                <w:rFonts w:hAnsi="宋体" w:cs="宋体"/>
                <w:b/>
                <w:bCs/>
                <w:color w:val="auto"/>
                <w:sz w:val="24"/>
                <w:szCs w:val="24"/>
                <w:highlight w:val="none"/>
              </w:rPr>
            </w:pPr>
            <w:r>
              <w:rPr>
                <w:rFonts w:hint="eastAsia" w:hAnsi="宋体" w:cs="宋体"/>
                <w:b/>
                <w:bCs/>
                <w:color w:val="auto"/>
                <w:sz w:val="24"/>
                <w:szCs w:val="24"/>
                <w:highlight w:val="none"/>
              </w:rPr>
              <w:t>单位</w:t>
            </w:r>
          </w:p>
        </w:tc>
        <w:tc>
          <w:tcPr>
            <w:tcW w:w="956" w:type="dxa"/>
            <w:vAlign w:val="center"/>
          </w:tcPr>
          <w:p w14:paraId="55BB6B29">
            <w:pPr>
              <w:shd w:val="clear"/>
              <w:spacing w:line="640" w:lineRule="exact"/>
              <w:jc w:val="center"/>
              <w:textAlignment w:val="center"/>
              <w:rPr>
                <w:rFonts w:hAnsi="宋体" w:cs="宋体"/>
                <w:b/>
                <w:bCs/>
                <w:color w:val="auto"/>
                <w:sz w:val="24"/>
                <w:szCs w:val="24"/>
                <w:highlight w:val="none"/>
              </w:rPr>
            </w:pPr>
            <w:r>
              <w:rPr>
                <w:rFonts w:hint="eastAsia" w:hAnsi="宋体" w:cs="宋体"/>
                <w:b/>
                <w:bCs/>
                <w:color w:val="auto"/>
                <w:sz w:val="24"/>
                <w:szCs w:val="24"/>
                <w:highlight w:val="none"/>
              </w:rPr>
              <w:t>数量</w:t>
            </w:r>
          </w:p>
        </w:tc>
        <w:tc>
          <w:tcPr>
            <w:tcW w:w="1548" w:type="dxa"/>
            <w:vAlign w:val="center"/>
          </w:tcPr>
          <w:p w14:paraId="68F5BE24">
            <w:pPr>
              <w:shd w:val="clear"/>
              <w:spacing w:line="640" w:lineRule="exact"/>
              <w:jc w:val="center"/>
              <w:textAlignment w:val="center"/>
              <w:rPr>
                <w:rFonts w:hAnsi="宋体" w:cs="宋体"/>
                <w:b/>
                <w:bCs/>
                <w:color w:val="auto"/>
                <w:sz w:val="24"/>
                <w:szCs w:val="24"/>
                <w:highlight w:val="none"/>
              </w:rPr>
            </w:pPr>
            <w:r>
              <w:rPr>
                <w:rFonts w:hint="eastAsia" w:hAnsi="宋体" w:cs="宋体"/>
                <w:b/>
                <w:bCs/>
                <w:color w:val="auto"/>
                <w:sz w:val="24"/>
                <w:szCs w:val="24"/>
                <w:highlight w:val="none"/>
              </w:rPr>
              <w:t>单价限价（元）</w:t>
            </w:r>
          </w:p>
        </w:tc>
        <w:tc>
          <w:tcPr>
            <w:tcW w:w="870" w:type="dxa"/>
            <w:vAlign w:val="center"/>
          </w:tcPr>
          <w:p w14:paraId="41B32CB0">
            <w:pPr>
              <w:shd w:val="clear"/>
              <w:spacing w:line="640" w:lineRule="exact"/>
              <w:jc w:val="center"/>
              <w:textAlignment w:val="center"/>
              <w:rPr>
                <w:rFonts w:hAnsi="宋体" w:cs="宋体"/>
                <w:b/>
                <w:bCs/>
                <w:color w:val="auto"/>
                <w:sz w:val="24"/>
                <w:szCs w:val="24"/>
                <w:highlight w:val="none"/>
              </w:rPr>
            </w:pPr>
            <w:r>
              <w:rPr>
                <w:rFonts w:hint="eastAsia" w:hAnsi="宋体" w:cs="宋体"/>
                <w:b/>
                <w:bCs/>
                <w:color w:val="auto"/>
                <w:sz w:val="24"/>
                <w:szCs w:val="24"/>
                <w:highlight w:val="none"/>
              </w:rPr>
              <w:t>是否进口</w:t>
            </w:r>
          </w:p>
        </w:tc>
      </w:tr>
      <w:tr w14:paraId="505209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847" w:type="dxa"/>
            <w:vAlign w:val="center"/>
          </w:tcPr>
          <w:p w14:paraId="28E4753E">
            <w:pPr>
              <w:shd w:val="clear"/>
              <w:spacing w:line="400" w:lineRule="exact"/>
              <w:jc w:val="center"/>
              <w:rPr>
                <w:rFonts w:hAnsi="宋体" w:cs="宋体"/>
                <w:color w:val="auto"/>
                <w:sz w:val="24"/>
                <w:highlight w:val="none"/>
              </w:rPr>
            </w:pPr>
            <w:r>
              <w:rPr>
                <w:rFonts w:hint="eastAsia" w:hAnsi="宋体" w:cs="宋体"/>
                <w:color w:val="auto"/>
                <w:sz w:val="24"/>
                <w:highlight w:val="none"/>
              </w:rPr>
              <w:t>1</w:t>
            </w:r>
          </w:p>
        </w:tc>
        <w:tc>
          <w:tcPr>
            <w:tcW w:w="3987" w:type="dxa"/>
            <w:vAlign w:val="center"/>
          </w:tcPr>
          <w:p w14:paraId="76BB575A">
            <w:pPr>
              <w:shd w:val="clear"/>
              <w:spacing w:line="400" w:lineRule="exact"/>
              <w:jc w:val="center"/>
              <w:rPr>
                <w:rFonts w:hAnsi="宋体" w:cs="宋体"/>
                <w:color w:val="auto"/>
                <w:sz w:val="24"/>
                <w:highlight w:val="none"/>
              </w:rPr>
            </w:pPr>
            <w:r>
              <w:rPr>
                <w:rFonts w:hint="eastAsia" w:hAnsi="宋体" w:cs="宋体"/>
                <w:color w:val="auto"/>
                <w:sz w:val="24"/>
                <w:highlight w:val="none"/>
              </w:rPr>
              <w:t>4K摄像机</w:t>
            </w:r>
          </w:p>
        </w:tc>
        <w:tc>
          <w:tcPr>
            <w:tcW w:w="989" w:type="dxa"/>
            <w:vAlign w:val="center"/>
          </w:tcPr>
          <w:p w14:paraId="7E097AEE">
            <w:pPr>
              <w:shd w:val="clear"/>
              <w:spacing w:line="400" w:lineRule="exact"/>
              <w:jc w:val="center"/>
              <w:rPr>
                <w:rFonts w:hAnsi="宋体" w:cs="宋体"/>
                <w:color w:val="auto"/>
                <w:sz w:val="24"/>
                <w:highlight w:val="none"/>
              </w:rPr>
            </w:pPr>
            <w:r>
              <w:rPr>
                <w:rFonts w:hint="eastAsia" w:hAnsi="宋体" w:cs="宋体"/>
                <w:color w:val="auto"/>
                <w:sz w:val="24"/>
                <w:highlight w:val="none"/>
              </w:rPr>
              <w:t>台</w:t>
            </w:r>
          </w:p>
        </w:tc>
        <w:tc>
          <w:tcPr>
            <w:tcW w:w="956" w:type="dxa"/>
            <w:vAlign w:val="center"/>
          </w:tcPr>
          <w:p w14:paraId="7E878B3B">
            <w:pPr>
              <w:shd w:val="clear"/>
              <w:spacing w:line="400" w:lineRule="exact"/>
              <w:jc w:val="center"/>
              <w:rPr>
                <w:rFonts w:hAnsi="宋体" w:cs="宋体"/>
                <w:color w:val="auto"/>
                <w:sz w:val="24"/>
                <w:highlight w:val="none"/>
              </w:rPr>
            </w:pPr>
            <w:r>
              <w:rPr>
                <w:rFonts w:hint="eastAsia" w:hAnsi="宋体" w:cs="宋体"/>
                <w:color w:val="auto"/>
                <w:sz w:val="24"/>
                <w:highlight w:val="none"/>
              </w:rPr>
              <w:t>2</w:t>
            </w:r>
          </w:p>
        </w:tc>
        <w:tc>
          <w:tcPr>
            <w:tcW w:w="1548" w:type="dxa"/>
            <w:vAlign w:val="center"/>
          </w:tcPr>
          <w:p w14:paraId="33C2E4CA">
            <w:pPr>
              <w:shd w:val="clear"/>
              <w:spacing w:line="400" w:lineRule="exact"/>
              <w:jc w:val="center"/>
              <w:rPr>
                <w:rFonts w:hAnsi="宋体" w:cs="宋体"/>
                <w:color w:val="auto"/>
                <w:sz w:val="24"/>
                <w:highlight w:val="none"/>
              </w:rPr>
            </w:pPr>
            <w:r>
              <w:rPr>
                <w:rFonts w:hint="eastAsia" w:hAnsi="宋体" w:cs="宋体"/>
                <w:color w:val="auto"/>
                <w:sz w:val="24"/>
                <w:highlight w:val="none"/>
              </w:rPr>
              <w:t>46500.00</w:t>
            </w:r>
          </w:p>
        </w:tc>
        <w:tc>
          <w:tcPr>
            <w:tcW w:w="870" w:type="dxa"/>
            <w:vAlign w:val="center"/>
          </w:tcPr>
          <w:p w14:paraId="3E465169">
            <w:pPr>
              <w:shd w:val="clear"/>
              <w:spacing w:line="400" w:lineRule="exact"/>
              <w:jc w:val="center"/>
              <w:rPr>
                <w:rFonts w:hAnsi="宋体" w:cs="宋体"/>
                <w:color w:val="auto"/>
                <w:sz w:val="24"/>
                <w:highlight w:val="none"/>
              </w:rPr>
            </w:pPr>
            <w:r>
              <w:rPr>
                <w:rFonts w:hint="eastAsia" w:hAnsi="宋体" w:cs="宋体"/>
                <w:color w:val="auto"/>
                <w:sz w:val="24"/>
                <w:highlight w:val="none"/>
              </w:rPr>
              <w:t>否</w:t>
            </w:r>
          </w:p>
        </w:tc>
      </w:tr>
      <w:tr w14:paraId="4F302C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847" w:type="dxa"/>
            <w:vAlign w:val="center"/>
          </w:tcPr>
          <w:p w14:paraId="1AB172A8">
            <w:pPr>
              <w:shd w:val="clear"/>
              <w:spacing w:line="400" w:lineRule="exact"/>
              <w:jc w:val="center"/>
              <w:rPr>
                <w:rFonts w:hAnsi="宋体" w:cs="宋体"/>
                <w:color w:val="auto"/>
                <w:sz w:val="24"/>
                <w:highlight w:val="none"/>
              </w:rPr>
            </w:pPr>
            <w:r>
              <w:rPr>
                <w:rFonts w:hint="eastAsia" w:hAnsi="宋体" w:cs="宋体"/>
                <w:color w:val="auto"/>
                <w:sz w:val="24"/>
                <w:highlight w:val="none"/>
              </w:rPr>
              <w:t>2</w:t>
            </w:r>
          </w:p>
        </w:tc>
        <w:tc>
          <w:tcPr>
            <w:tcW w:w="3987" w:type="dxa"/>
            <w:vAlign w:val="center"/>
          </w:tcPr>
          <w:p w14:paraId="6D072432">
            <w:pPr>
              <w:shd w:val="clear"/>
              <w:spacing w:line="400" w:lineRule="exact"/>
              <w:jc w:val="center"/>
              <w:rPr>
                <w:rFonts w:hAnsi="宋体" w:cs="宋体"/>
                <w:color w:val="auto"/>
                <w:sz w:val="24"/>
                <w:highlight w:val="none"/>
              </w:rPr>
            </w:pPr>
            <w:r>
              <w:rPr>
                <w:rFonts w:hint="eastAsia" w:hAnsi="宋体" w:cs="宋体"/>
                <w:color w:val="auto"/>
                <w:sz w:val="24"/>
                <w:highlight w:val="none"/>
              </w:rPr>
              <w:t>演播室三脚架</w:t>
            </w:r>
          </w:p>
        </w:tc>
        <w:tc>
          <w:tcPr>
            <w:tcW w:w="989" w:type="dxa"/>
            <w:vAlign w:val="center"/>
          </w:tcPr>
          <w:p w14:paraId="0F683B89">
            <w:pPr>
              <w:shd w:val="clear"/>
              <w:spacing w:line="400" w:lineRule="exact"/>
              <w:jc w:val="center"/>
              <w:rPr>
                <w:rFonts w:hAnsi="宋体" w:cs="宋体"/>
                <w:color w:val="auto"/>
                <w:sz w:val="24"/>
                <w:highlight w:val="none"/>
              </w:rPr>
            </w:pPr>
            <w:r>
              <w:rPr>
                <w:rFonts w:hint="eastAsia" w:hAnsi="宋体" w:cs="宋体"/>
                <w:color w:val="auto"/>
                <w:sz w:val="24"/>
                <w:highlight w:val="none"/>
              </w:rPr>
              <w:t>个</w:t>
            </w:r>
          </w:p>
        </w:tc>
        <w:tc>
          <w:tcPr>
            <w:tcW w:w="956" w:type="dxa"/>
            <w:vAlign w:val="center"/>
          </w:tcPr>
          <w:p w14:paraId="225DA2AF">
            <w:pPr>
              <w:shd w:val="clear"/>
              <w:spacing w:line="400" w:lineRule="exact"/>
              <w:jc w:val="center"/>
              <w:rPr>
                <w:rFonts w:hAnsi="宋体" w:cs="宋体"/>
                <w:color w:val="auto"/>
                <w:sz w:val="24"/>
                <w:highlight w:val="none"/>
              </w:rPr>
            </w:pPr>
            <w:r>
              <w:rPr>
                <w:rFonts w:hint="eastAsia" w:hAnsi="宋体" w:cs="宋体"/>
                <w:color w:val="auto"/>
                <w:sz w:val="24"/>
                <w:highlight w:val="none"/>
              </w:rPr>
              <w:t>3</w:t>
            </w:r>
          </w:p>
        </w:tc>
        <w:tc>
          <w:tcPr>
            <w:tcW w:w="1548" w:type="dxa"/>
            <w:vAlign w:val="center"/>
          </w:tcPr>
          <w:p w14:paraId="08727EA9">
            <w:pPr>
              <w:shd w:val="clear"/>
              <w:spacing w:line="400" w:lineRule="exact"/>
              <w:jc w:val="center"/>
              <w:rPr>
                <w:rFonts w:hAnsi="宋体" w:cs="宋体"/>
                <w:color w:val="auto"/>
                <w:sz w:val="24"/>
                <w:highlight w:val="none"/>
              </w:rPr>
            </w:pPr>
            <w:r>
              <w:rPr>
                <w:rFonts w:hint="eastAsia" w:hAnsi="宋体" w:cs="宋体"/>
                <w:color w:val="auto"/>
                <w:sz w:val="24"/>
                <w:highlight w:val="none"/>
              </w:rPr>
              <w:t>2000.00</w:t>
            </w:r>
          </w:p>
        </w:tc>
        <w:tc>
          <w:tcPr>
            <w:tcW w:w="870" w:type="dxa"/>
            <w:vAlign w:val="center"/>
          </w:tcPr>
          <w:p w14:paraId="5ECE2B3B">
            <w:pPr>
              <w:shd w:val="clear"/>
              <w:spacing w:line="400" w:lineRule="exact"/>
              <w:jc w:val="center"/>
              <w:rPr>
                <w:rFonts w:hAnsi="宋体" w:cs="宋体"/>
                <w:color w:val="auto"/>
                <w:sz w:val="24"/>
                <w:highlight w:val="none"/>
              </w:rPr>
            </w:pPr>
            <w:r>
              <w:rPr>
                <w:rFonts w:hint="eastAsia" w:hAnsi="宋体" w:cs="宋体"/>
                <w:color w:val="auto"/>
                <w:sz w:val="24"/>
                <w:highlight w:val="none"/>
              </w:rPr>
              <w:t>否</w:t>
            </w:r>
          </w:p>
        </w:tc>
      </w:tr>
      <w:tr w14:paraId="396E84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847" w:type="dxa"/>
            <w:vAlign w:val="center"/>
          </w:tcPr>
          <w:p w14:paraId="51818BF7">
            <w:pPr>
              <w:shd w:val="clear"/>
              <w:spacing w:line="400" w:lineRule="exact"/>
              <w:jc w:val="center"/>
              <w:rPr>
                <w:rFonts w:hAnsi="宋体" w:cs="宋体"/>
                <w:color w:val="auto"/>
                <w:sz w:val="24"/>
                <w:highlight w:val="none"/>
              </w:rPr>
            </w:pPr>
            <w:r>
              <w:rPr>
                <w:rFonts w:hint="eastAsia" w:hAnsi="宋体" w:cs="宋体"/>
                <w:color w:val="auto"/>
                <w:sz w:val="24"/>
                <w:highlight w:val="none"/>
              </w:rPr>
              <w:t>3</w:t>
            </w:r>
          </w:p>
        </w:tc>
        <w:tc>
          <w:tcPr>
            <w:tcW w:w="3987" w:type="dxa"/>
            <w:vAlign w:val="center"/>
          </w:tcPr>
          <w:p w14:paraId="178DE838">
            <w:pPr>
              <w:shd w:val="clear"/>
              <w:spacing w:line="400" w:lineRule="exact"/>
              <w:jc w:val="center"/>
              <w:rPr>
                <w:rFonts w:hAnsi="宋体" w:cs="宋体"/>
                <w:color w:val="auto"/>
                <w:sz w:val="24"/>
                <w:highlight w:val="none"/>
              </w:rPr>
            </w:pPr>
            <w:r>
              <w:rPr>
                <w:rFonts w:hint="eastAsia" w:hAnsi="宋体" w:cs="宋体"/>
                <w:color w:val="auto"/>
                <w:sz w:val="24"/>
                <w:highlight w:val="none"/>
              </w:rPr>
              <w:t>4K微单相机</w:t>
            </w:r>
          </w:p>
        </w:tc>
        <w:tc>
          <w:tcPr>
            <w:tcW w:w="989" w:type="dxa"/>
            <w:vAlign w:val="center"/>
          </w:tcPr>
          <w:p w14:paraId="64A1AD71">
            <w:pPr>
              <w:shd w:val="clear"/>
              <w:spacing w:line="400" w:lineRule="exact"/>
              <w:jc w:val="center"/>
              <w:rPr>
                <w:rFonts w:hAnsi="宋体" w:cs="宋体"/>
                <w:color w:val="auto"/>
                <w:sz w:val="24"/>
                <w:highlight w:val="none"/>
              </w:rPr>
            </w:pPr>
            <w:r>
              <w:rPr>
                <w:rFonts w:hint="eastAsia" w:hAnsi="宋体" w:cs="宋体"/>
                <w:color w:val="auto"/>
                <w:sz w:val="24"/>
                <w:highlight w:val="none"/>
              </w:rPr>
              <w:t>套</w:t>
            </w:r>
          </w:p>
        </w:tc>
        <w:tc>
          <w:tcPr>
            <w:tcW w:w="956" w:type="dxa"/>
            <w:vAlign w:val="center"/>
          </w:tcPr>
          <w:p w14:paraId="5F26C0EC">
            <w:pPr>
              <w:shd w:val="clear"/>
              <w:spacing w:line="400" w:lineRule="exact"/>
              <w:jc w:val="center"/>
              <w:rPr>
                <w:rFonts w:hAnsi="宋体" w:cs="宋体"/>
                <w:color w:val="auto"/>
                <w:sz w:val="24"/>
                <w:highlight w:val="none"/>
              </w:rPr>
            </w:pPr>
            <w:r>
              <w:rPr>
                <w:rFonts w:hint="eastAsia" w:hAnsi="宋体" w:cs="宋体"/>
                <w:color w:val="auto"/>
                <w:sz w:val="24"/>
                <w:highlight w:val="none"/>
              </w:rPr>
              <w:t>2</w:t>
            </w:r>
          </w:p>
        </w:tc>
        <w:tc>
          <w:tcPr>
            <w:tcW w:w="1548" w:type="dxa"/>
            <w:vAlign w:val="center"/>
          </w:tcPr>
          <w:p w14:paraId="2E33EBDB">
            <w:pPr>
              <w:shd w:val="clear"/>
              <w:spacing w:line="400" w:lineRule="exact"/>
              <w:jc w:val="center"/>
              <w:rPr>
                <w:rFonts w:hAnsi="宋体" w:cs="宋体"/>
                <w:color w:val="auto"/>
                <w:sz w:val="24"/>
                <w:highlight w:val="none"/>
              </w:rPr>
            </w:pPr>
            <w:r>
              <w:rPr>
                <w:rFonts w:hint="eastAsia" w:hAnsi="宋体" w:cs="宋体"/>
                <w:color w:val="auto"/>
                <w:sz w:val="24"/>
                <w:highlight w:val="none"/>
              </w:rPr>
              <w:t>48000.00</w:t>
            </w:r>
          </w:p>
        </w:tc>
        <w:tc>
          <w:tcPr>
            <w:tcW w:w="870" w:type="dxa"/>
            <w:vAlign w:val="center"/>
          </w:tcPr>
          <w:p w14:paraId="30171F9D">
            <w:pPr>
              <w:shd w:val="clear"/>
              <w:spacing w:line="400" w:lineRule="exact"/>
              <w:jc w:val="center"/>
              <w:rPr>
                <w:rFonts w:hAnsi="宋体" w:cs="宋体"/>
                <w:color w:val="auto"/>
                <w:sz w:val="24"/>
                <w:highlight w:val="none"/>
              </w:rPr>
            </w:pPr>
            <w:r>
              <w:rPr>
                <w:rFonts w:hint="eastAsia" w:hAnsi="宋体" w:cs="宋体"/>
                <w:color w:val="auto"/>
                <w:sz w:val="24"/>
                <w:highlight w:val="none"/>
              </w:rPr>
              <w:t>否</w:t>
            </w:r>
          </w:p>
        </w:tc>
      </w:tr>
      <w:tr w14:paraId="6EBE63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847" w:type="dxa"/>
            <w:vAlign w:val="center"/>
          </w:tcPr>
          <w:p w14:paraId="5268BE81">
            <w:pPr>
              <w:shd w:val="clear"/>
              <w:spacing w:line="400" w:lineRule="exact"/>
              <w:jc w:val="center"/>
              <w:rPr>
                <w:rFonts w:hAnsi="宋体" w:cs="宋体"/>
                <w:color w:val="auto"/>
                <w:sz w:val="24"/>
                <w:highlight w:val="none"/>
              </w:rPr>
            </w:pPr>
            <w:r>
              <w:rPr>
                <w:rFonts w:hint="eastAsia" w:hAnsi="宋体" w:cs="宋体"/>
                <w:color w:val="auto"/>
                <w:sz w:val="24"/>
                <w:highlight w:val="none"/>
              </w:rPr>
              <w:t>4</w:t>
            </w:r>
          </w:p>
        </w:tc>
        <w:tc>
          <w:tcPr>
            <w:tcW w:w="3987" w:type="dxa"/>
            <w:vAlign w:val="center"/>
          </w:tcPr>
          <w:p w14:paraId="1FEB06B2">
            <w:pPr>
              <w:shd w:val="clear"/>
              <w:spacing w:line="400" w:lineRule="exact"/>
              <w:jc w:val="center"/>
              <w:rPr>
                <w:rFonts w:hAnsi="宋体" w:cs="宋体"/>
                <w:color w:val="auto"/>
                <w:sz w:val="24"/>
                <w:highlight w:val="none"/>
              </w:rPr>
            </w:pPr>
            <w:r>
              <w:rPr>
                <w:rFonts w:hint="eastAsia" w:hAnsi="宋体" w:cs="宋体"/>
                <w:color w:val="auto"/>
                <w:sz w:val="24"/>
                <w:highlight w:val="none"/>
              </w:rPr>
              <w:t>手持稳定器</w:t>
            </w:r>
          </w:p>
        </w:tc>
        <w:tc>
          <w:tcPr>
            <w:tcW w:w="989" w:type="dxa"/>
            <w:vAlign w:val="center"/>
          </w:tcPr>
          <w:p w14:paraId="1291623A">
            <w:pPr>
              <w:shd w:val="clear"/>
              <w:spacing w:line="400" w:lineRule="exact"/>
              <w:jc w:val="center"/>
              <w:rPr>
                <w:rFonts w:hAnsi="宋体" w:cs="宋体"/>
                <w:color w:val="auto"/>
                <w:sz w:val="24"/>
                <w:highlight w:val="none"/>
              </w:rPr>
            </w:pPr>
            <w:r>
              <w:rPr>
                <w:rFonts w:hint="eastAsia" w:hAnsi="宋体" w:cs="宋体"/>
                <w:color w:val="auto"/>
                <w:sz w:val="24"/>
                <w:highlight w:val="none"/>
              </w:rPr>
              <w:t>个</w:t>
            </w:r>
          </w:p>
        </w:tc>
        <w:tc>
          <w:tcPr>
            <w:tcW w:w="956" w:type="dxa"/>
            <w:vAlign w:val="center"/>
          </w:tcPr>
          <w:p w14:paraId="4DF2190B">
            <w:pPr>
              <w:shd w:val="clear"/>
              <w:spacing w:line="400" w:lineRule="exact"/>
              <w:jc w:val="center"/>
              <w:rPr>
                <w:rFonts w:hAnsi="宋体" w:cs="宋体"/>
                <w:color w:val="auto"/>
                <w:sz w:val="24"/>
                <w:highlight w:val="none"/>
              </w:rPr>
            </w:pPr>
            <w:r>
              <w:rPr>
                <w:rFonts w:hint="eastAsia" w:hAnsi="宋体" w:cs="宋体"/>
                <w:color w:val="auto"/>
                <w:sz w:val="24"/>
                <w:highlight w:val="none"/>
              </w:rPr>
              <w:t>2</w:t>
            </w:r>
          </w:p>
        </w:tc>
        <w:tc>
          <w:tcPr>
            <w:tcW w:w="1548" w:type="dxa"/>
            <w:vAlign w:val="center"/>
          </w:tcPr>
          <w:p w14:paraId="5040BC67">
            <w:pPr>
              <w:shd w:val="clear"/>
              <w:spacing w:line="400" w:lineRule="exact"/>
              <w:jc w:val="center"/>
              <w:rPr>
                <w:rFonts w:hAnsi="宋体" w:cs="宋体"/>
                <w:color w:val="auto"/>
                <w:sz w:val="24"/>
                <w:highlight w:val="none"/>
              </w:rPr>
            </w:pPr>
            <w:r>
              <w:rPr>
                <w:rFonts w:hint="eastAsia" w:hAnsi="宋体" w:cs="宋体"/>
                <w:color w:val="auto"/>
                <w:sz w:val="24"/>
                <w:highlight w:val="none"/>
              </w:rPr>
              <w:t>3650.00</w:t>
            </w:r>
          </w:p>
        </w:tc>
        <w:tc>
          <w:tcPr>
            <w:tcW w:w="870" w:type="dxa"/>
            <w:vAlign w:val="center"/>
          </w:tcPr>
          <w:p w14:paraId="58538D6F">
            <w:pPr>
              <w:shd w:val="clear"/>
              <w:spacing w:line="400" w:lineRule="exact"/>
              <w:jc w:val="center"/>
              <w:rPr>
                <w:rFonts w:hAnsi="宋体" w:cs="宋体"/>
                <w:color w:val="auto"/>
                <w:sz w:val="24"/>
                <w:highlight w:val="none"/>
              </w:rPr>
            </w:pPr>
            <w:r>
              <w:rPr>
                <w:rFonts w:hint="eastAsia" w:hAnsi="宋体" w:cs="宋体"/>
                <w:color w:val="auto"/>
                <w:sz w:val="24"/>
                <w:highlight w:val="none"/>
              </w:rPr>
              <w:t>否</w:t>
            </w:r>
          </w:p>
        </w:tc>
      </w:tr>
      <w:tr w14:paraId="518BBB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847" w:type="dxa"/>
            <w:vAlign w:val="center"/>
          </w:tcPr>
          <w:p w14:paraId="001EE13E">
            <w:pPr>
              <w:shd w:val="clear"/>
              <w:spacing w:line="400" w:lineRule="exact"/>
              <w:jc w:val="center"/>
              <w:rPr>
                <w:rFonts w:hAnsi="宋体" w:cs="宋体"/>
                <w:color w:val="auto"/>
                <w:sz w:val="24"/>
                <w:highlight w:val="none"/>
              </w:rPr>
            </w:pPr>
            <w:r>
              <w:rPr>
                <w:rFonts w:hint="eastAsia" w:hAnsi="宋体" w:cs="宋体"/>
                <w:color w:val="auto"/>
                <w:sz w:val="24"/>
                <w:highlight w:val="none"/>
              </w:rPr>
              <w:t>5</w:t>
            </w:r>
          </w:p>
        </w:tc>
        <w:tc>
          <w:tcPr>
            <w:tcW w:w="3987" w:type="dxa"/>
            <w:vAlign w:val="center"/>
          </w:tcPr>
          <w:p w14:paraId="49762678">
            <w:pPr>
              <w:shd w:val="clear"/>
              <w:spacing w:line="400" w:lineRule="exact"/>
              <w:jc w:val="center"/>
              <w:rPr>
                <w:rFonts w:hAnsi="宋体" w:cs="宋体"/>
                <w:color w:val="auto"/>
                <w:sz w:val="24"/>
                <w:highlight w:val="none"/>
              </w:rPr>
            </w:pPr>
            <w:r>
              <w:rPr>
                <w:rFonts w:hint="eastAsia" w:hAnsi="宋体" w:cs="宋体"/>
                <w:color w:val="auto"/>
                <w:sz w:val="24"/>
                <w:highlight w:val="none"/>
              </w:rPr>
              <w:t>无人机</w:t>
            </w:r>
          </w:p>
        </w:tc>
        <w:tc>
          <w:tcPr>
            <w:tcW w:w="989" w:type="dxa"/>
            <w:vAlign w:val="center"/>
          </w:tcPr>
          <w:p w14:paraId="32F36E4C">
            <w:pPr>
              <w:shd w:val="clear"/>
              <w:spacing w:line="400" w:lineRule="exact"/>
              <w:jc w:val="center"/>
              <w:rPr>
                <w:rFonts w:hAnsi="宋体" w:cs="宋体"/>
                <w:color w:val="auto"/>
                <w:sz w:val="24"/>
                <w:highlight w:val="none"/>
              </w:rPr>
            </w:pPr>
            <w:r>
              <w:rPr>
                <w:rFonts w:hint="eastAsia" w:hAnsi="宋体" w:cs="宋体"/>
                <w:color w:val="auto"/>
                <w:sz w:val="24"/>
                <w:highlight w:val="none"/>
              </w:rPr>
              <w:t>套</w:t>
            </w:r>
          </w:p>
        </w:tc>
        <w:tc>
          <w:tcPr>
            <w:tcW w:w="956" w:type="dxa"/>
            <w:vAlign w:val="center"/>
          </w:tcPr>
          <w:p w14:paraId="6D6BF332">
            <w:pPr>
              <w:shd w:val="clear"/>
              <w:spacing w:line="400" w:lineRule="exact"/>
              <w:jc w:val="center"/>
              <w:rPr>
                <w:rFonts w:hAnsi="宋体" w:cs="宋体"/>
                <w:color w:val="auto"/>
                <w:sz w:val="24"/>
                <w:highlight w:val="none"/>
              </w:rPr>
            </w:pPr>
            <w:r>
              <w:rPr>
                <w:rFonts w:hint="eastAsia" w:hAnsi="宋体" w:cs="宋体"/>
                <w:color w:val="auto"/>
                <w:sz w:val="24"/>
                <w:highlight w:val="none"/>
              </w:rPr>
              <w:t>1</w:t>
            </w:r>
          </w:p>
        </w:tc>
        <w:tc>
          <w:tcPr>
            <w:tcW w:w="1548" w:type="dxa"/>
            <w:vAlign w:val="center"/>
          </w:tcPr>
          <w:p w14:paraId="5DFC9E62">
            <w:pPr>
              <w:shd w:val="clear"/>
              <w:spacing w:line="400" w:lineRule="exact"/>
              <w:jc w:val="center"/>
              <w:rPr>
                <w:rFonts w:hAnsi="宋体" w:cs="宋体"/>
                <w:color w:val="auto"/>
                <w:sz w:val="24"/>
                <w:highlight w:val="none"/>
              </w:rPr>
            </w:pPr>
            <w:r>
              <w:rPr>
                <w:rFonts w:hint="eastAsia" w:hAnsi="宋体" w:cs="宋体"/>
                <w:color w:val="auto"/>
                <w:sz w:val="24"/>
                <w:highlight w:val="none"/>
              </w:rPr>
              <w:t>25880.00</w:t>
            </w:r>
          </w:p>
        </w:tc>
        <w:tc>
          <w:tcPr>
            <w:tcW w:w="870" w:type="dxa"/>
            <w:vAlign w:val="center"/>
          </w:tcPr>
          <w:p w14:paraId="42BCC6DE">
            <w:pPr>
              <w:shd w:val="clear"/>
              <w:spacing w:line="400" w:lineRule="exact"/>
              <w:jc w:val="center"/>
              <w:rPr>
                <w:rFonts w:hAnsi="宋体" w:cs="宋体"/>
                <w:color w:val="auto"/>
                <w:sz w:val="24"/>
                <w:highlight w:val="none"/>
              </w:rPr>
            </w:pPr>
            <w:r>
              <w:rPr>
                <w:rFonts w:hint="eastAsia" w:hAnsi="宋体" w:cs="宋体"/>
                <w:color w:val="auto"/>
                <w:sz w:val="24"/>
                <w:highlight w:val="none"/>
              </w:rPr>
              <w:t>否</w:t>
            </w:r>
          </w:p>
        </w:tc>
      </w:tr>
      <w:tr w14:paraId="762252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847" w:type="dxa"/>
            <w:vAlign w:val="center"/>
          </w:tcPr>
          <w:p w14:paraId="3CB8093E">
            <w:pPr>
              <w:shd w:val="clear"/>
              <w:spacing w:line="400" w:lineRule="exact"/>
              <w:jc w:val="center"/>
              <w:rPr>
                <w:rFonts w:hAnsi="宋体" w:cs="宋体"/>
                <w:color w:val="auto"/>
                <w:sz w:val="24"/>
                <w:highlight w:val="none"/>
              </w:rPr>
            </w:pPr>
            <w:r>
              <w:rPr>
                <w:rFonts w:hint="eastAsia" w:hAnsi="宋体" w:cs="宋体"/>
                <w:color w:val="auto"/>
                <w:sz w:val="24"/>
                <w:highlight w:val="none"/>
              </w:rPr>
              <w:t>6</w:t>
            </w:r>
          </w:p>
        </w:tc>
        <w:tc>
          <w:tcPr>
            <w:tcW w:w="3987" w:type="dxa"/>
            <w:vAlign w:val="center"/>
          </w:tcPr>
          <w:p w14:paraId="7F8ABAA5">
            <w:pPr>
              <w:shd w:val="clear"/>
              <w:spacing w:line="400" w:lineRule="exact"/>
              <w:jc w:val="center"/>
              <w:rPr>
                <w:rFonts w:hAnsi="宋体" w:cs="宋体"/>
                <w:color w:val="auto"/>
                <w:sz w:val="24"/>
                <w:highlight w:val="none"/>
              </w:rPr>
            </w:pPr>
            <w:r>
              <w:rPr>
                <w:rFonts w:hint="eastAsia" w:hAnsi="宋体" w:cs="宋体"/>
                <w:color w:val="auto"/>
                <w:sz w:val="24"/>
                <w:highlight w:val="none"/>
              </w:rPr>
              <w:t>返看电视机</w:t>
            </w:r>
          </w:p>
        </w:tc>
        <w:tc>
          <w:tcPr>
            <w:tcW w:w="989" w:type="dxa"/>
            <w:vAlign w:val="center"/>
          </w:tcPr>
          <w:p w14:paraId="6ED4DECA">
            <w:pPr>
              <w:shd w:val="clear"/>
              <w:spacing w:line="400" w:lineRule="exact"/>
              <w:jc w:val="center"/>
              <w:rPr>
                <w:rFonts w:hAnsi="宋体" w:cs="宋体"/>
                <w:color w:val="auto"/>
                <w:sz w:val="24"/>
                <w:highlight w:val="none"/>
              </w:rPr>
            </w:pPr>
            <w:r>
              <w:rPr>
                <w:rFonts w:hint="eastAsia" w:hAnsi="宋体" w:cs="宋体"/>
                <w:color w:val="auto"/>
                <w:sz w:val="24"/>
                <w:highlight w:val="none"/>
              </w:rPr>
              <w:t>台</w:t>
            </w:r>
          </w:p>
        </w:tc>
        <w:tc>
          <w:tcPr>
            <w:tcW w:w="956" w:type="dxa"/>
            <w:vAlign w:val="center"/>
          </w:tcPr>
          <w:p w14:paraId="4DB128FF">
            <w:pPr>
              <w:shd w:val="clear"/>
              <w:spacing w:line="400" w:lineRule="exact"/>
              <w:jc w:val="center"/>
              <w:rPr>
                <w:rFonts w:hAnsi="宋体" w:cs="宋体"/>
                <w:color w:val="auto"/>
                <w:sz w:val="24"/>
                <w:highlight w:val="none"/>
              </w:rPr>
            </w:pPr>
            <w:r>
              <w:rPr>
                <w:rFonts w:hint="eastAsia" w:hAnsi="宋体" w:cs="宋体"/>
                <w:color w:val="auto"/>
                <w:sz w:val="24"/>
                <w:highlight w:val="none"/>
              </w:rPr>
              <w:t>1</w:t>
            </w:r>
          </w:p>
        </w:tc>
        <w:tc>
          <w:tcPr>
            <w:tcW w:w="1548" w:type="dxa"/>
            <w:vAlign w:val="center"/>
          </w:tcPr>
          <w:p w14:paraId="0A0F96FD">
            <w:pPr>
              <w:shd w:val="clear"/>
              <w:spacing w:line="400" w:lineRule="exact"/>
              <w:jc w:val="center"/>
              <w:rPr>
                <w:rFonts w:hAnsi="宋体" w:cs="宋体"/>
                <w:color w:val="auto"/>
                <w:sz w:val="24"/>
                <w:highlight w:val="none"/>
              </w:rPr>
            </w:pPr>
            <w:r>
              <w:rPr>
                <w:rFonts w:hint="eastAsia" w:hAnsi="宋体" w:cs="宋体"/>
                <w:color w:val="auto"/>
                <w:sz w:val="24"/>
                <w:highlight w:val="none"/>
              </w:rPr>
              <w:t>5390.00</w:t>
            </w:r>
          </w:p>
        </w:tc>
        <w:tc>
          <w:tcPr>
            <w:tcW w:w="870" w:type="dxa"/>
            <w:vAlign w:val="center"/>
          </w:tcPr>
          <w:p w14:paraId="30C18564">
            <w:pPr>
              <w:shd w:val="clear"/>
              <w:spacing w:line="400" w:lineRule="exact"/>
              <w:jc w:val="center"/>
              <w:rPr>
                <w:rFonts w:hAnsi="宋体" w:cs="宋体"/>
                <w:color w:val="auto"/>
                <w:sz w:val="24"/>
                <w:highlight w:val="none"/>
              </w:rPr>
            </w:pPr>
            <w:r>
              <w:rPr>
                <w:rFonts w:hint="eastAsia" w:hAnsi="宋体" w:cs="宋体"/>
                <w:color w:val="auto"/>
                <w:sz w:val="24"/>
                <w:highlight w:val="none"/>
              </w:rPr>
              <w:t>否</w:t>
            </w:r>
          </w:p>
        </w:tc>
      </w:tr>
      <w:tr w14:paraId="032975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847" w:type="dxa"/>
            <w:vAlign w:val="center"/>
          </w:tcPr>
          <w:p w14:paraId="15F5E98A">
            <w:pPr>
              <w:shd w:val="clear"/>
              <w:spacing w:line="400" w:lineRule="exact"/>
              <w:jc w:val="center"/>
              <w:rPr>
                <w:rFonts w:hint="eastAsia" w:ascii="宋体" w:hAnsi="宋体" w:eastAsia="宋体" w:cs="宋体"/>
                <w:color w:val="auto"/>
                <w:sz w:val="24"/>
                <w:highlight w:val="none"/>
                <w:lang w:val="en-US" w:eastAsia="zh-CN" w:bidi="ar-SA"/>
              </w:rPr>
            </w:pPr>
            <w:r>
              <w:rPr>
                <w:rFonts w:hint="eastAsia" w:ascii="宋体" w:hAnsi="宋体" w:eastAsia="宋体" w:cs="宋体"/>
                <w:color w:val="auto"/>
                <w:sz w:val="24"/>
                <w:highlight w:val="none"/>
              </w:rPr>
              <w:t>7</w:t>
            </w:r>
          </w:p>
        </w:tc>
        <w:tc>
          <w:tcPr>
            <w:tcW w:w="3987" w:type="dxa"/>
            <w:vAlign w:val="center"/>
          </w:tcPr>
          <w:p w14:paraId="368C550C">
            <w:pPr>
              <w:shd w:val="clear"/>
              <w:spacing w:line="400" w:lineRule="exact"/>
              <w:jc w:val="center"/>
              <w:rPr>
                <w:rFonts w:hint="eastAsia" w:ascii="宋体" w:hAnsi="宋体" w:eastAsia="宋体" w:cs="宋体"/>
                <w:color w:val="auto"/>
                <w:sz w:val="24"/>
                <w:highlight w:val="none"/>
                <w:lang w:val="en-US" w:eastAsia="zh-CN" w:bidi="ar-SA"/>
              </w:rPr>
            </w:pPr>
            <w:r>
              <w:rPr>
                <w:rFonts w:hint="eastAsia" w:ascii="宋体" w:hAnsi="宋体" w:eastAsia="宋体" w:cs="宋体"/>
                <w:color w:val="auto"/>
                <w:sz w:val="24"/>
                <w:highlight w:val="none"/>
              </w:rPr>
              <w:t>提词器</w:t>
            </w:r>
          </w:p>
        </w:tc>
        <w:tc>
          <w:tcPr>
            <w:tcW w:w="989" w:type="dxa"/>
            <w:vAlign w:val="center"/>
          </w:tcPr>
          <w:p w14:paraId="3391146B">
            <w:pPr>
              <w:shd w:val="clear"/>
              <w:spacing w:line="400" w:lineRule="exact"/>
              <w:jc w:val="center"/>
              <w:rPr>
                <w:rFonts w:hint="eastAsia" w:ascii="宋体" w:hAnsi="宋体" w:eastAsia="宋体" w:cs="宋体"/>
                <w:color w:val="auto"/>
                <w:sz w:val="24"/>
                <w:highlight w:val="none"/>
                <w:lang w:val="en-US" w:eastAsia="zh-CN" w:bidi="ar-SA"/>
              </w:rPr>
            </w:pPr>
            <w:r>
              <w:rPr>
                <w:rFonts w:hint="eastAsia" w:ascii="宋体" w:hAnsi="宋体" w:eastAsia="宋体" w:cs="宋体"/>
                <w:color w:val="auto"/>
                <w:sz w:val="24"/>
                <w:highlight w:val="none"/>
              </w:rPr>
              <w:t>台</w:t>
            </w:r>
          </w:p>
        </w:tc>
        <w:tc>
          <w:tcPr>
            <w:tcW w:w="956" w:type="dxa"/>
            <w:vAlign w:val="center"/>
          </w:tcPr>
          <w:p w14:paraId="5D40EBEF">
            <w:pPr>
              <w:shd w:val="clear"/>
              <w:spacing w:line="400" w:lineRule="exact"/>
              <w:jc w:val="center"/>
              <w:rPr>
                <w:rFonts w:hint="eastAsia" w:ascii="宋体" w:hAnsi="宋体" w:eastAsia="宋体" w:cs="宋体"/>
                <w:color w:val="auto"/>
                <w:sz w:val="24"/>
                <w:highlight w:val="none"/>
                <w:lang w:val="en-US" w:eastAsia="zh-CN" w:bidi="ar-SA"/>
              </w:rPr>
            </w:pPr>
            <w:r>
              <w:rPr>
                <w:rFonts w:hint="eastAsia" w:ascii="宋体" w:hAnsi="宋体" w:eastAsia="宋体" w:cs="宋体"/>
                <w:color w:val="auto"/>
                <w:sz w:val="24"/>
                <w:highlight w:val="none"/>
              </w:rPr>
              <w:t>1</w:t>
            </w:r>
          </w:p>
        </w:tc>
        <w:tc>
          <w:tcPr>
            <w:tcW w:w="1548" w:type="dxa"/>
            <w:vAlign w:val="center"/>
          </w:tcPr>
          <w:p w14:paraId="5067D09A">
            <w:pPr>
              <w:shd w:val="clear"/>
              <w:spacing w:line="400" w:lineRule="exact"/>
              <w:jc w:val="center"/>
              <w:rPr>
                <w:rFonts w:hint="eastAsia" w:ascii="宋体" w:hAnsi="宋体" w:eastAsia="宋体" w:cs="宋体"/>
                <w:color w:val="auto"/>
                <w:sz w:val="24"/>
                <w:highlight w:val="none"/>
                <w:lang w:val="en-US" w:eastAsia="zh-CN" w:bidi="ar-SA"/>
              </w:rPr>
            </w:pPr>
            <w:r>
              <w:rPr>
                <w:rFonts w:hint="eastAsia" w:ascii="宋体" w:hAnsi="宋体" w:eastAsia="宋体" w:cs="宋体"/>
                <w:color w:val="auto"/>
                <w:sz w:val="24"/>
                <w:highlight w:val="none"/>
              </w:rPr>
              <w:t>13000.00</w:t>
            </w:r>
          </w:p>
        </w:tc>
        <w:tc>
          <w:tcPr>
            <w:tcW w:w="870" w:type="dxa"/>
            <w:vAlign w:val="center"/>
          </w:tcPr>
          <w:p w14:paraId="11922F61">
            <w:pPr>
              <w:shd w:val="clear"/>
              <w:spacing w:line="400" w:lineRule="exact"/>
              <w:jc w:val="center"/>
              <w:rPr>
                <w:rFonts w:hint="eastAsia" w:hAnsi="宋体" w:cs="宋体"/>
                <w:color w:val="auto"/>
                <w:sz w:val="24"/>
                <w:highlight w:val="none"/>
              </w:rPr>
            </w:pPr>
            <w:r>
              <w:rPr>
                <w:rFonts w:hint="eastAsia" w:hAnsi="宋体" w:cs="宋体"/>
                <w:color w:val="auto"/>
                <w:sz w:val="24"/>
                <w:highlight w:val="none"/>
              </w:rPr>
              <w:t>否</w:t>
            </w:r>
          </w:p>
        </w:tc>
      </w:tr>
      <w:tr w14:paraId="06D83B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847" w:type="dxa"/>
            <w:vAlign w:val="center"/>
          </w:tcPr>
          <w:p w14:paraId="25F99F03">
            <w:pPr>
              <w:shd w:val="clear"/>
              <w:spacing w:line="400" w:lineRule="exact"/>
              <w:jc w:val="center"/>
              <w:rPr>
                <w:rFonts w:ascii="宋体" w:hAnsi="宋体" w:eastAsia="宋体" w:cs="宋体"/>
                <w:color w:val="auto"/>
                <w:sz w:val="24"/>
                <w:highlight w:val="none"/>
                <w:lang w:val="en-US" w:eastAsia="zh-CN" w:bidi="ar-SA"/>
              </w:rPr>
            </w:pPr>
            <w:r>
              <w:rPr>
                <w:rFonts w:hint="eastAsia" w:ascii="宋体" w:hAnsi="宋体" w:eastAsia="宋体" w:cs="宋体"/>
                <w:color w:val="auto"/>
                <w:sz w:val="24"/>
                <w:highlight w:val="none"/>
              </w:rPr>
              <w:t>8</w:t>
            </w:r>
          </w:p>
        </w:tc>
        <w:tc>
          <w:tcPr>
            <w:tcW w:w="3987" w:type="dxa"/>
            <w:vAlign w:val="center"/>
          </w:tcPr>
          <w:p w14:paraId="27305AFC">
            <w:pPr>
              <w:shd w:val="clear"/>
              <w:spacing w:line="400" w:lineRule="exact"/>
              <w:jc w:val="center"/>
              <w:rPr>
                <w:rFonts w:hint="eastAsia" w:ascii="宋体" w:hAnsi="宋体" w:eastAsia="宋体" w:cs="宋体"/>
                <w:color w:val="auto"/>
                <w:sz w:val="24"/>
                <w:highlight w:val="none"/>
                <w:lang w:val="en-US" w:eastAsia="zh-CN" w:bidi="ar-SA"/>
              </w:rPr>
            </w:pPr>
            <w:r>
              <w:rPr>
                <w:rFonts w:hint="eastAsia" w:ascii="宋体" w:hAnsi="宋体" w:eastAsia="宋体" w:cs="宋体"/>
                <w:color w:val="auto"/>
                <w:sz w:val="24"/>
                <w:highlight w:val="none"/>
              </w:rPr>
              <w:t>便携式移动导播台</w:t>
            </w:r>
          </w:p>
        </w:tc>
        <w:tc>
          <w:tcPr>
            <w:tcW w:w="989" w:type="dxa"/>
            <w:vAlign w:val="center"/>
          </w:tcPr>
          <w:p w14:paraId="5B3FB455">
            <w:pPr>
              <w:shd w:val="clear"/>
              <w:spacing w:line="400" w:lineRule="exact"/>
              <w:jc w:val="center"/>
              <w:rPr>
                <w:rFonts w:hint="eastAsia" w:ascii="宋体" w:hAnsi="宋体" w:eastAsia="宋体" w:cs="宋体"/>
                <w:color w:val="auto"/>
                <w:sz w:val="24"/>
                <w:highlight w:val="none"/>
                <w:lang w:val="en-US" w:eastAsia="zh-CN" w:bidi="ar-SA"/>
              </w:rPr>
            </w:pPr>
            <w:r>
              <w:rPr>
                <w:rFonts w:hint="eastAsia" w:ascii="宋体" w:hAnsi="宋体" w:eastAsia="宋体" w:cs="宋体"/>
                <w:color w:val="auto"/>
                <w:sz w:val="24"/>
                <w:highlight w:val="none"/>
              </w:rPr>
              <w:t>台</w:t>
            </w:r>
          </w:p>
        </w:tc>
        <w:tc>
          <w:tcPr>
            <w:tcW w:w="956" w:type="dxa"/>
            <w:vAlign w:val="center"/>
          </w:tcPr>
          <w:p w14:paraId="00F53EE6">
            <w:pPr>
              <w:shd w:val="clear"/>
              <w:spacing w:line="400" w:lineRule="exact"/>
              <w:jc w:val="center"/>
              <w:rPr>
                <w:rFonts w:hint="eastAsia" w:ascii="宋体" w:hAnsi="宋体" w:eastAsia="宋体" w:cs="宋体"/>
                <w:color w:val="auto"/>
                <w:sz w:val="24"/>
                <w:highlight w:val="none"/>
                <w:lang w:val="en-US" w:eastAsia="zh-CN" w:bidi="ar-SA"/>
              </w:rPr>
            </w:pPr>
            <w:r>
              <w:rPr>
                <w:rFonts w:hint="eastAsia" w:ascii="宋体" w:hAnsi="宋体" w:eastAsia="宋体" w:cs="宋体"/>
                <w:color w:val="auto"/>
                <w:sz w:val="24"/>
                <w:highlight w:val="none"/>
              </w:rPr>
              <w:t>1</w:t>
            </w:r>
          </w:p>
        </w:tc>
        <w:tc>
          <w:tcPr>
            <w:tcW w:w="1548" w:type="dxa"/>
            <w:vAlign w:val="center"/>
          </w:tcPr>
          <w:p w14:paraId="601B9421">
            <w:pPr>
              <w:shd w:val="clear"/>
              <w:spacing w:line="400" w:lineRule="exact"/>
              <w:jc w:val="center"/>
              <w:rPr>
                <w:rFonts w:hint="eastAsia" w:ascii="宋体" w:hAnsi="宋体" w:eastAsia="宋体" w:cs="宋体"/>
                <w:color w:val="auto"/>
                <w:sz w:val="24"/>
                <w:highlight w:val="none"/>
                <w:lang w:val="en-US" w:eastAsia="zh-CN" w:bidi="ar-SA"/>
              </w:rPr>
            </w:pPr>
            <w:r>
              <w:rPr>
                <w:rFonts w:hint="eastAsia" w:ascii="宋体" w:hAnsi="宋体" w:eastAsia="宋体" w:cs="宋体"/>
                <w:color w:val="auto"/>
                <w:sz w:val="24"/>
                <w:highlight w:val="none"/>
              </w:rPr>
              <w:t>15000.00</w:t>
            </w:r>
          </w:p>
        </w:tc>
        <w:tc>
          <w:tcPr>
            <w:tcW w:w="870" w:type="dxa"/>
            <w:vAlign w:val="center"/>
          </w:tcPr>
          <w:p w14:paraId="4A0CBAD2">
            <w:pPr>
              <w:shd w:val="clear"/>
              <w:spacing w:line="400" w:lineRule="exact"/>
              <w:jc w:val="center"/>
              <w:rPr>
                <w:rFonts w:hint="eastAsia" w:hAnsi="宋体" w:cs="宋体"/>
                <w:color w:val="auto"/>
                <w:sz w:val="24"/>
                <w:highlight w:val="none"/>
              </w:rPr>
            </w:pPr>
            <w:r>
              <w:rPr>
                <w:rFonts w:hint="eastAsia" w:hAnsi="宋体" w:cs="宋体"/>
                <w:color w:val="auto"/>
                <w:sz w:val="24"/>
                <w:highlight w:val="none"/>
              </w:rPr>
              <w:t>否</w:t>
            </w:r>
          </w:p>
        </w:tc>
      </w:tr>
      <w:tr w14:paraId="36DEF6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847" w:type="dxa"/>
            <w:vAlign w:val="center"/>
          </w:tcPr>
          <w:p w14:paraId="6251DA79">
            <w:pPr>
              <w:shd w:val="clear"/>
              <w:spacing w:line="400" w:lineRule="exact"/>
              <w:jc w:val="center"/>
              <w:rPr>
                <w:rFonts w:ascii="宋体" w:hAnsi="宋体" w:eastAsia="宋体" w:cs="宋体"/>
                <w:color w:val="auto"/>
                <w:sz w:val="24"/>
                <w:highlight w:val="none"/>
                <w:lang w:val="en-US" w:eastAsia="zh-CN" w:bidi="ar-SA"/>
              </w:rPr>
            </w:pPr>
            <w:r>
              <w:rPr>
                <w:rFonts w:hint="eastAsia" w:hAnsi="宋体" w:cs="宋体"/>
                <w:color w:val="auto"/>
                <w:sz w:val="24"/>
                <w:highlight w:val="none"/>
              </w:rPr>
              <w:t>9</w:t>
            </w:r>
          </w:p>
        </w:tc>
        <w:tc>
          <w:tcPr>
            <w:tcW w:w="3987" w:type="dxa"/>
            <w:vAlign w:val="center"/>
          </w:tcPr>
          <w:p w14:paraId="2A46E3F1">
            <w:pPr>
              <w:shd w:val="clear"/>
              <w:spacing w:line="400" w:lineRule="exact"/>
              <w:jc w:val="center"/>
              <w:rPr>
                <w:rFonts w:hAnsi="宋体" w:cs="宋体"/>
                <w:color w:val="auto"/>
                <w:sz w:val="24"/>
                <w:highlight w:val="none"/>
              </w:rPr>
            </w:pPr>
            <w:r>
              <w:rPr>
                <w:rFonts w:hint="eastAsia" w:hAnsi="宋体" w:cs="宋体"/>
                <w:color w:val="auto"/>
                <w:sz w:val="24"/>
                <w:highlight w:val="none"/>
              </w:rPr>
              <w:t>绞盘带线材（电源、信号等）</w:t>
            </w:r>
          </w:p>
        </w:tc>
        <w:tc>
          <w:tcPr>
            <w:tcW w:w="989" w:type="dxa"/>
            <w:vAlign w:val="center"/>
          </w:tcPr>
          <w:p w14:paraId="1165D8CE">
            <w:pPr>
              <w:shd w:val="clear"/>
              <w:spacing w:line="400" w:lineRule="exact"/>
              <w:jc w:val="center"/>
              <w:rPr>
                <w:rFonts w:hAnsi="宋体" w:cs="宋体"/>
                <w:color w:val="auto"/>
                <w:sz w:val="24"/>
                <w:highlight w:val="none"/>
              </w:rPr>
            </w:pPr>
            <w:r>
              <w:rPr>
                <w:rFonts w:hint="eastAsia" w:hAnsi="宋体" w:cs="宋体"/>
                <w:color w:val="auto"/>
                <w:sz w:val="24"/>
                <w:highlight w:val="none"/>
              </w:rPr>
              <w:t>套</w:t>
            </w:r>
          </w:p>
        </w:tc>
        <w:tc>
          <w:tcPr>
            <w:tcW w:w="956" w:type="dxa"/>
            <w:vAlign w:val="center"/>
          </w:tcPr>
          <w:p w14:paraId="45870A6C">
            <w:pPr>
              <w:shd w:val="clear"/>
              <w:spacing w:line="400" w:lineRule="exact"/>
              <w:jc w:val="center"/>
              <w:rPr>
                <w:rFonts w:hAnsi="宋体" w:cs="宋体"/>
                <w:color w:val="auto"/>
                <w:sz w:val="24"/>
                <w:highlight w:val="none"/>
              </w:rPr>
            </w:pPr>
            <w:r>
              <w:rPr>
                <w:rFonts w:hint="eastAsia" w:hAnsi="宋体" w:cs="宋体"/>
                <w:color w:val="auto"/>
                <w:sz w:val="24"/>
                <w:highlight w:val="none"/>
              </w:rPr>
              <w:t>3</w:t>
            </w:r>
          </w:p>
        </w:tc>
        <w:tc>
          <w:tcPr>
            <w:tcW w:w="1548" w:type="dxa"/>
            <w:vAlign w:val="center"/>
          </w:tcPr>
          <w:p w14:paraId="008EFD48">
            <w:pPr>
              <w:shd w:val="clear"/>
              <w:spacing w:line="400" w:lineRule="exact"/>
              <w:jc w:val="center"/>
              <w:rPr>
                <w:rFonts w:hAnsi="宋体" w:cs="宋体"/>
                <w:color w:val="auto"/>
                <w:sz w:val="24"/>
                <w:highlight w:val="none"/>
              </w:rPr>
            </w:pPr>
            <w:r>
              <w:rPr>
                <w:rFonts w:hint="eastAsia" w:hAnsi="宋体" w:cs="宋体"/>
                <w:color w:val="auto"/>
                <w:sz w:val="24"/>
                <w:highlight w:val="none"/>
              </w:rPr>
              <w:t>5000.00</w:t>
            </w:r>
          </w:p>
        </w:tc>
        <w:tc>
          <w:tcPr>
            <w:tcW w:w="870" w:type="dxa"/>
            <w:vAlign w:val="center"/>
          </w:tcPr>
          <w:p w14:paraId="782A57C5">
            <w:pPr>
              <w:shd w:val="clear"/>
              <w:spacing w:line="400" w:lineRule="exact"/>
              <w:jc w:val="center"/>
              <w:rPr>
                <w:rFonts w:hAnsi="宋体" w:cs="宋体"/>
                <w:color w:val="auto"/>
                <w:sz w:val="24"/>
                <w:highlight w:val="none"/>
              </w:rPr>
            </w:pPr>
            <w:r>
              <w:rPr>
                <w:rFonts w:hint="eastAsia" w:hAnsi="宋体" w:cs="宋体"/>
                <w:color w:val="auto"/>
                <w:sz w:val="24"/>
                <w:highlight w:val="none"/>
              </w:rPr>
              <w:t>否</w:t>
            </w:r>
          </w:p>
        </w:tc>
      </w:tr>
      <w:tr w14:paraId="5C45A6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847" w:type="dxa"/>
            <w:vAlign w:val="center"/>
          </w:tcPr>
          <w:p w14:paraId="57BC287E">
            <w:pPr>
              <w:shd w:val="clear"/>
              <w:spacing w:line="400" w:lineRule="exact"/>
              <w:jc w:val="center"/>
              <w:rPr>
                <w:rFonts w:ascii="宋体" w:hAnsi="宋体" w:eastAsia="宋体" w:cs="宋体"/>
                <w:color w:val="auto"/>
                <w:sz w:val="24"/>
                <w:highlight w:val="none"/>
                <w:lang w:val="en-US" w:eastAsia="zh-CN" w:bidi="ar-SA"/>
              </w:rPr>
            </w:pPr>
            <w:r>
              <w:rPr>
                <w:rFonts w:hint="eastAsia" w:hAnsi="宋体" w:cs="宋体"/>
                <w:color w:val="auto"/>
                <w:sz w:val="24"/>
                <w:highlight w:val="none"/>
              </w:rPr>
              <w:t>10</w:t>
            </w:r>
          </w:p>
        </w:tc>
        <w:tc>
          <w:tcPr>
            <w:tcW w:w="3987" w:type="dxa"/>
            <w:vAlign w:val="center"/>
          </w:tcPr>
          <w:p w14:paraId="5EF67D99">
            <w:pPr>
              <w:shd w:val="clear"/>
              <w:spacing w:line="400" w:lineRule="exact"/>
              <w:jc w:val="center"/>
              <w:rPr>
                <w:rFonts w:hAnsi="宋体" w:cs="宋体"/>
                <w:color w:val="auto"/>
                <w:sz w:val="24"/>
                <w:highlight w:val="none"/>
              </w:rPr>
            </w:pPr>
            <w:r>
              <w:rPr>
                <w:rFonts w:hint="eastAsia" w:hAnsi="宋体" w:cs="宋体"/>
                <w:color w:val="auto"/>
                <w:sz w:val="24"/>
                <w:highlight w:val="none"/>
              </w:rPr>
              <w:t>LED聚光灯</w:t>
            </w:r>
          </w:p>
        </w:tc>
        <w:tc>
          <w:tcPr>
            <w:tcW w:w="989" w:type="dxa"/>
            <w:vAlign w:val="center"/>
          </w:tcPr>
          <w:p w14:paraId="48475722">
            <w:pPr>
              <w:shd w:val="clear"/>
              <w:spacing w:line="400" w:lineRule="exact"/>
              <w:jc w:val="center"/>
              <w:rPr>
                <w:rFonts w:hAnsi="宋体" w:cs="宋体"/>
                <w:color w:val="auto"/>
                <w:sz w:val="24"/>
                <w:highlight w:val="none"/>
              </w:rPr>
            </w:pPr>
            <w:r>
              <w:rPr>
                <w:rFonts w:hint="eastAsia" w:hAnsi="宋体" w:cs="宋体"/>
                <w:color w:val="auto"/>
                <w:sz w:val="24"/>
                <w:highlight w:val="none"/>
              </w:rPr>
              <w:t>个</w:t>
            </w:r>
          </w:p>
        </w:tc>
        <w:tc>
          <w:tcPr>
            <w:tcW w:w="956" w:type="dxa"/>
            <w:vAlign w:val="center"/>
          </w:tcPr>
          <w:p w14:paraId="7F38AE7A">
            <w:pPr>
              <w:shd w:val="clear"/>
              <w:spacing w:line="400" w:lineRule="exact"/>
              <w:jc w:val="center"/>
              <w:rPr>
                <w:rFonts w:hAnsi="宋体" w:cs="宋体"/>
                <w:color w:val="auto"/>
                <w:sz w:val="24"/>
                <w:highlight w:val="none"/>
              </w:rPr>
            </w:pPr>
            <w:r>
              <w:rPr>
                <w:rFonts w:hint="eastAsia" w:hAnsi="宋体" w:cs="宋体"/>
                <w:color w:val="auto"/>
                <w:sz w:val="24"/>
                <w:highlight w:val="none"/>
              </w:rPr>
              <w:t>25</w:t>
            </w:r>
          </w:p>
        </w:tc>
        <w:tc>
          <w:tcPr>
            <w:tcW w:w="1548" w:type="dxa"/>
            <w:vAlign w:val="center"/>
          </w:tcPr>
          <w:p w14:paraId="5958BBA8">
            <w:pPr>
              <w:shd w:val="clear"/>
              <w:spacing w:line="400" w:lineRule="exact"/>
              <w:jc w:val="center"/>
              <w:rPr>
                <w:rFonts w:hAnsi="宋体" w:cs="宋体"/>
                <w:color w:val="auto"/>
                <w:sz w:val="24"/>
                <w:highlight w:val="none"/>
              </w:rPr>
            </w:pPr>
            <w:r>
              <w:rPr>
                <w:rFonts w:hint="eastAsia" w:hAnsi="宋体" w:cs="宋体"/>
                <w:color w:val="auto"/>
                <w:sz w:val="24"/>
                <w:highlight w:val="none"/>
              </w:rPr>
              <w:t>2520.00</w:t>
            </w:r>
          </w:p>
        </w:tc>
        <w:tc>
          <w:tcPr>
            <w:tcW w:w="870" w:type="dxa"/>
            <w:vAlign w:val="center"/>
          </w:tcPr>
          <w:p w14:paraId="1C8B72E5">
            <w:pPr>
              <w:shd w:val="clear"/>
              <w:spacing w:line="400" w:lineRule="exact"/>
              <w:jc w:val="center"/>
              <w:rPr>
                <w:rFonts w:hAnsi="宋体" w:cs="宋体"/>
                <w:color w:val="auto"/>
                <w:sz w:val="24"/>
                <w:highlight w:val="none"/>
              </w:rPr>
            </w:pPr>
            <w:r>
              <w:rPr>
                <w:rFonts w:hint="eastAsia" w:hAnsi="宋体" w:cs="宋体"/>
                <w:color w:val="auto"/>
                <w:sz w:val="24"/>
                <w:highlight w:val="none"/>
              </w:rPr>
              <w:t>否</w:t>
            </w:r>
          </w:p>
        </w:tc>
      </w:tr>
      <w:tr w14:paraId="48850E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847" w:type="dxa"/>
            <w:vAlign w:val="center"/>
          </w:tcPr>
          <w:p w14:paraId="0A12EA6C">
            <w:pPr>
              <w:shd w:val="clear"/>
              <w:spacing w:line="400" w:lineRule="exact"/>
              <w:jc w:val="center"/>
              <w:rPr>
                <w:rFonts w:ascii="宋体" w:hAnsi="宋体" w:eastAsia="宋体" w:cs="宋体"/>
                <w:color w:val="auto"/>
                <w:sz w:val="24"/>
                <w:highlight w:val="none"/>
                <w:lang w:val="en-US" w:eastAsia="zh-CN" w:bidi="ar-SA"/>
              </w:rPr>
            </w:pPr>
            <w:r>
              <w:rPr>
                <w:rFonts w:hint="eastAsia" w:hAnsi="宋体" w:cs="宋体"/>
                <w:color w:val="auto"/>
                <w:sz w:val="24"/>
                <w:highlight w:val="none"/>
              </w:rPr>
              <w:t>11</w:t>
            </w:r>
          </w:p>
        </w:tc>
        <w:tc>
          <w:tcPr>
            <w:tcW w:w="3987" w:type="dxa"/>
            <w:vAlign w:val="center"/>
          </w:tcPr>
          <w:p w14:paraId="78512B48">
            <w:pPr>
              <w:shd w:val="clear"/>
              <w:spacing w:line="400" w:lineRule="exact"/>
              <w:jc w:val="center"/>
              <w:rPr>
                <w:rFonts w:hAnsi="宋体" w:cs="宋体"/>
                <w:color w:val="auto"/>
                <w:sz w:val="24"/>
                <w:highlight w:val="none"/>
              </w:rPr>
            </w:pPr>
            <w:r>
              <w:rPr>
                <w:rFonts w:hint="eastAsia" w:hAnsi="宋体" w:cs="宋体"/>
                <w:b/>
                <w:bCs/>
                <w:color w:val="auto"/>
                <w:sz w:val="24"/>
                <w:highlight w:val="none"/>
              </w:rPr>
              <w:t>LED平板柔光灯</w:t>
            </w:r>
          </w:p>
        </w:tc>
        <w:tc>
          <w:tcPr>
            <w:tcW w:w="989" w:type="dxa"/>
            <w:vAlign w:val="center"/>
          </w:tcPr>
          <w:p w14:paraId="3FF1801F">
            <w:pPr>
              <w:shd w:val="clear"/>
              <w:spacing w:line="400" w:lineRule="exact"/>
              <w:jc w:val="center"/>
              <w:rPr>
                <w:rFonts w:hAnsi="宋体" w:cs="宋体"/>
                <w:color w:val="auto"/>
                <w:sz w:val="24"/>
                <w:highlight w:val="none"/>
              </w:rPr>
            </w:pPr>
            <w:r>
              <w:rPr>
                <w:rFonts w:hint="eastAsia" w:hAnsi="宋体" w:cs="宋体"/>
                <w:color w:val="auto"/>
                <w:sz w:val="24"/>
                <w:highlight w:val="none"/>
              </w:rPr>
              <w:t>个</w:t>
            </w:r>
          </w:p>
        </w:tc>
        <w:tc>
          <w:tcPr>
            <w:tcW w:w="956" w:type="dxa"/>
            <w:vAlign w:val="center"/>
          </w:tcPr>
          <w:p w14:paraId="74FA541F">
            <w:pPr>
              <w:shd w:val="clear"/>
              <w:spacing w:line="400" w:lineRule="exact"/>
              <w:jc w:val="center"/>
              <w:rPr>
                <w:rFonts w:hAnsi="宋体" w:cs="宋体"/>
                <w:color w:val="auto"/>
                <w:sz w:val="24"/>
                <w:highlight w:val="none"/>
              </w:rPr>
            </w:pPr>
            <w:r>
              <w:rPr>
                <w:rFonts w:hint="eastAsia" w:hAnsi="宋体" w:cs="宋体"/>
                <w:color w:val="auto"/>
                <w:sz w:val="24"/>
                <w:highlight w:val="none"/>
              </w:rPr>
              <w:t>45</w:t>
            </w:r>
          </w:p>
        </w:tc>
        <w:tc>
          <w:tcPr>
            <w:tcW w:w="1548" w:type="dxa"/>
            <w:vAlign w:val="center"/>
          </w:tcPr>
          <w:p w14:paraId="6602C0AA">
            <w:pPr>
              <w:shd w:val="clear"/>
              <w:spacing w:line="400" w:lineRule="exact"/>
              <w:jc w:val="center"/>
              <w:rPr>
                <w:rFonts w:hAnsi="宋体" w:cs="宋体"/>
                <w:color w:val="auto"/>
                <w:sz w:val="24"/>
                <w:highlight w:val="none"/>
              </w:rPr>
            </w:pPr>
            <w:r>
              <w:rPr>
                <w:rFonts w:hint="eastAsia" w:hAnsi="宋体" w:cs="宋体"/>
                <w:color w:val="auto"/>
                <w:sz w:val="24"/>
                <w:highlight w:val="none"/>
              </w:rPr>
              <w:t>2400.00</w:t>
            </w:r>
          </w:p>
        </w:tc>
        <w:tc>
          <w:tcPr>
            <w:tcW w:w="870" w:type="dxa"/>
            <w:vAlign w:val="center"/>
          </w:tcPr>
          <w:p w14:paraId="2BFC5440">
            <w:pPr>
              <w:shd w:val="clear"/>
              <w:spacing w:line="400" w:lineRule="exact"/>
              <w:jc w:val="center"/>
              <w:rPr>
                <w:rFonts w:hAnsi="宋体" w:cs="宋体"/>
                <w:color w:val="auto"/>
                <w:sz w:val="24"/>
                <w:highlight w:val="none"/>
              </w:rPr>
            </w:pPr>
            <w:r>
              <w:rPr>
                <w:rFonts w:hint="eastAsia" w:hAnsi="宋体" w:cs="宋体"/>
                <w:color w:val="auto"/>
                <w:sz w:val="24"/>
                <w:highlight w:val="none"/>
              </w:rPr>
              <w:t>否</w:t>
            </w:r>
          </w:p>
        </w:tc>
      </w:tr>
      <w:tr w14:paraId="7FBDC5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jc w:val="center"/>
        </w:trPr>
        <w:tc>
          <w:tcPr>
            <w:tcW w:w="847" w:type="dxa"/>
            <w:vAlign w:val="center"/>
          </w:tcPr>
          <w:p w14:paraId="0982010E">
            <w:pPr>
              <w:shd w:val="clear"/>
              <w:spacing w:line="400" w:lineRule="exact"/>
              <w:jc w:val="center"/>
              <w:rPr>
                <w:rFonts w:ascii="宋体" w:hAnsi="宋体" w:eastAsia="宋体" w:cs="宋体"/>
                <w:color w:val="auto"/>
                <w:sz w:val="24"/>
                <w:highlight w:val="none"/>
                <w:lang w:val="en-US" w:eastAsia="zh-CN" w:bidi="ar-SA"/>
              </w:rPr>
            </w:pPr>
            <w:r>
              <w:rPr>
                <w:rFonts w:hint="eastAsia" w:hAnsi="宋体" w:cs="宋体"/>
                <w:color w:val="auto"/>
                <w:sz w:val="24"/>
                <w:highlight w:val="none"/>
              </w:rPr>
              <w:t>12</w:t>
            </w:r>
          </w:p>
        </w:tc>
        <w:tc>
          <w:tcPr>
            <w:tcW w:w="3987" w:type="dxa"/>
            <w:vAlign w:val="center"/>
          </w:tcPr>
          <w:p w14:paraId="5D3C9753">
            <w:pPr>
              <w:shd w:val="clear"/>
              <w:spacing w:line="400" w:lineRule="exact"/>
              <w:jc w:val="center"/>
              <w:rPr>
                <w:rFonts w:hAnsi="宋体" w:cs="宋体"/>
                <w:color w:val="auto"/>
                <w:sz w:val="24"/>
                <w:highlight w:val="none"/>
              </w:rPr>
            </w:pPr>
            <w:r>
              <w:rPr>
                <w:rFonts w:hint="eastAsia" w:hAnsi="宋体" w:cs="宋体"/>
                <w:color w:val="auto"/>
                <w:sz w:val="24"/>
                <w:highlight w:val="none"/>
              </w:rPr>
              <w:t>复合型水平吊杆起重系统（L=6M）</w:t>
            </w:r>
          </w:p>
        </w:tc>
        <w:tc>
          <w:tcPr>
            <w:tcW w:w="989" w:type="dxa"/>
            <w:vAlign w:val="center"/>
          </w:tcPr>
          <w:p w14:paraId="7A0A916F">
            <w:pPr>
              <w:shd w:val="clear"/>
              <w:spacing w:line="400" w:lineRule="exact"/>
              <w:jc w:val="center"/>
              <w:rPr>
                <w:rFonts w:hAnsi="宋体" w:cs="宋体"/>
                <w:color w:val="auto"/>
                <w:sz w:val="24"/>
                <w:highlight w:val="none"/>
              </w:rPr>
            </w:pPr>
            <w:r>
              <w:rPr>
                <w:rFonts w:hint="eastAsia" w:hAnsi="宋体" w:cs="宋体"/>
                <w:color w:val="auto"/>
                <w:sz w:val="24"/>
                <w:highlight w:val="none"/>
              </w:rPr>
              <w:t>套</w:t>
            </w:r>
          </w:p>
        </w:tc>
        <w:tc>
          <w:tcPr>
            <w:tcW w:w="956" w:type="dxa"/>
            <w:vAlign w:val="center"/>
          </w:tcPr>
          <w:p w14:paraId="4A69E819">
            <w:pPr>
              <w:shd w:val="clear"/>
              <w:spacing w:line="400" w:lineRule="exact"/>
              <w:jc w:val="center"/>
              <w:rPr>
                <w:rFonts w:hAnsi="宋体" w:cs="宋体"/>
                <w:color w:val="auto"/>
                <w:sz w:val="24"/>
                <w:highlight w:val="none"/>
              </w:rPr>
            </w:pPr>
            <w:r>
              <w:rPr>
                <w:rFonts w:hint="eastAsia" w:hAnsi="宋体" w:cs="宋体"/>
                <w:color w:val="auto"/>
                <w:sz w:val="24"/>
                <w:highlight w:val="none"/>
              </w:rPr>
              <w:t>5</w:t>
            </w:r>
          </w:p>
        </w:tc>
        <w:tc>
          <w:tcPr>
            <w:tcW w:w="1548" w:type="dxa"/>
            <w:vAlign w:val="center"/>
          </w:tcPr>
          <w:p w14:paraId="1617395A">
            <w:pPr>
              <w:shd w:val="clear"/>
              <w:spacing w:line="400" w:lineRule="exact"/>
              <w:jc w:val="center"/>
              <w:rPr>
                <w:rFonts w:hAnsi="宋体" w:cs="宋体"/>
                <w:color w:val="auto"/>
                <w:sz w:val="24"/>
                <w:highlight w:val="none"/>
              </w:rPr>
            </w:pPr>
            <w:r>
              <w:rPr>
                <w:rFonts w:hint="eastAsia" w:hAnsi="宋体" w:cs="宋体"/>
                <w:color w:val="auto"/>
                <w:sz w:val="24"/>
                <w:highlight w:val="none"/>
              </w:rPr>
              <w:t>19600.00</w:t>
            </w:r>
          </w:p>
        </w:tc>
        <w:tc>
          <w:tcPr>
            <w:tcW w:w="870" w:type="dxa"/>
            <w:vAlign w:val="center"/>
          </w:tcPr>
          <w:p w14:paraId="0E2E21DF">
            <w:pPr>
              <w:shd w:val="clear"/>
              <w:spacing w:line="400" w:lineRule="exact"/>
              <w:jc w:val="center"/>
              <w:rPr>
                <w:rFonts w:hAnsi="宋体" w:cs="宋体"/>
                <w:color w:val="auto"/>
                <w:sz w:val="24"/>
                <w:highlight w:val="none"/>
              </w:rPr>
            </w:pPr>
            <w:r>
              <w:rPr>
                <w:rFonts w:hint="eastAsia" w:hAnsi="宋体" w:cs="宋体"/>
                <w:color w:val="auto"/>
                <w:sz w:val="24"/>
                <w:highlight w:val="none"/>
              </w:rPr>
              <w:t>否</w:t>
            </w:r>
          </w:p>
        </w:tc>
      </w:tr>
      <w:tr w14:paraId="1B2752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jc w:val="center"/>
        </w:trPr>
        <w:tc>
          <w:tcPr>
            <w:tcW w:w="847" w:type="dxa"/>
            <w:vAlign w:val="center"/>
          </w:tcPr>
          <w:p w14:paraId="418719DB">
            <w:pPr>
              <w:shd w:val="clear"/>
              <w:spacing w:line="400" w:lineRule="exact"/>
              <w:jc w:val="center"/>
              <w:rPr>
                <w:rFonts w:ascii="宋体" w:hAnsi="宋体" w:eastAsia="宋体" w:cs="宋体"/>
                <w:color w:val="auto"/>
                <w:sz w:val="24"/>
                <w:highlight w:val="none"/>
                <w:lang w:val="en-US" w:eastAsia="zh-CN" w:bidi="ar-SA"/>
              </w:rPr>
            </w:pPr>
            <w:r>
              <w:rPr>
                <w:rFonts w:hint="eastAsia" w:hAnsi="宋体" w:cs="宋体"/>
                <w:color w:val="auto"/>
                <w:sz w:val="24"/>
                <w:highlight w:val="none"/>
              </w:rPr>
              <w:t>13</w:t>
            </w:r>
          </w:p>
        </w:tc>
        <w:tc>
          <w:tcPr>
            <w:tcW w:w="3987" w:type="dxa"/>
            <w:vAlign w:val="center"/>
          </w:tcPr>
          <w:p w14:paraId="30B717BE">
            <w:pPr>
              <w:shd w:val="clear"/>
              <w:spacing w:line="400" w:lineRule="exact"/>
              <w:jc w:val="center"/>
              <w:rPr>
                <w:rFonts w:hAnsi="宋体" w:cs="宋体"/>
                <w:color w:val="auto"/>
                <w:sz w:val="24"/>
                <w:highlight w:val="none"/>
              </w:rPr>
            </w:pPr>
            <w:r>
              <w:rPr>
                <w:rFonts w:hint="eastAsia" w:hAnsi="宋体" w:cs="宋体"/>
                <w:color w:val="auto"/>
                <w:sz w:val="24"/>
                <w:highlight w:val="none"/>
              </w:rPr>
              <w:t>复合型水平吊杆起重系统（L=8M）</w:t>
            </w:r>
          </w:p>
        </w:tc>
        <w:tc>
          <w:tcPr>
            <w:tcW w:w="989" w:type="dxa"/>
            <w:vAlign w:val="center"/>
          </w:tcPr>
          <w:p w14:paraId="60DE207F">
            <w:pPr>
              <w:shd w:val="clear"/>
              <w:spacing w:line="400" w:lineRule="exact"/>
              <w:jc w:val="center"/>
              <w:rPr>
                <w:rFonts w:hAnsi="宋体" w:cs="宋体"/>
                <w:color w:val="auto"/>
                <w:sz w:val="24"/>
                <w:highlight w:val="none"/>
              </w:rPr>
            </w:pPr>
            <w:r>
              <w:rPr>
                <w:rFonts w:hint="eastAsia" w:hAnsi="宋体" w:cs="宋体"/>
                <w:color w:val="auto"/>
                <w:sz w:val="24"/>
                <w:highlight w:val="none"/>
              </w:rPr>
              <w:t>套</w:t>
            </w:r>
          </w:p>
        </w:tc>
        <w:tc>
          <w:tcPr>
            <w:tcW w:w="956" w:type="dxa"/>
            <w:vAlign w:val="center"/>
          </w:tcPr>
          <w:p w14:paraId="2EFD1031">
            <w:pPr>
              <w:shd w:val="clear"/>
              <w:spacing w:line="400" w:lineRule="exact"/>
              <w:jc w:val="center"/>
              <w:rPr>
                <w:rFonts w:hAnsi="宋体" w:cs="宋体"/>
                <w:color w:val="auto"/>
                <w:sz w:val="24"/>
                <w:highlight w:val="none"/>
              </w:rPr>
            </w:pPr>
            <w:r>
              <w:rPr>
                <w:rFonts w:hint="eastAsia" w:hAnsi="宋体" w:cs="宋体"/>
                <w:color w:val="auto"/>
                <w:sz w:val="24"/>
                <w:highlight w:val="none"/>
              </w:rPr>
              <w:t>5</w:t>
            </w:r>
          </w:p>
        </w:tc>
        <w:tc>
          <w:tcPr>
            <w:tcW w:w="1548" w:type="dxa"/>
            <w:vAlign w:val="center"/>
          </w:tcPr>
          <w:p w14:paraId="183C4FD3">
            <w:pPr>
              <w:shd w:val="clear"/>
              <w:spacing w:line="400" w:lineRule="exact"/>
              <w:jc w:val="center"/>
              <w:rPr>
                <w:rFonts w:hAnsi="宋体" w:cs="宋体"/>
                <w:color w:val="auto"/>
                <w:sz w:val="24"/>
                <w:highlight w:val="none"/>
              </w:rPr>
            </w:pPr>
            <w:r>
              <w:rPr>
                <w:rFonts w:hint="eastAsia" w:hAnsi="宋体" w:cs="宋体"/>
                <w:color w:val="auto"/>
                <w:sz w:val="24"/>
                <w:highlight w:val="none"/>
              </w:rPr>
              <w:t>21900.00</w:t>
            </w:r>
          </w:p>
        </w:tc>
        <w:tc>
          <w:tcPr>
            <w:tcW w:w="870" w:type="dxa"/>
            <w:vAlign w:val="center"/>
          </w:tcPr>
          <w:p w14:paraId="2A23FE41">
            <w:pPr>
              <w:shd w:val="clear"/>
              <w:spacing w:line="400" w:lineRule="exact"/>
              <w:jc w:val="center"/>
              <w:rPr>
                <w:rFonts w:hAnsi="宋体" w:cs="宋体"/>
                <w:color w:val="auto"/>
                <w:sz w:val="24"/>
                <w:highlight w:val="none"/>
              </w:rPr>
            </w:pPr>
            <w:r>
              <w:rPr>
                <w:rFonts w:hint="eastAsia" w:hAnsi="宋体" w:cs="宋体"/>
                <w:color w:val="auto"/>
                <w:sz w:val="24"/>
                <w:highlight w:val="none"/>
              </w:rPr>
              <w:t>否</w:t>
            </w:r>
          </w:p>
        </w:tc>
      </w:tr>
      <w:tr w14:paraId="27A0F7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jc w:val="center"/>
        </w:trPr>
        <w:tc>
          <w:tcPr>
            <w:tcW w:w="847" w:type="dxa"/>
            <w:vAlign w:val="center"/>
          </w:tcPr>
          <w:p w14:paraId="4F8C1446">
            <w:pPr>
              <w:shd w:val="clear"/>
              <w:spacing w:line="400" w:lineRule="exact"/>
              <w:jc w:val="center"/>
              <w:rPr>
                <w:rFonts w:ascii="宋体" w:hAnsi="宋体" w:eastAsia="宋体" w:cs="宋体"/>
                <w:color w:val="auto"/>
                <w:sz w:val="24"/>
                <w:highlight w:val="none"/>
                <w:lang w:val="en-US" w:eastAsia="zh-CN" w:bidi="ar-SA"/>
              </w:rPr>
            </w:pPr>
            <w:r>
              <w:rPr>
                <w:rFonts w:hint="eastAsia" w:hAnsi="宋体" w:cs="宋体"/>
                <w:color w:val="auto"/>
                <w:sz w:val="24"/>
                <w:highlight w:val="none"/>
              </w:rPr>
              <w:t>14</w:t>
            </w:r>
          </w:p>
        </w:tc>
        <w:tc>
          <w:tcPr>
            <w:tcW w:w="3987" w:type="dxa"/>
            <w:vAlign w:val="center"/>
          </w:tcPr>
          <w:p w14:paraId="480AEB28">
            <w:pPr>
              <w:shd w:val="clear"/>
              <w:spacing w:line="400" w:lineRule="exact"/>
              <w:jc w:val="center"/>
              <w:rPr>
                <w:rFonts w:hAnsi="宋体" w:cs="宋体"/>
                <w:color w:val="auto"/>
                <w:sz w:val="24"/>
                <w:highlight w:val="none"/>
              </w:rPr>
            </w:pPr>
            <w:r>
              <w:rPr>
                <w:rFonts w:hint="eastAsia" w:hAnsi="宋体" w:cs="宋体"/>
                <w:color w:val="auto"/>
                <w:sz w:val="24"/>
                <w:highlight w:val="none"/>
              </w:rPr>
              <w:t>复合型水平吊杆起重系统（L=4M）</w:t>
            </w:r>
          </w:p>
        </w:tc>
        <w:tc>
          <w:tcPr>
            <w:tcW w:w="989" w:type="dxa"/>
            <w:vAlign w:val="center"/>
          </w:tcPr>
          <w:p w14:paraId="1903C2BD">
            <w:pPr>
              <w:shd w:val="clear"/>
              <w:spacing w:line="400" w:lineRule="exact"/>
              <w:jc w:val="center"/>
              <w:rPr>
                <w:rFonts w:hAnsi="宋体" w:cs="宋体"/>
                <w:color w:val="auto"/>
                <w:sz w:val="24"/>
                <w:highlight w:val="none"/>
              </w:rPr>
            </w:pPr>
            <w:r>
              <w:rPr>
                <w:rFonts w:hint="eastAsia" w:hAnsi="宋体" w:cs="宋体"/>
                <w:color w:val="auto"/>
                <w:sz w:val="24"/>
                <w:highlight w:val="none"/>
              </w:rPr>
              <w:t>套</w:t>
            </w:r>
          </w:p>
        </w:tc>
        <w:tc>
          <w:tcPr>
            <w:tcW w:w="956" w:type="dxa"/>
            <w:vAlign w:val="center"/>
          </w:tcPr>
          <w:p w14:paraId="3051B7FB">
            <w:pPr>
              <w:shd w:val="clear"/>
              <w:spacing w:line="400" w:lineRule="exact"/>
              <w:jc w:val="center"/>
              <w:rPr>
                <w:rFonts w:hAnsi="宋体" w:cs="宋体"/>
                <w:color w:val="auto"/>
                <w:sz w:val="24"/>
                <w:highlight w:val="none"/>
              </w:rPr>
            </w:pPr>
            <w:r>
              <w:rPr>
                <w:rFonts w:hint="eastAsia" w:hAnsi="宋体" w:cs="宋体"/>
                <w:color w:val="auto"/>
                <w:sz w:val="24"/>
                <w:highlight w:val="none"/>
              </w:rPr>
              <w:t>1</w:t>
            </w:r>
          </w:p>
        </w:tc>
        <w:tc>
          <w:tcPr>
            <w:tcW w:w="1548" w:type="dxa"/>
            <w:vAlign w:val="center"/>
          </w:tcPr>
          <w:p w14:paraId="366009E9">
            <w:pPr>
              <w:shd w:val="clear"/>
              <w:spacing w:line="400" w:lineRule="exact"/>
              <w:jc w:val="center"/>
              <w:rPr>
                <w:rFonts w:hAnsi="宋体" w:cs="宋体"/>
                <w:color w:val="auto"/>
                <w:sz w:val="24"/>
                <w:highlight w:val="none"/>
              </w:rPr>
            </w:pPr>
            <w:r>
              <w:rPr>
                <w:rFonts w:hint="eastAsia" w:hAnsi="宋体" w:cs="宋体"/>
                <w:color w:val="auto"/>
                <w:sz w:val="24"/>
                <w:highlight w:val="none"/>
              </w:rPr>
              <w:t>15370.00</w:t>
            </w:r>
          </w:p>
        </w:tc>
        <w:tc>
          <w:tcPr>
            <w:tcW w:w="870" w:type="dxa"/>
            <w:vAlign w:val="center"/>
          </w:tcPr>
          <w:p w14:paraId="07501D73">
            <w:pPr>
              <w:shd w:val="clear"/>
              <w:spacing w:line="400" w:lineRule="exact"/>
              <w:jc w:val="center"/>
              <w:rPr>
                <w:rFonts w:hAnsi="宋体" w:cs="宋体"/>
                <w:color w:val="auto"/>
                <w:sz w:val="24"/>
                <w:highlight w:val="none"/>
              </w:rPr>
            </w:pPr>
            <w:r>
              <w:rPr>
                <w:rFonts w:hint="eastAsia" w:hAnsi="宋体" w:cs="宋体"/>
                <w:color w:val="auto"/>
                <w:sz w:val="24"/>
                <w:highlight w:val="none"/>
              </w:rPr>
              <w:t>否</w:t>
            </w:r>
          </w:p>
        </w:tc>
      </w:tr>
      <w:tr w14:paraId="10EFCC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0" w:type="auto"/>
            <w:vAlign w:val="center"/>
          </w:tcPr>
          <w:p w14:paraId="1DB12C11">
            <w:pPr>
              <w:shd w:val="clear"/>
              <w:spacing w:line="400" w:lineRule="exact"/>
              <w:jc w:val="center"/>
              <w:rPr>
                <w:rFonts w:ascii="宋体" w:hAnsi="宋体" w:eastAsia="宋体" w:cs="宋体"/>
                <w:color w:val="auto"/>
                <w:sz w:val="24"/>
                <w:highlight w:val="none"/>
                <w:lang w:val="en-US" w:eastAsia="zh-CN" w:bidi="ar-SA"/>
              </w:rPr>
            </w:pPr>
            <w:r>
              <w:rPr>
                <w:rFonts w:hint="eastAsia" w:hAnsi="宋体" w:cs="宋体"/>
                <w:color w:val="auto"/>
                <w:sz w:val="24"/>
                <w:highlight w:val="none"/>
              </w:rPr>
              <w:t>15</w:t>
            </w:r>
          </w:p>
        </w:tc>
        <w:tc>
          <w:tcPr>
            <w:tcW w:w="0" w:type="auto"/>
            <w:vAlign w:val="center"/>
          </w:tcPr>
          <w:p w14:paraId="43E70CDE">
            <w:pPr>
              <w:shd w:val="clear"/>
              <w:spacing w:line="400" w:lineRule="exact"/>
              <w:jc w:val="center"/>
              <w:rPr>
                <w:rFonts w:hAnsi="宋体" w:cs="宋体"/>
                <w:color w:val="auto"/>
                <w:sz w:val="24"/>
                <w:highlight w:val="none"/>
              </w:rPr>
            </w:pPr>
            <w:r>
              <w:rPr>
                <w:rFonts w:hint="eastAsia" w:hAnsi="宋体" w:cs="宋体"/>
                <w:color w:val="auto"/>
                <w:sz w:val="24"/>
                <w:highlight w:val="none"/>
              </w:rPr>
              <w:t>机械系统动力控制系统</w:t>
            </w:r>
          </w:p>
        </w:tc>
        <w:tc>
          <w:tcPr>
            <w:tcW w:w="0" w:type="auto"/>
            <w:vAlign w:val="center"/>
          </w:tcPr>
          <w:p w14:paraId="0351E1AD">
            <w:pPr>
              <w:shd w:val="clear"/>
              <w:spacing w:line="400" w:lineRule="exact"/>
              <w:jc w:val="center"/>
              <w:rPr>
                <w:rFonts w:hAnsi="宋体" w:cs="宋体"/>
                <w:color w:val="auto"/>
                <w:sz w:val="24"/>
                <w:highlight w:val="none"/>
              </w:rPr>
            </w:pPr>
            <w:r>
              <w:rPr>
                <w:rFonts w:hint="eastAsia" w:hAnsi="宋体" w:cs="宋体"/>
                <w:color w:val="auto"/>
                <w:sz w:val="24"/>
                <w:highlight w:val="none"/>
              </w:rPr>
              <w:t>套</w:t>
            </w:r>
          </w:p>
        </w:tc>
        <w:tc>
          <w:tcPr>
            <w:tcW w:w="0" w:type="auto"/>
            <w:vAlign w:val="center"/>
          </w:tcPr>
          <w:p w14:paraId="2A977C97">
            <w:pPr>
              <w:shd w:val="clear"/>
              <w:spacing w:line="400" w:lineRule="exact"/>
              <w:jc w:val="center"/>
              <w:rPr>
                <w:rFonts w:hAnsi="宋体" w:cs="宋体"/>
                <w:color w:val="auto"/>
                <w:sz w:val="24"/>
                <w:highlight w:val="none"/>
              </w:rPr>
            </w:pPr>
            <w:r>
              <w:rPr>
                <w:rFonts w:hint="eastAsia" w:hAnsi="宋体" w:cs="宋体"/>
                <w:color w:val="auto"/>
                <w:sz w:val="24"/>
                <w:highlight w:val="none"/>
              </w:rPr>
              <w:t>1</w:t>
            </w:r>
          </w:p>
        </w:tc>
        <w:tc>
          <w:tcPr>
            <w:tcW w:w="0" w:type="auto"/>
            <w:vAlign w:val="center"/>
          </w:tcPr>
          <w:p w14:paraId="2D516629">
            <w:pPr>
              <w:shd w:val="clear"/>
              <w:spacing w:line="400" w:lineRule="exact"/>
              <w:jc w:val="center"/>
              <w:rPr>
                <w:rFonts w:hAnsi="宋体" w:cs="宋体"/>
                <w:color w:val="auto"/>
                <w:sz w:val="24"/>
                <w:highlight w:val="none"/>
              </w:rPr>
            </w:pPr>
            <w:r>
              <w:rPr>
                <w:rFonts w:hint="eastAsia" w:hAnsi="宋体" w:cs="宋体"/>
                <w:color w:val="auto"/>
                <w:sz w:val="24"/>
                <w:highlight w:val="none"/>
              </w:rPr>
              <w:t>31550.00</w:t>
            </w:r>
          </w:p>
        </w:tc>
        <w:tc>
          <w:tcPr>
            <w:tcW w:w="0" w:type="auto"/>
            <w:vAlign w:val="center"/>
          </w:tcPr>
          <w:p w14:paraId="4BD02DBC">
            <w:pPr>
              <w:shd w:val="clear"/>
              <w:spacing w:line="400" w:lineRule="exact"/>
              <w:jc w:val="center"/>
              <w:rPr>
                <w:rFonts w:hAnsi="宋体" w:cs="宋体"/>
                <w:color w:val="auto"/>
                <w:sz w:val="24"/>
                <w:highlight w:val="none"/>
              </w:rPr>
            </w:pPr>
            <w:r>
              <w:rPr>
                <w:rFonts w:hint="eastAsia" w:hAnsi="宋体" w:cs="宋体"/>
                <w:color w:val="auto"/>
                <w:sz w:val="24"/>
                <w:highlight w:val="none"/>
              </w:rPr>
              <w:t>否</w:t>
            </w:r>
          </w:p>
        </w:tc>
      </w:tr>
      <w:tr w14:paraId="5221ED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0" w:type="auto"/>
            <w:vAlign w:val="center"/>
          </w:tcPr>
          <w:p w14:paraId="1B2443BD">
            <w:pPr>
              <w:shd w:val="clear"/>
              <w:spacing w:line="400" w:lineRule="exact"/>
              <w:jc w:val="center"/>
              <w:rPr>
                <w:rFonts w:ascii="宋体" w:hAnsi="宋体" w:eastAsia="宋体" w:cs="宋体"/>
                <w:color w:val="auto"/>
                <w:sz w:val="24"/>
                <w:highlight w:val="none"/>
                <w:lang w:val="en-US" w:eastAsia="zh-CN" w:bidi="ar-SA"/>
              </w:rPr>
            </w:pPr>
            <w:r>
              <w:rPr>
                <w:rFonts w:hint="eastAsia" w:hAnsi="宋体" w:cs="宋体"/>
                <w:color w:val="auto"/>
                <w:sz w:val="24"/>
                <w:highlight w:val="none"/>
              </w:rPr>
              <w:t>16</w:t>
            </w:r>
          </w:p>
        </w:tc>
        <w:tc>
          <w:tcPr>
            <w:tcW w:w="0" w:type="auto"/>
            <w:vAlign w:val="center"/>
          </w:tcPr>
          <w:p w14:paraId="12F6FBCD">
            <w:pPr>
              <w:shd w:val="clear"/>
              <w:spacing w:line="400" w:lineRule="exact"/>
              <w:jc w:val="center"/>
              <w:rPr>
                <w:rFonts w:hAnsi="宋体" w:cs="宋体"/>
                <w:color w:val="auto"/>
                <w:sz w:val="24"/>
                <w:highlight w:val="none"/>
              </w:rPr>
            </w:pPr>
            <w:r>
              <w:rPr>
                <w:rFonts w:hint="eastAsia" w:hAnsi="宋体" w:cs="宋体"/>
                <w:color w:val="auto"/>
                <w:sz w:val="24"/>
                <w:highlight w:val="none"/>
              </w:rPr>
              <w:t>调光台</w:t>
            </w:r>
          </w:p>
        </w:tc>
        <w:tc>
          <w:tcPr>
            <w:tcW w:w="0" w:type="auto"/>
            <w:vAlign w:val="center"/>
          </w:tcPr>
          <w:p w14:paraId="36465876">
            <w:pPr>
              <w:shd w:val="clear"/>
              <w:spacing w:line="400" w:lineRule="exact"/>
              <w:jc w:val="center"/>
              <w:rPr>
                <w:rFonts w:hAnsi="宋体" w:cs="宋体"/>
                <w:color w:val="auto"/>
                <w:sz w:val="24"/>
                <w:highlight w:val="none"/>
              </w:rPr>
            </w:pPr>
            <w:r>
              <w:rPr>
                <w:rFonts w:hint="eastAsia" w:hAnsi="宋体" w:cs="宋体"/>
                <w:color w:val="auto"/>
                <w:sz w:val="24"/>
                <w:highlight w:val="none"/>
              </w:rPr>
              <w:t>台</w:t>
            </w:r>
          </w:p>
        </w:tc>
        <w:tc>
          <w:tcPr>
            <w:tcW w:w="0" w:type="auto"/>
            <w:vAlign w:val="center"/>
          </w:tcPr>
          <w:p w14:paraId="1754ABA3">
            <w:pPr>
              <w:shd w:val="clear"/>
              <w:spacing w:line="400" w:lineRule="exact"/>
              <w:jc w:val="center"/>
              <w:rPr>
                <w:rFonts w:hAnsi="宋体" w:cs="宋体"/>
                <w:color w:val="auto"/>
                <w:sz w:val="24"/>
                <w:highlight w:val="none"/>
              </w:rPr>
            </w:pPr>
            <w:r>
              <w:rPr>
                <w:rFonts w:hint="eastAsia" w:hAnsi="宋体" w:cs="宋体"/>
                <w:color w:val="auto"/>
                <w:sz w:val="24"/>
                <w:highlight w:val="none"/>
              </w:rPr>
              <w:t>1</w:t>
            </w:r>
          </w:p>
        </w:tc>
        <w:tc>
          <w:tcPr>
            <w:tcW w:w="0" w:type="auto"/>
            <w:vAlign w:val="center"/>
          </w:tcPr>
          <w:p w14:paraId="3E22B797">
            <w:pPr>
              <w:shd w:val="clear"/>
              <w:spacing w:line="400" w:lineRule="exact"/>
              <w:jc w:val="center"/>
              <w:rPr>
                <w:rFonts w:hAnsi="宋体" w:cs="宋体"/>
                <w:color w:val="auto"/>
                <w:sz w:val="24"/>
                <w:highlight w:val="none"/>
              </w:rPr>
            </w:pPr>
            <w:r>
              <w:rPr>
                <w:rFonts w:hint="eastAsia" w:hAnsi="宋体" w:cs="宋体"/>
                <w:color w:val="auto"/>
                <w:sz w:val="24"/>
                <w:highlight w:val="none"/>
              </w:rPr>
              <w:t>2150.00</w:t>
            </w:r>
          </w:p>
        </w:tc>
        <w:tc>
          <w:tcPr>
            <w:tcW w:w="0" w:type="auto"/>
            <w:vAlign w:val="center"/>
          </w:tcPr>
          <w:p w14:paraId="3B51077B">
            <w:pPr>
              <w:shd w:val="clear"/>
              <w:spacing w:line="400" w:lineRule="exact"/>
              <w:jc w:val="center"/>
              <w:rPr>
                <w:rFonts w:hAnsi="宋体" w:cs="宋体"/>
                <w:color w:val="auto"/>
                <w:sz w:val="24"/>
                <w:highlight w:val="none"/>
              </w:rPr>
            </w:pPr>
            <w:r>
              <w:rPr>
                <w:rFonts w:hint="eastAsia" w:hAnsi="宋体" w:cs="宋体"/>
                <w:color w:val="auto"/>
                <w:sz w:val="24"/>
                <w:highlight w:val="none"/>
              </w:rPr>
              <w:t>否</w:t>
            </w:r>
          </w:p>
        </w:tc>
      </w:tr>
      <w:tr w14:paraId="1A0BDD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0" w:type="auto"/>
            <w:vAlign w:val="center"/>
          </w:tcPr>
          <w:p w14:paraId="60F34961">
            <w:pPr>
              <w:shd w:val="clear"/>
              <w:spacing w:line="400" w:lineRule="exact"/>
              <w:jc w:val="center"/>
              <w:rPr>
                <w:rFonts w:ascii="宋体" w:hAnsi="宋体" w:eastAsia="宋体" w:cs="宋体"/>
                <w:color w:val="auto"/>
                <w:sz w:val="24"/>
                <w:highlight w:val="none"/>
                <w:lang w:val="en-US" w:eastAsia="zh-CN" w:bidi="ar-SA"/>
              </w:rPr>
            </w:pPr>
            <w:r>
              <w:rPr>
                <w:rFonts w:hint="eastAsia" w:hAnsi="宋体" w:cs="宋体"/>
                <w:color w:val="auto"/>
                <w:sz w:val="24"/>
                <w:highlight w:val="none"/>
              </w:rPr>
              <w:t>17</w:t>
            </w:r>
          </w:p>
        </w:tc>
        <w:tc>
          <w:tcPr>
            <w:tcW w:w="0" w:type="auto"/>
            <w:vAlign w:val="center"/>
          </w:tcPr>
          <w:p w14:paraId="3301EF5B">
            <w:pPr>
              <w:shd w:val="clear"/>
              <w:spacing w:line="400" w:lineRule="exact"/>
              <w:jc w:val="center"/>
              <w:rPr>
                <w:rFonts w:hAnsi="宋体" w:cs="宋体"/>
                <w:color w:val="auto"/>
                <w:sz w:val="24"/>
                <w:highlight w:val="none"/>
              </w:rPr>
            </w:pPr>
            <w:r>
              <w:rPr>
                <w:rFonts w:hint="eastAsia" w:hAnsi="宋体" w:cs="宋体"/>
                <w:color w:val="auto"/>
                <w:sz w:val="24"/>
                <w:highlight w:val="none"/>
              </w:rPr>
              <w:t>直通箱</w:t>
            </w:r>
          </w:p>
        </w:tc>
        <w:tc>
          <w:tcPr>
            <w:tcW w:w="0" w:type="auto"/>
            <w:vAlign w:val="center"/>
          </w:tcPr>
          <w:p w14:paraId="09F75F20">
            <w:pPr>
              <w:shd w:val="clear"/>
              <w:spacing w:line="400" w:lineRule="exact"/>
              <w:jc w:val="center"/>
              <w:rPr>
                <w:rFonts w:hAnsi="宋体" w:cs="宋体"/>
                <w:color w:val="auto"/>
                <w:sz w:val="24"/>
                <w:highlight w:val="none"/>
              </w:rPr>
            </w:pPr>
            <w:r>
              <w:rPr>
                <w:rFonts w:hint="eastAsia" w:hAnsi="宋体" w:cs="宋体"/>
                <w:color w:val="auto"/>
                <w:sz w:val="24"/>
                <w:highlight w:val="none"/>
              </w:rPr>
              <w:t>个</w:t>
            </w:r>
          </w:p>
        </w:tc>
        <w:tc>
          <w:tcPr>
            <w:tcW w:w="0" w:type="auto"/>
            <w:vAlign w:val="center"/>
          </w:tcPr>
          <w:p w14:paraId="074D2A7B">
            <w:pPr>
              <w:shd w:val="clear"/>
              <w:spacing w:line="400" w:lineRule="exact"/>
              <w:jc w:val="center"/>
              <w:rPr>
                <w:rFonts w:hAnsi="宋体" w:cs="宋体"/>
                <w:color w:val="auto"/>
                <w:sz w:val="24"/>
                <w:highlight w:val="none"/>
              </w:rPr>
            </w:pPr>
            <w:r>
              <w:rPr>
                <w:rFonts w:hint="eastAsia" w:hAnsi="宋体" w:cs="宋体"/>
                <w:color w:val="auto"/>
                <w:sz w:val="24"/>
                <w:highlight w:val="none"/>
              </w:rPr>
              <w:t>1</w:t>
            </w:r>
          </w:p>
        </w:tc>
        <w:tc>
          <w:tcPr>
            <w:tcW w:w="0" w:type="auto"/>
            <w:vAlign w:val="center"/>
          </w:tcPr>
          <w:p w14:paraId="13AD2F01">
            <w:pPr>
              <w:shd w:val="clear"/>
              <w:spacing w:line="400" w:lineRule="exact"/>
              <w:jc w:val="center"/>
              <w:rPr>
                <w:rFonts w:hAnsi="宋体" w:cs="宋体"/>
                <w:color w:val="auto"/>
                <w:sz w:val="24"/>
                <w:highlight w:val="none"/>
              </w:rPr>
            </w:pPr>
            <w:r>
              <w:rPr>
                <w:rFonts w:hint="eastAsia" w:hAnsi="宋体" w:cs="宋体"/>
                <w:color w:val="auto"/>
                <w:sz w:val="24"/>
                <w:highlight w:val="none"/>
              </w:rPr>
              <w:t>7500.00</w:t>
            </w:r>
          </w:p>
        </w:tc>
        <w:tc>
          <w:tcPr>
            <w:tcW w:w="0" w:type="auto"/>
            <w:vAlign w:val="center"/>
          </w:tcPr>
          <w:p w14:paraId="680E05E5">
            <w:pPr>
              <w:shd w:val="clear"/>
              <w:spacing w:line="400" w:lineRule="exact"/>
              <w:jc w:val="center"/>
              <w:rPr>
                <w:rFonts w:hAnsi="宋体" w:cs="宋体"/>
                <w:color w:val="auto"/>
                <w:sz w:val="24"/>
                <w:highlight w:val="none"/>
              </w:rPr>
            </w:pPr>
            <w:r>
              <w:rPr>
                <w:rFonts w:hint="eastAsia" w:hAnsi="宋体" w:cs="宋体"/>
                <w:color w:val="auto"/>
                <w:sz w:val="24"/>
                <w:highlight w:val="none"/>
              </w:rPr>
              <w:t>否</w:t>
            </w:r>
          </w:p>
        </w:tc>
      </w:tr>
      <w:tr w14:paraId="17EFB5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0" w:type="auto"/>
            <w:vAlign w:val="center"/>
          </w:tcPr>
          <w:p w14:paraId="04F269E1">
            <w:pPr>
              <w:shd w:val="clear"/>
              <w:spacing w:line="400" w:lineRule="exact"/>
              <w:jc w:val="center"/>
              <w:rPr>
                <w:rFonts w:ascii="宋体" w:hAnsi="宋体" w:eastAsia="宋体" w:cs="宋体"/>
                <w:color w:val="auto"/>
                <w:sz w:val="24"/>
                <w:highlight w:val="none"/>
                <w:lang w:val="en-US" w:eastAsia="zh-CN" w:bidi="ar-SA"/>
              </w:rPr>
            </w:pPr>
            <w:r>
              <w:rPr>
                <w:rFonts w:hint="eastAsia" w:hAnsi="宋体" w:cs="宋体"/>
                <w:color w:val="auto"/>
                <w:sz w:val="24"/>
                <w:highlight w:val="none"/>
              </w:rPr>
              <w:t>18</w:t>
            </w:r>
          </w:p>
        </w:tc>
        <w:tc>
          <w:tcPr>
            <w:tcW w:w="0" w:type="auto"/>
            <w:vAlign w:val="center"/>
          </w:tcPr>
          <w:p w14:paraId="55343797">
            <w:pPr>
              <w:shd w:val="clear"/>
              <w:spacing w:line="400" w:lineRule="exact"/>
              <w:jc w:val="center"/>
              <w:rPr>
                <w:rFonts w:hAnsi="宋体" w:cs="宋体"/>
                <w:color w:val="auto"/>
                <w:sz w:val="24"/>
                <w:highlight w:val="none"/>
              </w:rPr>
            </w:pPr>
            <w:r>
              <w:rPr>
                <w:rFonts w:hint="eastAsia" w:hAnsi="宋体" w:cs="宋体"/>
                <w:color w:val="auto"/>
                <w:sz w:val="24"/>
                <w:highlight w:val="none"/>
              </w:rPr>
              <w:t>信号放大器</w:t>
            </w:r>
          </w:p>
        </w:tc>
        <w:tc>
          <w:tcPr>
            <w:tcW w:w="0" w:type="auto"/>
            <w:vAlign w:val="center"/>
          </w:tcPr>
          <w:p w14:paraId="2EDC5D58">
            <w:pPr>
              <w:shd w:val="clear"/>
              <w:spacing w:line="400" w:lineRule="exact"/>
              <w:jc w:val="center"/>
              <w:rPr>
                <w:rFonts w:hAnsi="宋体" w:cs="宋体"/>
                <w:color w:val="auto"/>
                <w:sz w:val="24"/>
                <w:highlight w:val="none"/>
              </w:rPr>
            </w:pPr>
            <w:r>
              <w:rPr>
                <w:rFonts w:hint="eastAsia" w:hAnsi="宋体" w:cs="宋体"/>
                <w:color w:val="auto"/>
                <w:sz w:val="24"/>
                <w:highlight w:val="none"/>
              </w:rPr>
              <w:t>个</w:t>
            </w:r>
          </w:p>
        </w:tc>
        <w:tc>
          <w:tcPr>
            <w:tcW w:w="0" w:type="auto"/>
            <w:vAlign w:val="center"/>
          </w:tcPr>
          <w:p w14:paraId="6DCA3289">
            <w:pPr>
              <w:shd w:val="clear"/>
              <w:spacing w:line="400" w:lineRule="exact"/>
              <w:jc w:val="center"/>
              <w:rPr>
                <w:rFonts w:hAnsi="宋体" w:cs="宋体"/>
                <w:color w:val="auto"/>
                <w:sz w:val="24"/>
                <w:highlight w:val="none"/>
              </w:rPr>
            </w:pPr>
            <w:r>
              <w:rPr>
                <w:rFonts w:hint="eastAsia" w:hAnsi="宋体" w:cs="宋体"/>
                <w:color w:val="auto"/>
                <w:sz w:val="24"/>
                <w:highlight w:val="none"/>
              </w:rPr>
              <w:t>1</w:t>
            </w:r>
          </w:p>
        </w:tc>
        <w:tc>
          <w:tcPr>
            <w:tcW w:w="0" w:type="auto"/>
            <w:vAlign w:val="center"/>
          </w:tcPr>
          <w:p w14:paraId="176CC674">
            <w:pPr>
              <w:shd w:val="clear"/>
              <w:spacing w:line="400" w:lineRule="exact"/>
              <w:jc w:val="center"/>
              <w:rPr>
                <w:rFonts w:hAnsi="宋体" w:cs="宋体"/>
                <w:color w:val="auto"/>
                <w:sz w:val="24"/>
                <w:highlight w:val="none"/>
              </w:rPr>
            </w:pPr>
            <w:r>
              <w:rPr>
                <w:rFonts w:hint="eastAsia" w:hAnsi="宋体" w:cs="宋体"/>
                <w:color w:val="auto"/>
                <w:sz w:val="24"/>
                <w:highlight w:val="none"/>
              </w:rPr>
              <w:t>1110.00</w:t>
            </w:r>
          </w:p>
        </w:tc>
        <w:tc>
          <w:tcPr>
            <w:tcW w:w="0" w:type="auto"/>
            <w:vAlign w:val="center"/>
          </w:tcPr>
          <w:p w14:paraId="1514E131">
            <w:pPr>
              <w:shd w:val="clear"/>
              <w:spacing w:line="400" w:lineRule="exact"/>
              <w:jc w:val="center"/>
              <w:rPr>
                <w:rFonts w:hAnsi="宋体" w:cs="宋体"/>
                <w:color w:val="auto"/>
                <w:sz w:val="24"/>
                <w:highlight w:val="none"/>
              </w:rPr>
            </w:pPr>
            <w:r>
              <w:rPr>
                <w:rFonts w:hint="eastAsia" w:hAnsi="宋体" w:cs="宋体"/>
                <w:color w:val="auto"/>
                <w:sz w:val="24"/>
                <w:highlight w:val="none"/>
              </w:rPr>
              <w:t>否</w:t>
            </w:r>
          </w:p>
        </w:tc>
      </w:tr>
      <w:tr w14:paraId="4A570C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0" w:type="auto"/>
            <w:vAlign w:val="center"/>
          </w:tcPr>
          <w:p w14:paraId="7D3240CE">
            <w:pPr>
              <w:shd w:val="clear"/>
              <w:spacing w:line="400" w:lineRule="exact"/>
              <w:jc w:val="center"/>
              <w:rPr>
                <w:rFonts w:ascii="宋体" w:hAnsi="宋体" w:eastAsia="宋体" w:cs="宋体"/>
                <w:color w:val="auto"/>
                <w:sz w:val="24"/>
                <w:highlight w:val="none"/>
                <w:lang w:val="en-US" w:eastAsia="zh-CN" w:bidi="ar-SA"/>
              </w:rPr>
            </w:pPr>
            <w:r>
              <w:rPr>
                <w:rFonts w:hint="eastAsia" w:hAnsi="宋体" w:cs="宋体"/>
                <w:color w:val="auto"/>
                <w:sz w:val="24"/>
                <w:highlight w:val="none"/>
              </w:rPr>
              <w:t>19</w:t>
            </w:r>
          </w:p>
        </w:tc>
        <w:tc>
          <w:tcPr>
            <w:tcW w:w="0" w:type="auto"/>
            <w:vAlign w:val="center"/>
          </w:tcPr>
          <w:p w14:paraId="09CBEB0A">
            <w:pPr>
              <w:shd w:val="clear"/>
              <w:spacing w:line="400" w:lineRule="exact"/>
              <w:jc w:val="center"/>
              <w:rPr>
                <w:rFonts w:hAnsi="宋体" w:cs="宋体"/>
                <w:color w:val="auto"/>
                <w:sz w:val="24"/>
                <w:highlight w:val="none"/>
              </w:rPr>
            </w:pPr>
            <w:r>
              <w:rPr>
                <w:rFonts w:hint="eastAsia" w:hAnsi="宋体" w:cs="宋体"/>
                <w:color w:val="auto"/>
                <w:sz w:val="24"/>
                <w:highlight w:val="none"/>
              </w:rPr>
              <w:t>电源、信号分线盒</w:t>
            </w:r>
          </w:p>
        </w:tc>
        <w:tc>
          <w:tcPr>
            <w:tcW w:w="0" w:type="auto"/>
            <w:vAlign w:val="center"/>
          </w:tcPr>
          <w:p w14:paraId="5C6DA532">
            <w:pPr>
              <w:shd w:val="clear"/>
              <w:spacing w:line="400" w:lineRule="exact"/>
              <w:jc w:val="center"/>
              <w:rPr>
                <w:rFonts w:hAnsi="宋体" w:cs="宋体"/>
                <w:color w:val="auto"/>
                <w:sz w:val="24"/>
                <w:highlight w:val="none"/>
              </w:rPr>
            </w:pPr>
            <w:r>
              <w:rPr>
                <w:rFonts w:hint="eastAsia" w:hAnsi="宋体" w:cs="宋体"/>
                <w:color w:val="auto"/>
                <w:sz w:val="24"/>
                <w:highlight w:val="none"/>
              </w:rPr>
              <w:t>个</w:t>
            </w:r>
          </w:p>
        </w:tc>
        <w:tc>
          <w:tcPr>
            <w:tcW w:w="0" w:type="auto"/>
            <w:vAlign w:val="center"/>
          </w:tcPr>
          <w:p w14:paraId="04294267">
            <w:pPr>
              <w:shd w:val="clear"/>
              <w:spacing w:line="400" w:lineRule="exact"/>
              <w:jc w:val="center"/>
              <w:rPr>
                <w:rFonts w:hAnsi="宋体" w:cs="宋体"/>
                <w:color w:val="auto"/>
                <w:sz w:val="24"/>
                <w:highlight w:val="none"/>
              </w:rPr>
            </w:pPr>
            <w:r>
              <w:rPr>
                <w:rFonts w:hint="eastAsia" w:hAnsi="宋体" w:cs="宋体"/>
                <w:color w:val="auto"/>
                <w:sz w:val="24"/>
                <w:highlight w:val="none"/>
              </w:rPr>
              <w:t>4</w:t>
            </w:r>
          </w:p>
        </w:tc>
        <w:tc>
          <w:tcPr>
            <w:tcW w:w="0" w:type="auto"/>
            <w:vAlign w:val="center"/>
          </w:tcPr>
          <w:p w14:paraId="1045B0E6">
            <w:pPr>
              <w:shd w:val="clear"/>
              <w:spacing w:line="400" w:lineRule="exact"/>
              <w:jc w:val="center"/>
              <w:rPr>
                <w:rFonts w:hAnsi="宋体" w:cs="宋体"/>
                <w:color w:val="auto"/>
                <w:sz w:val="24"/>
                <w:highlight w:val="none"/>
              </w:rPr>
            </w:pPr>
            <w:r>
              <w:rPr>
                <w:rFonts w:hint="eastAsia" w:hAnsi="宋体" w:cs="宋体"/>
                <w:color w:val="auto"/>
                <w:sz w:val="24"/>
                <w:highlight w:val="none"/>
              </w:rPr>
              <w:t>600.00</w:t>
            </w:r>
          </w:p>
        </w:tc>
        <w:tc>
          <w:tcPr>
            <w:tcW w:w="0" w:type="auto"/>
            <w:vAlign w:val="center"/>
          </w:tcPr>
          <w:p w14:paraId="27469560">
            <w:pPr>
              <w:shd w:val="clear"/>
              <w:spacing w:line="400" w:lineRule="exact"/>
              <w:jc w:val="center"/>
              <w:rPr>
                <w:rFonts w:hAnsi="宋体" w:cs="宋体"/>
                <w:color w:val="auto"/>
                <w:sz w:val="24"/>
                <w:highlight w:val="none"/>
              </w:rPr>
            </w:pPr>
            <w:r>
              <w:rPr>
                <w:rFonts w:hint="eastAsia" w:hAnsi="宋体" w:cs="宋体"/>
                <w:color w:val="auto"/>
                <w:sz w:val="24"/>
                <w:highlight w:val="none"/>
              </w:rPr>
              <w:t>否</w:t>
            </w:r>
          </w:p>
        </w:tc>
      </w:tr>
      <w:tr w14:paraId="45E36C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0" w:type="auto"/>
            <w:vAlign w:val="center"/>
          </w:tcPr>
          <w:p w14:paraId="1758A9B3">
            <w:pPr>
              <w:shd w:val="clear"/>
              <w:spacing w:line="400" w:lineRule="exact"/>
              <w:jc w:val="center"/>
              <w:rPr>
                <w:rFonts w:ascii="宋体" w:hAnsi="宋体" w:eastAsia="宋体" w:cs="宋体"/>
                <w:color w:val="auto"/>
                <w:sz w:val="24"/>
                <w:highlight w:val="none"/>
                <w:lang w:val="en-US" w:eastAsia="zh-CN" w:bidi="ar-SA"/>
              </w:rPr>
            </w:pPr>
            <w:r>
              <w:rPr>
                <w:rFonts w:hint="eastAsia" w:hAnsi="宋体" w:cs="宋体"/>
                <w:color w:val="auto"/>
                <w:sz w:val="24"/>
                <w:highlight w:val="none"/>
              </w:rPr>
              <w:t>20</w:t>
            </w:r>
          </w:p>
        </w:tc>
        <w:tc>
          <w:tcPr>
            <w:tcW w:w="0" w:type="auto"/>
            <w:vAlign w:val="center"/>
          </w:tcPr>
          <w:p w14:paraId="6412541F">
            <w:pPr>
              <w:shd w:val="clear"/>
              <w:spacing w:line="400" w:lineRule="exact"/>
              <w:jc w:val="center"/>
              <w:rPr>
                <w:rFonts w:hAnsi="宋体" w:cs="宋体"/>
                <w:color w:val="auto"/>
                <w:sz w:val="24"/>
                <w:highlight w:val="none"/>
              </w:rPr>
            </w:pPr>
            <w:r>
              <w:rPr>
                <w:rFonts w:hint="eastAsia" w:hAnsi="宋体" w:cs="宋体"/>
                <w:color w:val="auto"/>
                <w:sz w:val="24"/>
                <w:highlight w:val="none"/>
              </w:rPr>
              <w:t>电源接插件</w:t>
            </w:r>
          </w:p>
        </w:tc>
        <w:tc>
          <w:tcPr>
            <w:tcW w:w="0" w:type="auto"/>
            <w:vAlign w:val="center"/>
          </w:tcPr>
          <w:p w14:paraId="435D879C">
            <w:pPr>
              <w:shd w:val="clear"/>
              <w:spacing w:line="400" w:lineRule="exact"/>
              <w:jc w:val="center"/>
              <w:rPr>
                <w:rFonts w:hAnsi="宋体" w:cs="宋体"/>
                <w:color w:val="auto"/>
                <w:sz w:val="24"/>
                <w:highlight w:val="none"/>
              </w:rPr>
            </w:pPr>
            <w:r>
              <w:rPr>
                <w:rFonts w:hint="eastAsia" w:hAnsi="宋体" w:cs="宋体"/>
                <w:color w:val="auto"/>
                <w:sz w:val="24"/>
                <w:highlight w:val="none"/>
              </w:rPr>
              <w:t>个</w:t>
            </w:r>
          </w:p>
        </w:tc>
        <w:tc>
          <w:tcPr>
            <w:tcW w:w="0" w:type="auto"/>
            <w:vAlign w:val="center"/>
          </w:tcPr>
          <w:p w14:paraId="78F367FB">
            <w:pPr>
              <w:shd w:val="clear"/>
              <w:spacing w:line="400" w:lineRule="exact"/>
              <w:jc w:val="center"/>
              <w:rPr>
                <w:rFonts w:hAnsi="宋体" w:cs="宋体"/>
                <w:color w:val="auto"/>
                <w:sz w:val="24"/>
                <w:highlight w:val="none"/>
              </w:rPr>
            </w:pPr>
            <w:r>
              <w:rPr>
                <w:rFonts w:hint="eastAsia" w:hAnsi="宋体" w:cs="宋体"/>
                <w:color w:val="auto"/>
                <w:sz w:val="24"/>
                <w:highlight w:val="none"/>
              </w:rPr>
              <w:t>50</w:t>
            </w:r>
          </w:p>
        </w:tc>
        <w:tc>
          <w:tcPr>
            <w:tcW w:w="0" w:type="auto"/>
            <w:vAlign w:val="center"/>
          </w:tcPr>
          <w:p w14:paraId="341602C2">
            <w:pPr>
              <w:shd w:val="clear"/>
              <w:spacing w:line="400" w:lineRule="exact"/>
              <w:jc w:val="center"/>
              <w:rPr>
                <w:rFonts w:hAnsi="宋体" w:cs="宋体"/>
                <w:color w:val="auto"/>
                <w:sz w:val="24"/>
                <w:highlight w:val="none"/>
              </w:rPr>
            </w:pPr>
            <w:r>
              <w:rPr>
                <w:rFonts w:hint="eastAsia" w:hAnsi="宋体" w:cs="宋体"/>
                <w:color w:val="auto"/>
                <w:sz w:val="24"/>
                <w:highlight w:val="none"/>
              </w:rPr>
              <w:t>20.00</w:t>
            </w:r>
          </w:p>
        </w:tc>
        <w:tc>
          <w:tcPr>
            <w:tcW w:w="0" w:type="auto"/>
            <w:vAlign w:val="center"/>
          </w:tcPr>
          <w:p w14:paraId="17ED5DB8">
            <w:pPr>
              <w:shd w:val="clear"/>
              <w:spacing w:line="400" w:lineRule="exact"/>
              <w:jc w:val="center"/>
              <w:rPr>
                <w:rFonts w:hAnsi="宋体" w:cs="宋体"/>
                <w:color w:val="auto"/>
                <w:sz w:val="24"/>
                <w:highlight w:val="none"/>
              </w:rPr>
            </w:pPr>
            <w:r>
              <w:rPr>
                <w:rFonts w:hint="eastAsia" w:hAnsi="宋体" w:cs="宋体"/>
                <w:color w:val="auto"/>
                <w:sz w:val="24"/>
                <w:highlight w:val="none"/>
              </w:rPr>
              <w:t>否</w:t>
            </w:r>
          </w:p>
        </w:tc>
      </w:tr>
      <w:tr w14:paraId="552A95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0" w:type="auto"/>
            <w:vAlign w:val="center"/>
          </w:tcPr>
          <w:p w14:paraId="226ACCBA">
            <w:pPr>
              <w:shd w:val="clear"/>
              <w:spacing w:line="400" w:lineRule="exact"/>
              <w:jc w:val="center"/>
              <w:rPr>
                <w:rFonts w:ascii="宋体" w:hAnsi="宋体" w:eastAsia="宋体" w:cs="宋体"/>
                <w:color w:val="auto"/>
                <w:sz w:val="24"/>
                <w:highlight w:val="none"/>
                <w:lang w:val="en-US" w:eastAsia="zh-CN" w:bidi="ar-SA"/>
              </w:rPr>
            </w:pPr>
            <w:r>
              <w:rPr>
                <w:rFonts w:hint="eastAsia" w:hAnsi="宋体" w:cs="宋体"/>
                <w:color w:val="auto"/>
                <w:sz w:val="24"/>
                <w:highlight w:val="none"/>
              </w:rPr>
              <w:t>21</w:t>
            </w:r>
          </w:p>
        </w:tc>
        <w:tc>
          <w:tcPr>
            <w:tcW w:w="0" w:type="auto"/>
            <w:vAlign w:val="center"/>
          </w:tcPr>
          <w:p w14:paraId="73DC5259">
            <w:pPr>
              <w:shd w:val="clear"/>
              <w:spacing w:line="400" w:lineRule="exact"/>
              <w:jc w:val="center"/>
              <w:rPr>
                <w:rFonts w:hAnsi="宋体" w:cs="宋体"/>
                <w:color w:val="auto"/>
                <w:sz w:val="24"/>
                <w:highlight w:val="none"/>
              </w:rPr>
            </w:pPr>
            <w:r>
              <w:rPr>
                <w:rFonts w:hint="eastAsia" w:hAnsi="宋体" w:cs="宋体"/>
                <w:color w:val="auto"/>
                <w:sz w:val="24"/>
                <w:highlight w:val="none"/>
              </w:rPr>
              <w:t>信号接插件</w:t>
            </w:r>
          </w:p>
        </w:tc>
        <w:tc>
          <w:tcPr>
            <w:tcW w:w="0" w:type="auto"/>
            <w:vAlign w:val="center"/>
          </w:tcPr>
          <w:p w14:paraId="57BC65F0">
            <w:pPr>
              <w:shd w:val="clear"/>
              <w:spacing w:line="400" w:lineRule="exact"/>
              <w:jc w:val="center"/>
              <w:rPr>
                <w:rFonts w:hAnsi="宋体" w:cs="宋体"/>
                <w:color w:val="auto"/>
                <w:sz w:val="24"/>
                <w:highlight w:val="none"/>
              </w:rPr>
            </w:pPr>
            <w:r>
              <w:rPr>
                <w:rFonts w:hint="eastAsia" w:hAnsi="宋体" w:cs="宋体"/>
                <w:color w:val="auto"/>
                <w:sz w:val="24"/>
                <w:highlight w:val="none"/>
              </w:rPr>
              <w:t>个</w:t>
            </w:r>
          </w:p>
        </w:tc>
        <w:tc>
          <w:tcPr>
            <w:tcW w:w="0" w:type="auto"/>
            <w:vAlign w:val="center"/>
          </w:tcPr>
          <w:p w14:paraId="6A766842">
            <w:pPr>
              <w:shd w:val="clear"/>
              <w:spacing w:line="400" w:lineRule="exact"/>
              <w:jc w:val="center"/>
              <w:rPr>
                <w:rFonts w:hAnsi="宋体" w:cs="宋体"/>
                <w:color w:val="auto"/>
                <w:sz w:val="24"/>
                <w:highlight w:val="none"/>
              </w:rPr>
            </w:pPr>
            <w:r>
              <w:rPr>
                <w:rFonts w:hint="eastAsia" w:hAnsi="宋体" w:cs="宋体"/>
                <w:color w:val="auto"/>
                <w:sz w:val="24"/>
                <w:highlight w:val="none"/>
              </w:rPr>
              <w:t>50</w:t>
            </w:r>
          </w:p>
        </w:tc>
        <w:tc>
          <w:tcPr>
            <w:tcW w:w="0" w:type="auto"/>
            <w:vAlign w:val="center"/>
          </w:tcPr>
          <w:p w14:paraId="5B68F019">
            <w:pPr>
              <w:shd w:val="clear"/>
              <w:spacing w:line="400" w:lineRule="exact"/>
              <w:jc w:val="center"/>
              <w:rPr>
                <w:rFonts w:hAnsi="宋体" w:cs="宋体"/>
                <w:color w:val="auto"/>
                <w:sz w:val="24"/>
                <w:highlight w:val="none"/>
              </w:rPr>
            </w:pPr>
            <w:r>
              <w:rPr>
                <w:rFonts w:hint="eastAsia" w:hAnsi="宋体" w:cs="宋体"/>
                <w:color w:val="auto"/>
                <w:sz w:val="24"/>
                <w:highlight w:val="none"/>
              </w:rPr>
              <w:t>20.00</w:t>
            </w:r>
          </w:p>
        </w:tc>
        <w:tc>
          <w:tcPr>
            <w:tcW w:w="0" w:type="auto"/>
            <w:vAlign w:val="center"/>
          </w:tcPr>
          <w:p w14:paraId="186BB680">
            <w:pPr>
              <w:shd w:val="clear"/>
              <w:spacing w:line="400" w:lineRule="exact"/>
              <w:jc w:val="center"/>
              <w:rPr>
                <w:rFonts w:hAnsi="宋体" w:cs="宋体"/>
                <w:color w:val="auto"/>
                <w:sz w:val="24"/>
                <w:highlight w:val="none"/>
              </w:rPr>
            </w:pPr>
            <w:r>
              <w:rPr>
                <w:rFonts w:hint="eastAsia" w:hAnsi="宋体" w:cs="宋体"/>
                <w:color w:val="auto"/>
                <w:sz w:val="24"/>
                <w:highlight w:val="none"/>
              </w:rPr>
              <w:t>否</w:t>
            </w:r>
          </w:p>
        </w:tc>
      </w:tr>
      <w:tr w14:paraId="30A985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0" w:type="auto"/>
            <w:vAlign w:val="center"/>
          </w:tcPr>
          <w:p w14:paraId="5AC82BAF">
            <w:pPr>
              <w:shd w:val="clear"/>
              <w:spacing w:line="400" w:lineRule="exact"/>
              <w:jc w:val="center"/>
              <w:rPr>
                <w:rFonts w:ascii="宋体" w:hAnsi="宋体" w:eastAsia="宋体" w:cs="宋体"/>
                <w:color w:val="auto"/>
                <w:sz w:val="24"/>
                <w:highlight w:val="none"/>
                <w:lang w:val="en-US" w:eastAsia="zh-CN" w:bidi="ar-SA"/>
              </w:rPr>
            </w:pPr>
            <w:r>
              <w:rPr>
                <w:rFonts w:hint="eastAsia" w:hAnsi="宋体" w:cs="宋体"/>
                <w:color w:val="auto"/>
                <w:sz w:val="24"/>
                <w:highlight w:val="none"/>
              </w:rPr>
              <w:t>22</w:t>
            </w:r>
          </w:p>
        </w:tc>
        <w:tc>
          <w:tcPr>
            <w:tcW w:w="0" w:type="auto"/>
            <w:vAlign w:val="center"/>
          </w:tcPr>
          <w:p w14:paraId="5E011FBB">
            <w:pPr>
              <w:shd w:val="clear"/>
              <w:spacing w:line="400" w:lineRule="exact"/>
              <w:jc w:val="center"/>
              <w:rPr>
                <w:rFonts w:hAnsi="宋体" w:cs="宋体"/>
                <w:color w:val="auto"/>
                <w:sz w:val="24"/>
                <w:highlight w:val="none"/>
              </w:rPr>
            </w:pPr>
            <w:r>
              <w:rPr>
                <w:rFonts w:hint="eastAsia" w:hAnsi="宋体" w:cs="宋体"/>
                <w:color w:val="auto"/>
                <w:sz w:val="24"/>
                <w:highlight w:val="none"/>
              </w:rPr>
              <w:t>电源线</w:t>
            </w:r>
          </w:p>
        </w:tc>
        <w:tc>
          <w:tcPr>
            <w:tcW w:w="0" w:type="auto"/>
            <w:vAlign w:val="center"/>
          </w:tcPr>
          <w:p w14:paraId="75599847">
            <w:pPr>
              <w:shd w:val="clear"/>
              <w:spacing w:line="400" w:lineRule="exact"/>
              <w:jc w:val="center"/>
              <w:rPr>
                <w:rFonts w:hAnsi="宋体" w:cs="宋体"/>
                <w:color w:val="auto"/>
                <w:sz w:val="24"/>
                <w:highlight w:val="none"/>
              </w:rPr>
            </w:pPr>
            <w:r>
              <w:rPr>
                <w:rFonts w:hint="eastAsia" w:hAnsi="宋体" w:cs="宋体"/>
                <w:color w:val="auto"/>
                <w:sz w:val="24"/>
                <w:highlight w:val="none"/>
              </w:rPr>
              <w:t>米</w:t>
            </w:r>
          </w:p>
        </w:tc>
        <w:tc>
          <w:tcPr>
            <w:tcW w:w="0" w:type="auto"/>
            <w:vAlign w:val="center"/>
          </w:tcPr>
          <w:p w14:paraId="6C954C51">
            <w:pPr>
              <w:shd w:val="clear"/>
              <w:spacing w:line="400" w:lineRule="exact"/>
              <w:jc w:val="center"/>
              <w:rPr>
                <w:rFonts w:hAnsi="宋体" w:cs="宋体"/>
                <w:color w:val="auto"/>
                <w:sz w:val="24"/>
                <w:highlight w:val="none"/>
              </w:rPr>
            </w:pPr>
            <w:r>
              <w:rPr>
                <w:rFonts w:hint="eastAsia" w:hAnsi="宋体" w:cs="宋体"/>
                <w:color w:val="auto"/>
                <w:sz w:val="24"/>
                <w:highlight w:val="none"/>
              </w:rPr>
              <w:t>800</w:t>
            </w:r>
          </w:p>
        </w:tc>
        <w:tc>
          <w:tcPr>
            <w:tcW w:w="0" w:type="auto"/>
            <w:vAlign w:val="center"/>
          </w:tcPr>
          <w:p w14:paraId="33730EC9">
            <w:pPr>
              <w:shd w:val="clear"/>
              <w:spacing w:line="400" w:lineRule="exact"/>
              <w:jc w:val="center"/>
              <w:rPr>
                <w:rFonts w:hAnsi="宋体" w:cs="宋体"/>
                <w:color w:val="auto"/>
                <w:sz w:val="24"/>
                <w:highlight w:val="none"/>
              </w:rPr>
            </w:pPr>
            <w:r>
              <w:rPr>
                <w:rFonts w:hint="eastAsia" w:hAnsi="宋体" w:cs="宋体"/>
                <w:color w:val="auto"/>
                <w:sz w:val="24"/>
                <w:highlight w:val="none"/>
              </w:rPr>
              <w:t>9.00</w:t>
            </w:r>
          </w:p>
        </w:tc>
        <w:tc>
          <w:tcPr>
            <w:tcW w:w="0" w:type="auto"/>
            <w:vAlign w:val="center"/>
          </w:tcPr>
          <w:p w14:paraId="075E7E56">
            <w:pPr>
              <w:shd w:val="clear"/>
              <w:spacing w:line="400" w:lineRule="exact"/>
              <w:jc w:val="center"/>
              <w:rPr>
                <w:rFonts w:hAnsi="宋体" w:cs="宋体"/>
                <w:color w:val="auto"/>
                <w:sz w:val="24"/>
                <w:highlight w:val="none"/>
              </w:rPr>
            </w:pPr>
            <w:r>
              <w:rPr>
                <w:rFonts w:hint="eastAsia" w:hAnsi="宋体" w:cs="宋体"/>
                <w:color w:val="auto"/>
                <w:sz w:val="24"/>
                <w:highlight w:val="none"/>
              </w:rPr>
              <w:t>否</w:t>
            </w:r>
          </w:p>
        </w:tc>
      </w:tr>
      <w:tr w14:paraId="1A90AE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0" w:type="auto"/>
            <w:vAlign w:val="center"/>
          </w:tcPr>
          <w:p w14:paraId="6EBF2A91">
            <w:pPr>
              <w:shd w:val="clear"/>
              <w:spacing w:line="400" w:lineRule="exact"/>
              <w:jc w:val="center"/>
              <w:rPr>
                <w:rFonts w:ascii="宋体" w:hAnsi="宋体" w:eastAsia="宋体" w:cs="宋体"/>
                <w:color w:val="auto"/>
                <w:sz w:val="24"/>
                <w:highlight w:val="none"/>
                <w:lang w:val="en-US" w:eastAsia="zh-CN" w:bidi="ar-SA"/>
              </w:rPr>
            </w:pPr>
            <w:r>
              <w:rPr>
                <w:rFonts w:hint="eastAsia" w:hAnsi="宋体" w:cs="宋体"/>
                <w:color w:val="auto"/>
                <w:sz w:val="24"/>
                <w:highlight w:val="none"/>
              </w:rPr>
              <w:t>23</w:t>
            </w:r>
          </w:p>
        </w:tc>
        <w:tc>
          <w:tcPr>
            <w:tcW w:w="0" w:type="auto"/>
            <w:vAlign w:val="center"/>
          </w:tcPr>
          <w:p w14:paraId="7181125A">
            <w:pPr>
              <w:shd w:val="clear"/>
              <w:spacing w:line="400" w:lineRule="exact"/>
              <w:jc w:val="center"/>
              <w:rPr>
                <w:rFonts w:hAnsi="宋体" w:cs="宋体"/>
                <w:color w:val="auto"/>
                <w:sz w:val="24"/>
                <w:highlight w:val="none"/>
              </w:rPr>
            </w:pPr>
            <w:r>
              <w:rPr>
                <w:rFonts w:hint="eastAsia" w:hAnsi="宋体" w:cs="宋体"/>
                <w:color w:val="auto"/>
                <w:sz w:val="24"/>
                <w:highlight w:val="none"/>
              </w:rPr>
              <w:t>信号线</w:t>
            </w:r>
          </w:p>
        </w:tc>
        <w:tc>
          <w:tcPr>
            <w:tcW w:w="0" w:type="auto"/>
            <w:vAlign w:val="center"/>
          </w:tcPr>
          <w:p w14:paraId="0B8D8EE6">
            <w:pPr>
              <w:shd w:val="clear"/>
              <w:spacing w:line="400" w:lineRule="exact"/>
              <w:jc w:val="center"/>
              <w:rPr>
                <w:rFonts w:hAnsi="宋体" w:cs="宋体"/>
                <w:color w:val="auto"/>
                <w:sz w:val="24"/>
                <w:highlight w:val="none"/>
              </w:rPr>
            </w:pPr>
            <w:r>
              <w:rPr>
                <w:rFonts w:hint="eastAsia" w:hAnsi="宋体" w:cs="宋体"/>
                <w:color w:val="auto"/>
                <w:sz w:val="24"/>
                <w:highlight w:val="none"/>
              </w:rPr>
              <w:t>米</w:t>
            </w:r>
          </w:p>
        </w:tc>
        <w:tc>
          <w:tcPr>
            <w:tcW w:w="0" w:type="auto"/>
            <w:vAlign w:val="center"/>
          </w:tcPr>
          <w:p w14:paraId="314D7000">
            <w:pPr>
              <w:shd w:val="clear"/>
              <w:spacing w:line="400" w:lineRule="exact"/>
              <w:jc w:val="center"/>
              <w:rPr>
                <w:rFonts w:hAnsi="宋体" w:cs="宋体"/>
                <w:color w:val="auto"/>
                <w:sz w:val="24"/>
                <w:highlight w:val="none"/>
              </w:rPr>
            </w:pPr>
            <w:r>
              <w:rPr>
                <w:rFonts w:hint="eastAsia" w:hAnsi="宋体" w:cs="宋体"/>
                <w:color w:val="auto"/>
                <w:sz w:val="24"/>
                <w:highlight w:val="none"/>
              </w:rPr>
              <w:t>800</w:t>
            </w:r>
          </w:p>
        </w:tc>
        <w:tc>
          <w:tcPr>
            <w:tcW w:w="0" w:type="auto"/>
            <w:vAlign w:val="center"/>
          </w:tcPr>
          <w:p w14:paraId="6CB088BA">
            <w:pPr>
              <w:shd w:val="clear"/>
              <w:spacing w:line="400" w:lineRule="exact"/>
              <w:jc w:val="center"/>
              <w:rPr>
                <w:rFonts w:hAnsi="宋体" w:cs="宋体"/>
                <w:color w:val="auto"/>
                <w:sz w:val="24"/>
                <w:highlight w:val="none"/>
              </w:rPr>
            </w:pPr>
            <w:r>
              <w:rPr>
                <w:rFonts w:hint="eastAsia" w:hAnsi="宋体" w:cs="宋体"/>
                <w:color w:val="auto"/>
                <w:sz w:val="24"/>
                <w:highlight w:val="none"/>
              </w:rPr>
              <w:t>5.00</w:t>
            </w:r>
          </w:p>
        </w:tc>
        <w:tc>
          <w:tcPr>
            <w:tcW w:w="0" w:type="auto"/>
            <w:vAlign w:val="center"/>
          </w:tcPr>
          <w:p w14:paraId="437D9BBE">
            <w:pPr>
              <w:shd w:val="clear"/>
              <w:spacing w:line="400" w:lineRule="exact"/>
              <w:jc w:val="center"/>
              <w:rPr>
                <w:rFonts w:hAnsi="宋体" w:cs="宋体"/>
                <w:color w:val="auto"/>
                <w:sz w:val="24"/>
                <w:highlight w:val="none"/>
              </w:rPr>
            </w:pPr>
            <w:r>
              <w:rPr>
                <w:rFonts w:hint="eastAsia" w:hAnsi="宋体" w:cs="宋体"/>
                <w:color w:val="auto"/>
                <w:sz w:val="24"/>
                <w:highlight w:val="none"/>
              </w:rPr>
              <w:t>否</w:t>
            </w:r>
          </w:p>
        </w:tc>
      </w:tr>
      <w:tr w14:paraId="1ACB07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0" w:type="auto"/>
            <w:vAlign w:val="center"/>
          </w:tcPr>
          <w:p w14:paraId="4C23ED74">
            <w:pPr>
              <w:shd w:val="clear"/>
              <w:spacing w:line="400" w:lineRule="exact"/>
              <w:jc w:val="center"/>
              <w:rPr>
                <w:rFonts w:ascii="宋体" w:hAnsi="宋体" w:eastAsia="宋体" w:cs="宋体"/>
                <w:color w:val="auto"/>
                <w:sz w:val="24"/>
                <w:highlight w:val="none"/>
                <w:lang w:val="en-US" w:eastAsia="zh-CN" w:bidi="ar-SA"/>
              </w:rPr>
            </w:pPr>
            <w:r>
              <w:rPr>
                <w:rFonts w:hint="eastAsia" w:hAnsi="宋体" w:cs="宋体"/>
                <w:color w:val="auto"/>
                <w:sz w:val="24"/>
                <w:highlight w:val="none"/>
              </w:rPr>
              <w:t>24</w:t>
            </w:r>
          </w:p>
        </w:tc>
        <w:tc>
          <w:tcPr>
            <w:tcW w:w="0" w:type="auto"/>
            <w:vAlign w:val="center"/>
          </w:tcPr>
          <w:p w14:paraId="36423152">
            <w:pPr>
              <w:shd w:val="clear"/>
              <w:spacing w:line="400" w:lineRule="exact"/>
              <w:jc w:val="center"/>
              <w:rPr>
                <w:rFonts w:hAnsi="宋体" w:cs="宋体"/>
                <w:color w:val="auto"/>
                <w:sz w:val="24"/>
                <w:highlight w:val="none"/>
              </w:rPr>
            </w:pPr>
            <w:r>
              <w:rPr>
                <w:rFonts w:hint="eastAsia" w:hAnsi="宋体" w:cs="宋体"/>
                <w:color w:val="auto"/>
                <w:sz w:val="24"/>
                <w:highlight w:val="none"/>
              </w:rPr>
              <w:t>灯光系统集成</w:t>
            </w:r>
          </w:p>
        </w:tc>
        <w:tc>
          <w:tcPr>
            <w:tcW w:w="0" w:type="auto"/>
            <w:vAlign w:val="center"/>
          </w:tcPr>
          <w:p w14:paraId="0F13F108">
            <w:pPr>
              <w:shd w:val="clear"/>
              <w:spacing w:line="400" w:lineRule="exact"/>
              <w:jc w:val="center"/>
              <w:rPr>
                <w:rFonts w:hAnsi="宋体" w:cs="宋体"/>
                <w:color w:val="auto"/>
                <w:sz w:val="24"/>
                <w:highlight w:val="none"/>
              </w:rPr>
            </w:pPr>
            <w:r>
              <w:rPr>
                <w:rFonts w:hint="eastAsia" w:hAnsi="宋体" w:cs="宋体"/>
                <w:color w:val="auto"/>
                <w:sz w:val="24"/>
                <w:highlight w:val="none"/>
              </w:rPr>
              <w:t>套</w:t>
            </w:r>
          </w:p>
        </w:tc>
        <w:tc>
          <w:tcPr>
            <w:tcW w:w="0" w:type="auto"/>
            <w:vAlign w:val="center"/>
          </w:tcPr>
          <w:p w14:paraId="74852D19">
            <w:pPr>
              <w:shd w:val="clear"/>
              <w:spacing w:line="400" w:lineRule="exact"/>
              <w:jc w:val="center"/>
              <w:rPr>
                <w:rFonts w:hAnsi="宋体" w:cs="宋体"/>
                <w:color w:val="auto"/>
                <w:sz w:val="24"/>
                <w:highlight w:val="none"/>
              </w:rPr>
            </w:pPr>
            <w:r>
              <w:rPr>
                <w:rFonts w:hint="eastAsia" w:hAnsi="宋体" w:cs="宋体"/>
                <w:color w:val="auto"/>
                <w:sz w:val="24"/>
                <w:highlight w:val="none"/>
              </w:rPr>
              <w:t>1</w:t>
            </w:r>
          </w:p>
        </w:tc>
        <w:tc>
          <w:tcPr>
            <w:tcW w:w="0" w:type="auto"/>
            <w:vAlign w:val="center"/>
          </w:tcPr>
          <w:p w14:paraId="0DCD5FBA">
            <w:pPr>
              <w:shd w:val="clear"/>
              <w:spacing w:line="400" w:lineRule="exact"/>
              <w:jc w:val="center"/>
              <w:rPr>
                <w:rFonts w:hAnsi="宋体" w:cs="宋体"/>
                <w:color w:val="auto"/>
                <w:sz w:val="24"/>
                <w:highlight w:val="none"/>
              </w:rPr>
            </w:pPr>
            <w:r>
              <w:rPr>
                <w:rFonts w:hint="eastAsia" w:hAnsi="宋体" w:cs="宋体"/>
                <w:color w:val="auto"/>
                <w:sz w:val="24"/>
                <w:highlight w:val="none"/>
              </w:rPr>
              <w:t>20000.00</w:t>
            </w:r>
          </w:p>
        </w:tc>
        <w:tc>
          <w:tcPr>
            <w:tcW w:w="0" w:type="auto"/>
            <w:vAlign w:val="center"/>
          </w:tcPr>
          <w:p w14:paraId="1DFFABB8">
            <w:pPr>
              <w:shd w:val="clear"/>
              <w:spacing w:line="400" w:lineRule="exact"/>
              <w:jc w:val="center"/>
              <w:rPr>
                <w:rFonts w:hAnsi="宋体" w:cs="宋体"/>
                <w:color w:val="auto"/>
                <w:sz w:val="24"/>
                <w:highlight w:val="none"/>
              </w:rPr>
            </w:pPr>
            <w:r>
              <w:rPr>
                <w:rFonts w:hint="eastAsia" w:hAnsi="宋体" w:cs="宋体"/>
                <w:color w:val="auto"/>
                <w:sz w:val="24"/>
                <w:highlight w:val="none"/>
              </w:rPr>
              <w:t>否</w:t>
            </w:r>
          </w:p>
        </w:tc>
      </w:tr>
      <w:tr w14:paraId="08D567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0" w:type="auto"/>
            <w:vAlign w:val="center"/>
          </w:tcPr>
          <w:p w14:paraId="5015D568">
            <w:pPr>
              <w:shd w:val="clear"/>
              <w:spacing w:line="400" w:lineRule="exact"/>
              <w:jc w:val="center"/>
              <w:rPr>
                <w:rFonts w:ascii="宋体" w:hAnsi="宋体" w:eastAsia="宋体" w:cs="宋体"/>
                <w:color w:val="auto"/>
                <w:sz w:val="24"/>
                <w:highlight w:val="none"/>
                <w:lang w:val="en-US" w:eastAsia="zh-CN" w:bidi="ar-SA"/>
              </w:rPr>
            </w:pPr>
            <w:r>
              <w:rPr>
                <w:rFonts w:hint="eastAsia" w:hAnsi="宋体" w:cs="宋体"/>
                <w:color w:val="auto"/>
                <w:sz w:val="24"/>
                <w:highlight w:val="none"/>
              </w:rPr>
              <w:t>25</w:t>
            </w:r>
          </w:p>
        </w:tc>
        <w:tc>
          <w:tcPr>
            <w:tcW w:w="0" w:type="auto"/>
            <w:vAlign w:val="center"/>
          </w:tcPr>
          <w:p w14:paraId="38E48852">
            <w:pPr>
              <w:shd w:val="clear"/>
              <w:spacing w:line="400" w:lineRule="exact"/>
              <w:jc w:val="center"/>
              <w:rPr>
                <w:rFonts w:hAnsi="宋体" w:cs="宋体"/>
                <w:color w:val="auto"/>
                <w:sz w:val="24"/>
                <w:highlight w:val="none"/>
              </w:rPr>
            </w:pPr>
            <w:r>
              <w:rPr>
                <w:rFonts w:hint="eastAsia" w:hAnsi="宋体" w:cs="宋体"/>
                <w:color w:val="auto"/>
                <w:sz w:val="24"/>
                <w:highlight w:val="none"/>
              </w:rPr>
              <w:t>监听音响</w:t>
            </w:r>
          </w:p>
        </w:tc>
        <w:tc>
          <w:tcPr>
            <w:tcW w:w="0" w:type="auto"/>
            <w:vAlign w:val="center"/>
          </w:tcPr>
          <w:p w14:paraId="159B17C5">
            <w:pPr>
              <w:shd w:val="clear"/>
              <w:spacing w:line="400" w:lineRule="exact"/>
              <w:jc w:val="center"/>
              <w:rPr>
                <w:rFonts w:hAnsi="宋体" w:cs="宋体"/>
                <w:color w:val="auto"/>
                <w:sz w:val="24"/>
                <w:highlight w:val="none"/>
              </w:rPr>
            </w:pPr>
            <w:r>
              <w:rPr>
                <w:rFonts w:hint="eastAsia" w:hAnsi="宋体" w:cs="宋体"/>
                <w:color w:val="auto"/>
                <w:sz w:val="24"/>
                <w:highlight w:val="none"/>
              </w:rPr>
              <w:t>只</w:t>
            </w:r>
          </w:p>
        </w:tc>
        <w:tc>
          <w:tcPr>
            <w:tcW w:w="0" w:type="auto"/>
            <w:vAlign w:val="center"/>
          </w:tcPr>
          <w:p w14:paraId="03D11C3D">
            <w:pPr>
              <w:shd w:val="clear"/>
              <w:spacing w:line="400" w:lineRule="exact"/>
              <w:jc w:val="center"/>
              <w:rPr>
                <w:rFonts w:hAnsi="宋体" w:cs="宋体"/>
                <w:color w:val="auto"/>
                <w:sz w:val="24"/>
                <w:highlight w:val="none"/>
              </w:rPr>
            </w:pPr>
            <w:r>
              <w:rPr>
                <w:rFonts w:hint="eastAsia" w:hAnsi="宋体" w:cs="宋体"/>
                <w:color w:val="auto"/>
                <w:sz w:val="24"/>
                <w:highlight w:val="none"/>
              </w:rPr>
              <w:t>2</w:t>
            </w:r>
          </w:p>
        </w:tc>
        <w:tc>
          <w:tcPr>
            <w:tcW w:w="0" w:type="auto"/>
            <w:vAlign w:val="center"/>
          </w:tcPr>
          <w:p w14:paraId="79853263">
            <w:pPr>
              <w:shd w:val="clear"/>
              <w:spacing w:line="400" w:lineRule="exact"/>
              <w:jc w:val="center"/>
              <w:rPr>
                <w:rFonts w:hAnsi="宋体" w:cs="宋体"/>
                <w:color w:val="auto"/>
                <w:sz w:val="24"/>
                <w:highlight w:val="none"/>
              </w:rPr>
            </w:pPr>
            <w:r>
              <w:rPr>
                <w:rFonts w:hint="eastAsia" w:hAnsi="宋体" w:cs="宋体"/>
                <w:color w:val="auto"/>
                <w:sz w:val="24"/>
                <w:highlight w:val="none"/>
              </w:rPr>
              <w:t>7500.00</w:t>
            </w:r>
          </w:p>
        </w:tc>
        <w:tc>
          <w:tcPr>
            <w:tcW w:w="0" w:type="auto"/>
            <w:vAlign w:val="center"/>
          </w:tcPr>
          <w:p w14:paraId="47B1248B">
            <w:pPr>
              <w:shd w:val="clear"/>
              <w:spacing w:line="400" w:lineRule="exact"/>
              <w:jc w:val="center"/>
              <w:rPr>
                <w:rFonts w:hAnsi="宋体" w:cs="宋体"/>
                <w:color w:val="auto"/>
                <w:sz w:val="24"/>
                <w:highlight w:val="none"/>
              </w:rPr>
            </w:pPr>
            <w:r>
              <w:rPr>
                <w:rFonts w:hint="eastAsia" w:hAnsi="宋体" w:cs="宋体"/>
                <w:color w:val="auto"/>
                <w:sz w:val="24"/>
                <w:highlight w:val="none"/>
              </w:rPr>
              <w:t>否</w:t>
            </w:r>
          </w:p>
        </w:tc>
      </w:tr>
      <w:tr w14:paraId="36027C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0" w:type="auto"/>
            <w:vAlign w:val="center"/>
          </w:tcPr>
          <w:p w14:paraId="1843D3D0">
            <w:pPr>
              <w:shd w:val="clear"/>
              <w:spacing w:line="400" w:lineRule="exact"/>
              <w:jc w:val="center"/>
              <w:rPr>
                <w:rFonts w:ascii="宋体" w:hAnsi="宋体" w:eastAsia="宋体" w:cs="宋体"/>
                <w:color w:val="auto"/>
                <w:sz w:val="24"/>
                <w:highlight w:val="none"/>
                <w:lang w:val="en-US" w:eastAsia="zh-CN" w:bidi="ar-SA"/>
              </w:rPr>
            </w:pPr>
            <w:r>
              <w:rPr>
                <w:rFonts w:hint="eastAsia" w:hAnsi="宋体" w:cs="宋体"/>
                <w:color w:val="auto"/>
                <w:sz w:val="24"/>
                <w:highlight w:val="none"/>
              </w:rPr>
              <w:t>26</w:t>
            </w:r>
          </w:p>
        </w:tc>
        <w:tc>
          <w:tcPr>
            <w:tcW w:w="0" w:type="auto"/>
            <w:vAlign w:val="center"/>
          </w:tcPr>
          <w:p w14:paraId="5EF85640">
            <w:pPr>
              <w:shd w:val="clear"/>
              <w:spacing w:line="400" w:lineRule="exact"/>
              <w:jc w:val="center"/>
              <w:rPr>
                <w:rFonts w:hAnsi="宋体" w:cs="宋体"/>
                <w:color w:val="auto"/>
                <w:sz w:val="24"/>
                <w:highlight w:val="none"/>
              </w:rPr>
            </w:pPr>
            <w:r>
              <w:rPr>
                <w:rFonts w:hint="eastAsia" w:hAnsi="宋体" w:cs="宋体"/>
                <w:color w:val="auto"/>
                <w:sz w:val="24"/>
                <w:highlight w:val="none"/>
              </w:rPr>
              <w:t>演播室音箱</w:t>
            </w:r>
          </w:p>
        </w:tc>
        <w:tc>
          <w:tcPr>
            <w:tcW w:w="0" w:type="auto"/>
            <w:vAlign w:val="center"/>
          </w:tcPr>
          <w:p w14:paraId="44B01AF5">
            <w:pPr>
              <w:shd w:val="clear"/>
              <w:spacing w:line="400" w:lineRule="exact"/>
              <w:jc w:val="center"/>
              <w:rPr>
                <w:rFonts w:hAnsi="宋体" w:cs="宋体"/>
                <w:color w:val="auto"/>
                <w:sz w:val="24"/>
                <w:highlight w:val="none"/>
              </w:rPr>
            </w:pPr>
            <w:r>
              <w:rPr>
                <w:rFonts w:hint="eastAsia" w:hAnsi="宋体" w:cs="宋体"/>
                <w:color w:val="auto"/>
                <w:sz w:val="24"/>
                <w:highlight w:val="none"/>
              </w:rPr>
              <w:t>只</w:t>
            </w:r>
          </w:p>
        </w:tc>
        <w:tc>
          <w:tcPr>
            <w:tcW w:w="0" w:type="auto"/>
            <w:vAlign w:val="center"/>
          </w:tcPr>
          <w:p w14:paraId="5088D7FD">
            <w:pPr>
              <w:shd w:val="clear"/>
              <w:spacing w:line="400" w:lineRule="exact"/>
              <w:jc w:val="center"/>
              <w:rPr>
                <w:rFonts w:hAnsi="宋体" w:cs="宋体"/>
                <w:color w:val="auto"/>
                <w:sz w:val="24"/>
                <w:highlight w:val="none"/>
              </w:rPr>
            </w:pPr>
            <w:r>
              <w:rPr>
                <w:rFonts w:hint="eastAsia" w:hAnsi="宋体" w:cs="宋体"/>
                <w:color w:val="auto"/>
                <w:sz w:val="24"/>
                <w:highlight w:val="none"/>
              </w:rPr>
              <w:t>4</w:t>
            </w:r>
          </w:p>
        </w:tc>
        <w:tc>
          <w:tcPr>
            <w:tcW w:w="0" w:type="auto"/>
            <w:vAlign w:val="center"/>
          </w:tcPr>
          <w:p w14:paraId="65663F26">
            <w:pPr>
              <w:shd w:val="clear"/>
              <w:spacing w:line="400" w:lineRule="exact"/>
              <w:jc w:val="center"/>
              <w:rPr>
                <w:rFonts w:hAnsi="宋体" w:cs="宋体"/>
                <w:color w:val="auto"/>
                <w:sz w:val="24"/>
                <w:highlight w:val="none"/>
              </w:rPr>
            </w:pPr>
            <w:r>
              <w:rPr>
                <w:rFonts w:hint="eastAsia" w:hAnsi="宋体" w:cs="宋体"/>
                <w:color w:val="auto"/>
                <w:sz w:val="24"/>
                <w:highlight w:val="none"/>
              </w:rPr>
              <w:t>1800.00</w:t>
            </w:r>
          </w:p>
        </w:tc>
        <w:tc>
          <w:tcPr>
            <w:tcW w:w="0" w:type="auto"/>
            <w:vAlign w:val="center"/>
          </w:tcPr>
          <w:p w14:paraId="74F0AA0C">
            <w:pPr>
              <w:shd w:val="clear"/>
              <w:spacing w:line="400" w:lineRule="exact"/>
              <w:jc w:val="center"/>
              <w:rPr>
                <w:rFonts w:hAnsi="宋体" w:cs="宋体"/>
                <w:color w:val="auto"/>
                <w:sz w:val="24"/>
                <w:highlight w:val="none"/>
              </w:rPr>
            </w:pPr>
            <w:r>
              <w:rPr>
                <w:rFonts w:hint="eastAsia" w:hAnsi="宋体" w:cs="宋体"/>
                <w:color w:val="auto"/>
                <w:sz w:val="24"/>
                <w:highlight w:val="none"/>
              </w:rPr>
              <w:t>否</w:t>
            </w:r>
          </w:p>
        </w:tc>
      </w:tr>
      <w:tr w14:paraId="4E4090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0" w:type="auto"/>
            <w:vAlign w:val="center"/>
          </w:tcPr>
          <w:p w14:paraId="5A4E3EDC">
            <w:pPr>
              <w:shd w:val="clear"/>
              <w:spacing w:line="400" w:lineRule="exact"/>
              <w:jc w:val="center"/>
              <w:rPr>
                <w:rFonts w:ascii="宋体" w:hAnsi="宋体" w:eastAsia="宋体" w:cs="宋体"/>
                <w:color w:val="auto"/>
                <w:sz w:val="24"/>
                <w:highlight w:val="none"/>
                <w:lang w:val="en-US" w:eastAsia="zh-CN" w:bidi="ar-SA"/>
              </w:rPr>
            </w:pPr>
            <w:r>
              <w:rPr>
                <w:rFonts w:hint="eastAsia" w:hAnsi="宋体" w:cs="宋体"/>
                <w:color w:val="auto"/>
                <w:sz w:val="24"/>
                <w:highlight w:val="none"/>
              </w:rPr>
              <w:t>27</w:t>
            </w:r>
          </w:p>
        </w:tc>
        <w:tc>
          <w:tcPr>
            <w:tcW w:w="0" w:type="auto"/>
            <w:vAlign w:val="center"/>
          </w:tcPr>
          <w:p w14:paraId="18D0C0AA">
            <w:pPr>
              <w:shd w:val="clear"/>
              <w:spacing w:line="400" w:lineRule="exact"/>
              <w:jc w:val="center"/>
              <w:rPr>
                <w:rFonts w:hAnsi="宋体" w:cs="宋体"/>
                <w:color w:val="auto"/>
                <w:sz w:val="24"/>
                <w:highlight w:val="none"/>
              </w:rPr>
            </w:pPr>
            <w:r>
              <w:rPr>
                <w:rFonts w:hint="eastAsia" w:hAnsi="宋体" w:cs="宋体"/>
                <w:color w:val="auto"/>
                <w:sz w:val="24"/>
                <w:highlight w:val="none"/>
              </w:rPr>
              <w:t>功率放大器</w:t>
            </w:r>
          </w:p>
        </w:tc>
        <w:tc>
          <w:tcPr>
            <w:tcW w:w="0" w:type="auto"/>
            <w:vAlign w:val="center"/>
          </w:tcPr>
          <w:p w14:paraId="1823BB18">
            <w:pPr>
              <w:shd w:val="clear"/>
              <w:spacing w:line="400" w:lineRule="exact"/>
              <w:jc w:val="center"/>
              <w:rPr>
                <w:rFonts w:hAnsi="宋体" w:cs="宋体"/>
                <w:color w:val="auto"/>
                <w:sz w:val="24"/>
                <w:highlight w:val="none"/>
              </w:rPr>
            </w:pPr>
            <w:r>
              <w:rPr>
                <w:rFonts w:hint="eastAsia" w:hAnsi="宋体" w:cs="宋体"/>
                <w:color w:val="auto"/>
                <w:sz w:val="24"/>
                <w:highlight w:val="none"/>
              </w:rPr>
              <w:t>台</w:t>
            </w:r>
          </w:p>
        </w:tc>
        <w:tc>
          <w:tcPr>
            <w:tcW w:w="0" w:type="auto"/>
            <w:vAlign w:val="center"/>
          </w:tcPr>
          <w:p w14:paraId="7F062107">
            <w:pPr>
              <w:shd w:val="clear"/>
              <w:spacing w:line="400" w:lineRule="exact"/>
              <w:jc w:val="center"/>
              <w:rPr>
                <w:rFonts w:hAnsi="宋体" w:cs="宋体"/>
                <w:color w:val="auto"/>
                <w:sz w:val="24"/>
                <w:highlight w:val="none"/>
              </w:rPr>
            </w:pPr>
            <w:r>
              <w:rPr>
                <w:rFonts w:hint="eastAsia" w:hAnsi="宋体" w:cs="宋体"/>
                <w:color w:val="auto"/>
                <w:sz w:val="24"/>
                <w:highlight w:val="none"/>
              </w:rPr>
              <w:t>2</w:t>
            </w:r>
          </w:p>
        </w:tc>
        <w:tc>
          <w:tcPr>
            <w:tcW w:w="0" w:type="auto"/>
            <w:vAlign w:val="center"/>
          </w:tcPr>
          <w:p w14:paraId="19A245A5">
            <w:pPr>
              <w:shd w:val="clear"/>
              <w:spacing w:line="400" w:lineRule="exact"/>
              <w:jc w:val="center"/>
              <w:rPr>
                <w:rFonts w:hAnsi="宋体" w:cs="宋体"/>
                <w:color w:val="auto"/>
                <w:sz w:val="24"/>
                <w:highlight w:val="none"/>
              </w:rPr>
            </w:pPr>
            <w:r>
              <w:rPr>
                <w:rFonts w:hint="eastAsia" w:hAnsi="宋体" w:cs="宋体"/>
                <w:color w:val="auto"/>
                <w:sz w:val="24"/>
                <w:highlight w:val="none"/>
              </w:rPr>
              <w:t>3600.00</w:t>
            </w:r>
          </w:p>
        </w:tc>
        <w:tc>
          <w:tcPr>
            <w:tcW w:w="0" w:type="auto"/>
            <w:vAlign w:val="center"/>
          </w:tcPr>
          <w:p w14:paraId="2550B64E">
            <w:pPr>
              <w:shd w:val="clear"/>
              <w:spacing w:line="400" w:lineRule="exact"/>
              <w:jc w:val="center"/>
              <w:rPr>
                <w:rFonts w:hAnsi="宋体" w:cs="宋体"/>
                <w:color w:val="auto"/>
                <w:sz w:val="24"/>
                <w:highlight w:val="none"/>
              </w:rPr>
            </w:pPr>
            <w:r>
              <w:rPr>
                <w:rFonts w:hint="eastAsia" w:hAnsi="宋体" w:cs="宋体"/>
                <w:color w:val="auto"/>
                <w:sz w:val="24"/>
                <w:highlight w:val="none"/>
              </w:rPr>
              <w:t>否</w:t>
            </w:r>
          </w:p>
        </w:tc>
      </w:tr>
      <w:tr w14:paraId="568EFF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0" w:type="auto"/>
            <w:vAlign w:val="center"/>
          </w:tcPr>
          <w:p w14:paraId="5B05E0D5">
            <w:pPr>
              <w:shd w:val="clear"/>
              <w:spacing w:line="400" w:lineRule="exact"/>
              <w:jc w:val="center"/>
              <w:rPr>
                <w:rFonts w:ascii="宋体" w:hAnsi="宋体" w:eastAsia="宋体" w:cs="宋体"/>
                <w:color w:val="auto"/>
                <w:sz w:val="24"/>
                <w:highlight w:val="none"/>
                <w:lang w:val="en-US" w:eastAsia="zh-CN" w:bidi="ar-SA"/>
              </w:rPr>
            </w:pPr>
            <w:r>
              <w:rPr>
                <w:rFonts w:hint="eastAsia" w:hAnsi="宋体" w:cs="宋体"/>
                <w:color w:val="auto"/>
                <w:sz w:val="24"/>
                <w:highlight w:val="none"/>
              </w:rPr>
              <w:t>28</w:t>
            </w:r>
          </w:p>
        </w:tc>
        <w:tc>
          <w:tcPr>
            <w:tcW w:w="0" w:type="auto"/>
            <w:vAlign w:val="center"/>
          </w:tcPr>
          <w:p w14:paraId="75E8B554">
            <w:pPr>
              <w:shd w:val="clear"/>
              <w:spacing w:line="400" w:lineRule="exact"/>
              <w:jc w:val="center"/>
              <w:rPr>
                <w:rFonts w:hAnsi="宋体" w:cs="宋体"/>
                <w:color w:val="auto"/>
                <w:sz w:val="24"/>
                <w:highlight w:val="none"/>
              </w:rPr>
            </w:pPr>
            <w:r>
              <w:rPr>
                <w:rFonts w:hint="eastAsia" w:hAnsi="宋体" w:cs="宋体"/>
                <w:color w:val="auto"/>
                <w:sz w:val="24"/>
                <w:highlight w:val="none"/>
              </w:rPr>
              <w:t>数字音频处理器</w:t>
            </w:r>
          </w:p>
        </w:tc>
        <w:tc>
          <w:tcPr>
            <w:tcW w:w="0" w:type="auto"/>
            <w:vAlign w:val="center"/>
          </w:tcPr>
          <w:p w14:paraId="440AF8E8">
            <w:pPr>
              <w:shd w:val="clear"/>
              <w:spacing w:line="400" w:lineRule="exact"/>
              <w:jc w:val="center"/>
              <w:rPr>
                <w:rFonts w:hAnsi="宋体" w:cs="宋体"/>
                <w:color w:val="auto"/>
                <w:sz w:val="24"/>
                <w:highlight w:val="none"/>
              </w:rPr>
            </w:pPr>
            <w:r>
              <w:rPr>
                <w:rFonts w:hint="eastAsia" w:hAnsi="宋体" w:cs="宋体"/>
                <w:color w:val="auto"/>
                <w:sz w:val="24"/>
                <w:highlight w:val="none"/>
              </w:rPr>
              <w:t>台</w:t>
            </w:r>
          </w:p>
        </w:tc>
        <w:tc>
          <w:tcPr>
            <w:tcW w:w="0" w:type="auto"/>
            <w:vAlign w:val="center"/>
          </w:tcPr>
          <w:p w14:paraId="2E764DC0">
            <w:pPr>
              <w:shd w:val="clear"/>
              <w:spacing w:line="400" w:lineRule="exact"/>
              <w:jc w:val="center"/>
              <w:rPr>
                <w:rFonts w:hAnsi="宋体" w:cs="宋体"/>
                <w:color w:val="auto"/>
                <w:sz w:val="24"/>
                <w:highlight w:val="none"/>
              </w:rPr>
            </w:pPr>
            <w:r>
              <w:rPr>
                <w:rFonts w:hint="eastAsia" w:hAnsi="宋体" w:cs="宋体"/>
                <w:color w:val="auto"/>
                <w:sz w:val="24"/>
                <w:highlight w:val="none"/>
              </w:rPr>
              <w:t>1</w:t>
            </w:r>
          </w:p>
        </w:tc>
        <w:tc>
          <w:tcPr>
            <w:tcW w:w="0" w:type="auto"/>
            <w:vAlign w:val="center"/>
          </w:tcPr>
          <w:p w14:paraId="6FA36672">
            <w:pPr>
              <w:shd w:val="clear"/>
              <w:spacing w:line="400" w:lineRule="exact"/>
              <w:jc w:val="center"/>
              <w:rPr>
                <w:rFonts w:hAnsi="宋体" w:cs="宋体"/>
                <w:color w:val="auto"/>
                <w:sz w:val="24"/>
                <w:highlight w:val="none"/>
              </w:rPr>
            </w:pPr>
            <w:r>
              <w:rPr>
                <w:rFonts w:hint="eastAsia" w:hAnsi="宋体" w:cs="宋体"/>
                <w:color w:val="auto"/>
                <w:sz w:val="24"/>
                <w:highlight w:val="none"/>
              </w:rPr>
              <w:t>2800.00</w:t>
            </w:r>
          </w:p>
        </w:tc>
        <w:tc>
          <w:tcPr>
            <w:tcW w:w="0" w:type="auto"/>
            <w:vAlign w:val="center"/>
          </w:tcPr>
          <w:p w14:paraId="08215CC2">
            <w:pPr>
              <w:shd w:val="clear"/>
              <w:spacing w:line="400" w:lineRule="exact"/>
              <w:jc w:val="center"/>
              <w:rPr>
                <w:rFonts w:hAnsi="宋体" w:cs="宋体"/>
                <w:color w:val="auto"/>
                <w:sz w:val="24"/>
                <w:highlight w:val="none"/>
              </w:rPr>
            </w:pPr>
            <w:r>
              <w:rPr>
                <w:rFonts w:hint="eastAsia" w:hAnsi="宋体" w:cs="宋体"/>
                <w:color w:val="auto"/>
                <w:sz w:val="24"/>
                <w:highlight w:val="none"/>
              </w:rPr>
              <w:t>否</w:t>
            </w:r>
          </w:p>
        </w:tc>
      </w:tr>
      <w:tr w14:paraId="679A0C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0" w:type="auto"/>
            <w:vAlign w:val="center"/>
          </w:tcPr>
          <w:p w14:paraId="32261D04">
            <w:pPr>
              <w:shd w:val="clear"/>
              <w:spacing w:line="400" w:lineRule="exact"/>
              <w:jc w:val="center"/>
              <w:rPr>
                <w:rFonts w:ascii="宋体" w:hAnsi="宋体" w:eastAsia="宋体" w:cs="宋体"/>
                <w:color w:val="auto"/>
                <w:sz w:val="24"/>
                <w:highlight w:val="none"/>
                <w:lang w:val="en-US" w:eastAsia="zh-CN" w:bidi="ar-SA"/>
              </w:rPr>
            </w:pPr>
            <w:r>
              <w:rPr>
                <w:rFonts w:hint="eastAsia" w:hAnsi="宋体" w:cs="宋体"/>
                <w:color w:val="auto"/>
                <w:sz w:val="24"/>
                <w:highlight w:val="none"/>
              </w:rPr>
              <w:t>29</w:t>
            </w:r>
          </w:p>
        </w:tc>
        <w:tc>
          <w:tcPr>
            <w:tcW w:w="0" w:type="auto"/>
            <w:vAlign w:val="center"/>
          </w:tcPr>
          <w:p w14:paraId="7735F16C">
            <w:pPr>
              <w:shd w:val="clear"/>
              <w:spacing w:line="400" w:lineRule="exact"/>
              <w:jc w:val="center"/>
              <w:rPr>
                <w:rFonts w:hAnsi="宋体" w:cs="宋体"/>
                <w:color w:val="auto"/>
                <w:sz w:val="24"/>
                <w:highlight w:val="none"/>
              </w:rPr>
            </w:pPr>
            <w:r>
              <w:rPr>
                <w:rFonts w:hint="eastAsia" w:hAnsi="宋体" w:cs="宋体"/>
                <w:color w:val="auto"/>
                <w:sz w:val="24"/>
                <w:highlight w:val="none"/>
              </w:rPr>
              <w:t>一拖二无线麦克风（手持）</w:t>
            </w:r>
          </w:p>
        </w:tc>
        <w:tc>
          <w:tcPr>
            <w:tcW w:w="0" w:type="auto"/>
            <w:vAlign w:val="center"/>
          </w:tcPr>
          <w:p w14:paraId="36B72783">
            <w:pPr>
              <w:shd w:val="clear"/>
              <w:spacing w:line="400" w:lineRule="exact"/>
              <w:jc w:val="center"/>
              <w:rPr>
                <w:rFonts w:hAnsi="宋体" w:cs="宋体"/>
                <w:color w:val="auto"/>
                <w:sz w:val="24"/>
                <w:highlight w:val="none"/>
              </w:rPr>
            </w:pPr>
            <w:r>
              <w:rPr>
                <w:rFonts w:hint="eastAsia" w:hAnsi="宋体" w:cs="宋体"/>
                <w:color w:val="auto"/>
                <w:sz w:val="24"/>
                <w:highlight w:val="none"/>
              </w:rPr>
              <w:t>套</w:t>
            </w:r>
          </w:p>
        </w:tc>
        <w:tc>
          <w:tcPr>
            <w:tcW w:w="0" w:type="auto"/>
            <w:vAlign w:val="center"/>
          </w:tcPr>
          <w:p w14:paraId="2217ADC7">
            <w:pPr>
              <w:shd w:val="clear"/>
              <w:spacing w:line="400" w:lineRule="exact"/>
              <w:jc w:val="center"/>
              <w:rPr>
                <w:rFonts w:hAnsi="宋体" w:cs="宋体"/>
                <w:color w:val="auto"/>
                <w:sz w:val="24"/>
                <w:highlight w:val="none"/>
              </w:rPr>
            </w:pPr>
            <w:r>
              <w:rPr>
                <w:rFonts w:hint="eastAsia" w:hAnsi="宋体" w:cs="宋体"/>
                <w:color w:val="auto"/>
                <w:sz w:val="24"/>
                <w:highlight w:val="none"/>
              </w:rPr>
              <w:t>1</w:t>
            </w:r>
          </w:p>
        </w:tc>
        <w:tc>
          <w:tcPr>
            <w:tcW w:w="0" w:type="auto"/>
            <w:vAlign w:val="center"/>
          </w:tcPr>
          <w:p w14:paraId="509E7D88">
            <w:pPr>
              <w:shd w:val="clear"/>
              <w:spacing w:line="400" w:lineRule="exact"/>
              <w:jc w:val="center"/>
              <w:rPr>
                <w:rFonts w:hAnsi="宋体" w:cs="宋体"/>
                <w:color w:val="auto"/>
                <w:sz w:val="24"/>
                <w:highlight w:val="none"/>
              </w:rPr>
            </w:pPr>
            <w:r>
              <w:rPr>
                <w:rFonts w:hint="eastAsia" w:hAnsi="宋体" w:cs="宋体"/>
                <w:color w:val="auto"/>
                <w:sz w:val="24"/>
                <w:highlight w:val="none"/>
              </w:rPr>
              <w:t>3650.00</w:t>
            </w:r>
          </w:p>
        </w:tc>
        <w:tc>
          <w:tcPr>
            <w:tcW w:w="0" w:type="auto"/>
            <w:vAlign w:val="center"/>
          </w:tcPr>
          <w:p w14:paraId="52ECAD6A">
            <w:pPr>
              <w:shd w:val="clear"/>
              <w:spacing w:line="400" w:lineRule="exact"/>
              <w:jc w:val="center"/>
              <w:rPr>
                <w:rFonts w:hAnsi="宋体" w:cs="宋体"/>
                <w:color w:val="auto"/>
                <w:sz w:val="24"/>
                <w:highlight w:val="none"/>
              </w:rPr>
            </w:pPr>
            <w:r>
              <w:rPr>
                <w:rFonts w:hint="eastAsia" w:hAnsi="宋体" w:cs="宋体"/>
                <w:color w:val="auto"/>
                <w:sz w:val="24"/>
                <w:highlight w:val="none"/>
              </w:rPr>
              <w:t>否</w:t>
            </w:r>
          </w:p>
        </w:tc>
      </w:tr>
      <w:tr w14:paraId="0D5C32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0" w:type="auto"/>
            <w:vAlign w:val="center"/>
          </w:tcPr>
          <w:p w14:paraId="3822886F">
            <w:pPr>
              <w:shd w:val="clear"/>
              <w:spacing w:line="400" w:lineRule="exact"/>
              <w:jc w:val="center"/>
              <w:rPr>
                <w:rFonts w:ascii="宋体" w:hAnsi="宋体" w:eastAsia="宋体" w:cs="宋体"/>
                <w:color w:val="auto"/>
                <w:sz w:val="24"/>
                <w:highlight w:val="none"/>
                <w:lang w:val="en-US" w:eastAsia="zh-CN" w:bidi="ar-SA"/>
              </w:rPr>
            </w:pPr>
            <w:r>
              <w:rPr>
                <w:rFonts w:hint="eastAsia" w:hAnsi="宋体" w:cs="宋体"/>
                <w:color w:val="auto"/>
                <w:sz w:val="24"/>
                <w:highlight w:val="none"/>
              </w:rPr>
              <w:t>30</w:t>
            </w:r>
          </w:p>
        </w:tc>
        <w:tc>
          <w:tcPr>
            <w:tcW w:w="0" w:type="auto"/>
            <w:vAlign w:val="center"/>
          </w:tcPr>
          <w:p w14:paraId="51D45997">
            <w:pPr>
              <w:shd w:val="clear"/>
              <w:spacing w:line="400" w:lineRule="exact"/>
              <w:jc w:val="center"/>
              <w:rPr>
                <w:rFonts w:hAnsi="宋体" w:cs="宋体"/>
                <w:color w:val="auto"/>
                <w:sz w:val="24"/>
                <w:highlight w:val="none"/>
              </w:rPr>
            </w:pPr>
            <w:r>
              <w:rPr>
                <w:rFonts w:hint="eastAsia" w:hAnsi="宋体" w:cs="宋体"/>
                <w:color w:val="auto"/>
                <w:sz w:val="24"/>
                <w:highlight w:val="none"/>
              </w:rPr>
              <w:t>一拖二无线麦克风（领夹）</w:t>
            </w:r>
          </w:p>
        </w:tc>
        <w:tc>
          <w:tcPr>
            <w:tcW w:w="0" w:type="auto"/>
            <w:vAlign w:val="center"/>
          </w:tcPr>
          <w:p w14:paraId="23105BC9">
            <w:pPr>
              <w:shd w:val="clear"/>
              <w:spacing w:line="400" w:lineRule="exact"/>
              <w:jc w:val="center"/>
              <w:rPr>
                <w:rFonts w:hAnsi="宋体" w:cs="宋体"/>
                <w:color w:val="auto"/>
                <w:sz w:val="24"/>
                <w:highlight w:val="none"/>
              </w:rPr>
            </w:pPr>
            <w:r>
              <w:rPr>
                <w:rFonts w:hint="eastAsia" w:hAnsi="宋体" w:cs="宋体"/>
                <w:color w:val="auto"/>
                <w:sz w:val="24"/>
                <w:highlight w:val="none"/>
              </w:rPr>
              <w:t>套</w:t>
            </w:r>
          </w:p>
        </w:tc>
        <w:tc>
          <w:tcPr>
            <w:tcW w:w="0" w:type="auto"/>
            <w:vAlign w:val="center"/>
          </w:tcPr>
          <w:p w14:paraId="7EEA035F">
            <w:pPr>
              <w:shd w:val="clear"/>
              <w:spacing w:line="400" w:lineRule="exact"/>
              <w:jc w:val="center"/>
              <w:rPr>
                <w:rFonts w:hAnsi="宋体" w:cs="宋体"/>
                <w:color w:val="auto"/>
                <w:sz w:val="24"/>
                <w:highlight w:val="none"/>
              </w:rPr>
            </w:pPr>
            <w:r>
              <w:rPr>
                <w:rFonts w:hint="eastAsia" w:hAnsi="宋体" w:cs="宋体"/>
                <w:color w:val="auto"/>
                <w:sz w:val="24"/>
                <w:highlight w:val="none"/>
              </w:rPr>
              <w:t>2</w:t>
            </w:r>
          </w:p>
        </w:tc>
        <w:tc>
          <w:tcPr>
            <w:tcW w:w="0" w:type="auto"/>
            <w:vAlign w:val="center"/>
          </w:tcPr>
          <w:p w14:paraId="1C390797">
            <w:pPr>
              <w:shd w:val="clear"/>
              <w:spacing w:line="400" w:lineRule="exact"/>
              <w:jc w:val="center"/>
              <w:rPr>
                <w:rFonts w:hAnsi="宋体" w:cs="宋体"/>
                <w:color w:val="auto"/>
                <w:sz w:val="24"/>
                <w:highlight w:val="none"/>
              </w:rPr>
            </w:pPr>
            <w:r>
              <w:rPr>
                <w:rFonts w:hint="eastAsia" w:hAnsi="宋体" w:cs="宋体"/>
                <w:color w:val="auto"/>
                <w:sz w:val="24"/>
                <w:highlight w:val="none"/>
              </w:rPr>
              <w:t>3650.00</w:t>
            </w:r>
          </w:p>
        </w:tc>
        <w:tc>
          <w:tcPr>
            <w:tcW w:w="0" w:type="auto"/>
            <w:vAlign w:val="center"/>
          </w:tcPr>
          <w:p w14:paraId="331DD3F8">
            <w:pPr>
              <w:shd w:val="clear"/>
              <w:spacing w:line="400" w:lineRule="exact"/>
              <w:jc w:val="center"/>
              <w:rPr>
                <w:rFonts w:hAnsi="宋体" w:cs="宋体"/>
                <w:color w:val="auto"/>
                <w:sz w:val="24"/>
                <w:highlight w:val="none"/>
              </w:rPr>
            </w:pPr>
            <w:r>
              <w:rPr>
                <w:rFonts w:hint="eastAsia" w:hAnsi="宋体" w:cs="宋体"/>
                <w:color w:val="auto"/>
                <w:sz w:val="24"/>
                <w:highlight w:val="none"/>
              </w:rPr>
              <w:t>否</w:t>
            </w:r>
          </w:p>
        </w:tc>
      </w:tr>
      <w:tr w14:paraId="1514D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0" w:type="auto"/>
            <w:vAlign w:val="center"/>
          </w:tcPr>
          <w:p w14:paraId="532ABE10">
            <w:pPr>
              <w:shd w:val="clear"/>
              <w:spacing w:line="400" w:lineRule="exact"/>
              <w:jc w:val="center"/>
              <w:rPr>
                <w:rFonts w:ascii="宋体" w:hAnsi="宋体" w:eastAsia="宋体" w:cs="宋体"/>
                <w:color w:val="auto"/>
                <w:sz w:val="24"/>
                <w:highlight w:val="none"/>
                <w:lang w:val="en-US" w:eastAsia="zh-CN" w:bidi="ar-SA"/>
              </w:rPr>
            </w:pPr>
            <w:r>
              <w:rPr>
                <w:rFonts w:hint="eastAsia" w:hAnsi="宋体" w:cs="宋体"/>
                <w:color w:val="auto"/>
                <w:sz w:val="24"/>
                <w:highlight w:val="none"/>
              </w:rPr>
              <w:t>31</w:t>
            </w:r>
          </w:p>
        </w:tc>
        <w:tc>
          <w:tcPr>
            <w:tcW w:w="0" w:type="auto"/>
            <w:vAlign w:val="center"/>
          </w:tcPr>
          <w:p w14:paraId="5DCA0FED">
            <w:pPr>
              <w:shd w:val="clear"/>
              <w:spacing w:line="400" w:lineRule="exact"/>
              <w:jc w:val="center"/>
              <w:rPr>
                <w:rFonts w:hAnsi="宋体" w:cs="宋体"/>
                <w:color w:val="auto"/>
                <w:sz w:val="24"/>
                <w:highlight w:val="none"/>
              </w:rPr>
            </w:pPr>
            <w:r>
              <w:rPr>
                <w:rFonts w:hint="eastAsia" w:hAnsi="宋体" w:cs="宋体"/>
                <w:color w:val="auto"/>
                <w:sz w:val="24"/>
                <w:highlight w:val="none"/>
              </w:rPr>
              <w:t>电源时序器</w:t>
            </w:r>
          </w:p>
        </w:tc>
        <w:tc>
          <w:tcPr>
            <w:tcW w:w="0" w:type="auto"/>
            <w:vAlign w:val="center"/>
          </w:tcPr>
          <w:p w14:paraId="09974DE9">
            <w:pPr>
              <w:shd w:val="clear"/>
              <w:spacing w:line="400" w:lineRule="exact"/>
              <w:jc w:val="center"/>
              <w:rPr>
                <w:rFonts w:hAnsi="宋体" w:cs="宋体"/>
                <w:color w:val="auto"/>
                <w:sz w:val="24"/>
                <w:highlight w:val="none"/>
              </w:rPr>
            </w:pPr>
            <w:r>
              <w:rPr>
                <w:rFonts w:hint="eastAsia" w:hAnsi="宋体" w:cs="宋体"/>
                <w:color w:val="auto"/>
                <w:sz w:val="24"/>
                <w:highlight w:val="none"/>
              </w:rPr>
              <w:t>台</w:t>
            </w:r>
          </w:p>
        </w:tc>
        <w:tc>
          <w:tcPr>
            <w:tcW w:w="0" w:type="auto"/>
            <w:vAlign w:val="center"/>
          </w:tcPr>
          <w:p w14:paraId="769117B8">
            <w:pPr>
              <w:shd w:val="clear"/>
              <w:spacing w:line="400" w:lineRule="exact"/>
              <w:jc w:val="center"/>
              <w:rPr>
                <w:rFonts w:hAnsi="宋体" w:cs="宋体"/>
                <w:color w:val="auto"/>
                <w:sz w:val="24"/>
                <w:highlight w:val="none"/>
              </w:rPr>
            </w:pPr>
            <w:r>
              <w:rPr>
                <w:rFonts w:hint="eastAsia" w:hAnsi="宋体" w:cs="宋体"/>
                <w:color w:val="auto"/>
                <w:sz w:val="24"/>
                <w:highlight w:val="none"/>
              </w:rPr>
              <w:t>1</w:t>
            </w:r>
          </w:p>
        </w:tc>
        <w:tc>
          <w:tcPr>
            <w:tcW w:w="0" w:type="auto"/>
            <w:vAlign w:val="center"/>
          </w:tcPr>
          <w:p w14:paraId="72E07B7E">
            <w:pPr>
              <w:shd w:val="clear"/>
              <w:spacing w:line="400" w:lineRule="exact"/>
              <w:jc w:val="center"/>
              <w:rPr>
                <w:rFonts w:hAnsi="宋体" w:cs="宋体"/>
                <w:color w:val="auto"/>
                <w:sz w:val="24"/>
                <w:highlight w:val="none"/>
              </w:rPr>
            </w:pPr>
            <w:r>
              <w:rPr>
                <w:rFonts w:hint="eastAsia" w:hAnsi="宋体" w:cs="宋体"/>
                <w:color w:val="auto"/>
                <w:sz w:val="24"/>
                <w:highlight w:val="none"/>
              </w:rPr>
              <w:t>6500.00</w:t>
            </w:r>
          </w:p>
        </w:tc>
        <w:tc>
          <w:tcPr>
            <w:tcW w:w="0" w:type="auto"/>
            <w:vAlign w:val="center"/>
          </w:tcPr>
          <w:p w14:paraId="331BBB88">
            <w:pPr>
              <w:shd w:val="clear"/>
              <w:spacing w:line="400" w:lineRule="exact"/>
              <w:jc w:val="center"/>
              <w:rPr>
                <w:rFonts w:hAnsi="宋体" w:cs="宋体"/>
                <w:color w:val="auto"/>
                <w:sz w:val="24"/>
                <w:highlight w:val="none"/>
              </w:rPr>
            </w:pPr>
            <w:r>
              <w:rPr>
                <w:rFonts w:hint="eastAsia" w:hAnsi="宋体" w:cs="宋体"/>
                <w:color w:val="auto"/>
                <w:sz w:val="24"/>
                <w:highlight w:val="none"/>
              </w:rPr>
              <w:t>否</w:t>
            </w:r>
          </w:p>
        </w:tc>
      </w:tr>
      <w:tr w14:paraId="5F2876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0" w:type="auto"/>
            <w:vAlign w:val="center"/>
          </w:tcPr>
          <w:p w14:paraId="5BE2E2C9">
            <w:pPr>
              <w:shd w:val="clear"/>
              <w:spacing w:line="400" w:lineRule="exact"/>
              <w:jc w:val="center"/>
              <w:rPr>
                <w:rFonts w:ascii="宋体" w:hAnsi="宋体" w:eastAsia="宋体" w:cs="宋体"/>
                <w:color w:val="auto"/>
                <w:sz w:val="24"/>
                <w:highlight w:val="none"/>
                <w:lang w:val="en-US" w:eastAsia="zh-CN" w:bidi="ar-SA"/>
              </w:rPr>
            </w:pPr>
            <w:r>
              <w:rPr>
                <w:rFonts w:hint="eastAsia" w:hAnsi="宋体" w:cs="宋体"/>
                <w:color w:val="auto"/>
                <w:sz w:val="24"/>
                <w:highlight w:val="none"/>
              </w:rPr>
              <w:t>32</w:t>
            </w:r>
          </w:p>
        </w:tc>
        <w:tc>
          <w:tcPr>
            <w:tcW w:w="0" w:type="auto"/>
            <w:vAlign w:val="center"/>
          </w:tcPr>
          <w:p w14:paraId="4EA62621">
            <w:pPr>
              <w:shd w:val="clear"/>
              <w:spacing w:line="400" w:lineRule="exact"/>
              <w:jc w:val="center"/>
              <w:rPr>
                <w:rFonts w:hAnsi="宋体" w:cs="宋体"/>
                <w:color w:val="auto"/>
                <w:sz w:val="24"/>
                <w:highlight w:val="none"/>
              </w:rPr>
            </w:pPr>
            <w:r>
              <w:rPr>
                <w:rFonts w:hint="eastAsia" w:hAnsi="宋体" w:cs="宋体"/>
                <w:color w:val="auto"/>
                <w:sz w:val="24"/>
                <w:highlight w:val="none"/>
              </w:rPr>
              <w:t>控制柜</w:t>
            </w:r>
          </w:p>
        </w:tc>
        <w:tc>
          <w:tcPr>
            <w:tcW w:w="0" w:type="auto"/>
            <w:vAlign w:val="center"/>
          </w:tcPr>
          <w:p w14:paraId="1CFB46DF">
            <w:pPr>
              <w:shd w:val="clear"/>
              <w:spacing w:line="400" w:lineRule="exact"/>
              <w:jc w:val="center"/>
              <w:rPr>
                <w:rFonts w:hAnsi="宋体" w:cs="宋体"/>
                <w:color w:val="auto"/>
                <w:sz w:val="24"/>
                <w:highlight w:val="none"/>
              </w:rPr>
            </w:pPr>
            <w:r>
              <w:rPr>
                <w:rFonts w:hint="eastAsia" w:hAnsi="宋体" w:cs="宋体"/>
                <w:color w:val="auto"/>
                <w:sz w:val="24"/>
                <w:highlight w:val="none"/>
              </w:rPr>
              <w:t>组</w:t>
            </w:r>
          </w:p>
        </w:tc>
        <w:tc>
          <w:tcPr>
            <w:tcW w:w="0" w:type="auto"/>
            <w:vAlign w:val="center"/>
          </w:tcPr>
          <w:p w14:paraId="0873A88C">
            <w:pPr>
              <w:shd w:val="clear"/>
              <w:spacing w:line="400" w:lineRule="exact"/>
              <w:jc w:val="center"/>
              <w:rPr>
                <w:rFonts w:hAnsi="宋体" w:cs="宋体"/>
                <w:color w:val="auto"/>
                <w:sz w:val="24"/>
                <w:highlight w:val="none"/>
              </w:rPr>
            </w:pPr>
            <w:r>
              <w:rPr>
                <w:rFonts w:hint="eastAsia" w:hAnsi="宋体" w:cs="宋体"/>
                <w:color w:val="auto"/>
                <w:sz w:val="24"/>
                <w:highlight w:val="none"/>
              </w:rPr>
              <w:t>1</w:t>
            </w:r>
          </w:p>
        </w:tc>
        <w:tc>
          <w:tcPr>
            <w:tcW w:w="0" w:type="auto"/>
            <w:vAlign w:val="center"/>
          </w:tcPr>
          <w:p w14:paraId="55ADA62C">
            <w:pPr>
              <w:shd w:val="clear"/>
              <w:spacing w:line="400" w:lineRule="exact"/>
              <w:jc w:val="center"/>
              <w:rPr>
                <w:rFonts w:hAnsi="宋体" w:cs="宋体"/>
                <w:color w:val="auto"/>
                <w:sz w:val="24"/>
                <w:highlight w:val="none"/>
              </w:rPr>
            </w:pPr>
            <w:r>
              <w:rPr>
                <w:rFonts w:hint="eastAsia" w:hAnsi="宋体" w:cs="宋体"/>
                <w:color w:val="auto"/>
                <w:sz w:val="24"/>
                <w:highlight w:val="none"/>
              </w:rPr>
              <w:t>4500.00</w:t>
            </w:r>
          </w:p>
        </w:tc>
        <w:tc>
          <w:tcPr>
            <w:tcW w:w="0" w:type="auto"/>
            <w:vAlign w:val="center"/>
          </w:tcPr>
          <w:p w14:paraId="1B559A35">
            <w:pPr>
              <w:shd w:val="clear"/>
              <w:spacing w:line="400" w:lineRule="exact"/>
              <w:jc w:val="center"/>
              <w:rPr>
                <w:rFonts w:hAnsi="宋体" w:cs="宋体"/>
                <w:color w:val="auto"/>
                <w:sz w:val="24"/>
                <w:highlight w:val="none"/>
              </w:rPr>
            </w:pPr>
            <w:r>
              <w:rPr>
                <w:rFonts w:hint="eastAsia" w:hAnsi="宋体" w:cs="宋体"/>
                <w:color w:val="auto"/>
                <w:sz w:val="24"/>
                <w:highlight w:val="none"/>
              </w:rPr>
              <w:t>否</w:t>
            </w:r>
          </w:p>
        </w:tc>
      </w:tr>
      <w:tr w14:paraId="1BC8A7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0" w:type="auto"/>
            <w:vAlign w:val="center"/>
          </w:tcPr>
          <w:p w14:paraId="7C4C677A">
            <w:pPr>
              <w:shd w:val="clear"/>
              <w:spacing w:line="400" w:lineRule="exact"/>
              <w:jc w:val="center"/>
              <w:rPr>
                <w:rFonts w:ascii="宋体" w:hAnsi="宋体" w:eastAsia="宋体" w:cs="宋体"/>
                <w:color w:val="auto"/>
                <w:sz w:val="24"/>
                <w:highlight w:val="none"/>
                <w:lang w:val="en-US" w:eastAsia="zh-CN" w:bidi="ar-SA"/>
              </w:rPr>
            </w:pPr>
            <w:r>
              <w:rPr>
                <w:rFonts w:hint="eastAsia" w:hAnsi="宋体" w:cs="宋体"/>
                <w:color w:val="auto"/>
                <w:sz w:val="24"/>
                <w:highlight w:val="none"/>
              </w:rPr>
              <w:t>33</w:t>
            </w:r>
          </w:p>
        </w:tc>
        <w:tc>
          <w:tcPr>
            <w:tcW w:w="0" w:type="auto"/>
            <w:vAlign w:val="center"/>
          </w:tcPr>
          <w:p w14:paraId="3A7A3A91">
            <w:pPr>
              <w:shd w:val="clear"/>
              <w:spacing w:line="400" w:lineRule="exact"/>
              <w:jc w:val="center"/>
              <w:rPr>
                <w:rFonts w:hAnsi="宋体" w:cs="宋体"/>
                <w:color w:val="auto"/>
                <w:sz w:val="24"/>
                <w:highlight w:val="none"/>
              </w:rPr>
            </w:pPr>
            <w:r>
              <w:rPr>
                <w:rFonts w:hint="eastAsia" w:hAnsi="宋体" w:cs="宋体"/>
                <w:color w:val="auto"/>
                <w:sz w:val="24"/>
                <w:highlight w:val="none"/>
              </w:rPr>
              <w:t>主播话筒</w:t>
            </w:r>
          </w:p>
        </w:tc>
        <w:tc>
          <w:tcPr>
            <w:tcW w:w="0" w:type="auto"/>
            <w:vAlign w:val="center"/>
          </w:tcPr>
          <w:p w14:paraId="108D3A9F">
            <w:pPr>
              <w:shd w:val="clear"/>
              <w:spacing w:line="400" w:lineRule="exact"/>
              <w:jc w:val="center"/>
              <w:rPr>
                <w:rFonts w:hAnsi="宋体" w:cs="宋体"/>
                <w:color w:val="auto"/>
                <w:sz w:val="24"/>
                <w:highlight w:val="none"/>
              </w:rPr>
            </w:pPr>
            <w:r>
              <w:rPr>
                <w:rFonts w:hint="eastAsia" w:hAnsi="宋体" w:cs="宋体"/>
                <w:color w:val="auto"/>
                <w:sz w:val="24"/>
                <w:highlight w:val="none"/>
              </w:rPr>
              <w:t>套</w:t>
            </w:r>
          </w:p>
        </w:tc>
        <w:tc>
          <w:tcPr>
            <w:tcW w:w="0" w:type="auto"/>
            <w:vAlign w:val="center"/>
          </w:tcPr>
          <w:p w14:paraId="14386A0A">
            <w:pPr>
              <w:shd w:val="clear"/>
              <w:spacing w:line="400" w:lineRule="exact"/>
              <w:jc w:val="center"/>
              <w:rPr>
                <w:rFonts w:hAnsi="宋体" w:cs="宋体"/>
                <w:color w:val="auto"/>
                <w:sz w:val="24"/>
                <w:highlight w:val="none"/>
              </w:rPr>
            </w:pPr>
            <w:r>
              <w:rPr>
                <w:rFonts w:hint="eastAsia" w:hAnsi="宋体" w:cs="宋体"/>
                <w:color w:val="auto"/>
                <w:sz w:val="24"/>
                <w:highlight w:val="none"/>
              </w:rPr>
              <w:t>2</w:t>
            </w:r>
          </w:p>
        </w:tc>
        <w:tc>
          <w:tcPr>
            <w:tcW w:w="0" w:type="auto"/>
            <w:vAlign w:val="center"/>
          </w:tcPr>
          <w:p w14:paraId="0FFC31EB">
            <w:pPr>
              <w:shd w:val="clear"/>
              <w:spacing w:line="400" w:lineRule="exact"/>
              <w:jc w:val="center"/>
              <w:rPr>
                <w:rFonts w:hAnsi="宋体" w:cs="宋体"/>
                <w:color w:val="auto"/>
                <w:sz w:val="24"/>
                <w:highlight w:val="none"/>
              </w:rPr>
            </w:pPr>
            <w:r>
              <w:rPr>
                <w:rFonts w:hint="eastAsia" w:hAnsi="宋体" w:cs="宋体"/>
                <w:color w:val="auto"/>
                <w:sz w:val="24"/>
                <w:highlight w:val="none"/>
              </w:rPr>
              <w:t>5500.00</w:t>
            </w:r>
          </w:p>
        </w:tc>
        <w:tc>
          <w:tcPr>
            <w:tcW w:w="0" w:type="auto"/>
            <w:vAlign w:val="center"/>
          </w:tcPr>
          <w:p w14:paraId="4090BD8A">
            <w:pPr>
              <w:shd w:val="clear"/>
              <w:spacing w:line="400" w:lineRule="exact"/>
              <w:jc w:val="center"/>
              <w:rPr>
                <w:rFonts w:hAnsi="宋体" w:cs="宋体"/>
                <w:color w:val="auto"/>
                <w:sz w:val="24"/>
                <w:highlight w:val="none"/>
              </w:rPr>
            </w:pPr>
            <w:r>
              <w:rPr>
                <w:rFonts w:hint="eastAsia" w:hAnsi="宋体" w:cs="宋体"/>
                <w:color w:val="auto"/>
                <w:sz w:val="24"/>
                <w:highlight w:val="none"/>
              </w:rPr>
              <w:t>否</w:t>
            </w:r>
          </w:p>
        </w:tc>
      </w:tr>
      <w:tr w14:paraId="47DFF6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0" w:type="auto"/>
            <w:vAlign w:val="center"/>
          </w:tcPr>
          <w:p w14:paraId="3743B230">
            <w:pPr>
              <w:shd w:val="clear"/>
              <w:spacing w:line="400" w:lineRule="exact"/>
              <w:jc w:val="center"/>
              <w:rPr>
                <w:rFonts w:hint="eastAsia" w:ascii="宋体" w:hAnsi="宋体" w:eastAsia="宋体" w:cs="宋体"/>
                <w:color w:val="auto"/>
                <w:sz w:val="24"/>
                <w:highlight w:val="none"/>
                <w:lang w:val="en-US" w:eastAsia="zh-CN" w:bidi="ar-SA"/>
              </w:rPr>
            </w:pPr>
            <w:r>
              <w:rPr>
                <w:rFonts w:hint="eastAsia" w:hAnsi="宋体" w:cs="宋体"/>
                <w:color w:val="auto"/>
                <w:sz w:val="24"/>
                <w:highlight w:val="none"/>
              </w:rPr>
              <w:t>3</w:t>
            </w:r>
            <w:r>
              <w:rPr>
                <w:rFonts w:hint="eastAsia" w:hAnsi="宋体" w:cs="宋体"/>
                <w:color w:val="auto"/>
                <w:sz w:val="24"/>
                <w:highlight w:val="none"/>
                <w:lang w:val="en-US" w:eastAsia="zh-CN"/>
              </w:rPr>
              <w:t>4</w:t>
            </w:r>
          </w:p>
        </w:tc>
        <w:tc>
          <w:tcPr>
            <w:tcW w:w="0" w:type="auto"/>
            <w:vAlign w:val="center"/>
          </w:tcPr>
          <w:p w14:paraId="6FD2E92C">
            <w:pPr>
              <w:shd w:val="clear"/>
              <w:spacing w:line="400" w:lineRule="exact"/>
              <w:jc w:val="center"/>
              <w:rPr>
                <w:rFonts w:hAnsi="宋体" w:cs="宋体"/>
                <w:color w:val="auto"/>
                <w:sz w:val="24"/>
                <w:highlight w:val="none"/>
              </w:rPr>
            </w:pPr>
            <w:r>
              <w:rPr>
                <w:rFonts w:hint="eastAsia" w:hAnsi="宋体" w:cs="宋体"/>
                <w:color w:val="auto"/>
                <w:sz w:val="24"/>
                <w:highlight w:val="none"/>
              </w:rPr>
              <w:t>音响系统集成(含线材、接插件)</w:t>
            </w:r>
          </w:p>
        </w:tc>
        <w:tc>
          <w:tcPr>
            <w:tcW w:w="0" w:type="auto"/>
            <w:vAlign w:val="center"/>
          </w:tcPr>
          <w:p w14:paraId="4861184A">
            <w:pPr>
              <w:shd w:val="clear"/>
              <w:spacing w:line="400" w:lineRule="exact"/>
              <w:jc w:val="center"/>
              <w:rPr>
                <w:rFonts w:hAnsi="宋体" w:cs="宋体"/>
                <w:color w:val="auto"/>
                <w:sz w:val="24"/>
                <w:highlight w:val="none"/>
              </w:rPr>
            </w:pPr>
            <w:r>
              <w:rPr>
                <w:rFonts w:hint="eastAsia" w:hAnsi="宋体" w:cs="宋体"/>
                <w:color w:val="auto"/>
                <w:sz w:val="24"/>
                <w:highlight w:val="none"/>
              </w:rPr>
              <w:t>套</w:t>
            </w:r>
          </w:p>
        </w:tc>
        <w:tc>
          <w:tcPr>
            <w:tcW w:w="0" w:type="auto"/>
            <w:vAlign w:val="center"/>
          </w:tcPr>
          <w:p w14:paraId="4DB72DD4">
            <w:pPr>
              <w:shd w:val="clear"/>
              <w:spacing w:line="400" w:lineRule="exact"/>
              <w:jc w:val="center"/>
              <w:rPr>
                <w:rFonts w:hAnsi="宋体" w:cs="宋体"/>
                <w:color w:val="auto"/>
                <w:sz w:val="24"/>
                <w:highlight w:val="none"/>
              </w:rPr>
            </w:pPr>
            <w:r>
              <w:rPr>
                <w:rFonts w:hint="eastAsia" w:hAnsi="宋体" w:cs="宋体"/>
                <w:color w:val="auto"/>
                <w:sz w:val="24"/>
                <w:highlight w:val="none"/>
              </w:rPr>
              <w:t>1</w:t>
            </w:r>
          </w:p>
        </w:tc>
        <w:tc>
          <w:tcPr>
            <w:tcW w:w="0" w:type="auto"/>
            <w:vAlign w:val="center"/>
          </w:tcPr>
          <w:p w14:paraId="2D19B430">
            <w:pPr>
              <w:shd w:val="clear"/>
              <w:spacing w:line="400" w:lineRule="exact"/>
              <w:jc w:val="center"/>
              <w:rPr>
                <w:rFonts w:hAnsi="宋体" w:cs="宋体"/>
                <w:color w:val="auto"/>
                <w:sz w:val="24"/>
                <w:highlight w:val="none"/>
              </w:rPr>
            </w:pPr>
            <w:r>
              <w:rPr>
                <w:rFonts w:hint="eastAsia" w:hAnsi="宋体" w:cs="宋体"/>
                <w:color w:val="auto"/>
                <w:sz w:val="24"/>
                <w:highlight w:val="none"/>
              </w:rPr>
              <w:t>10000.00</w:t>
            </w:r>
          </w:p>
        </w:tc>
        <w:tc>
          <w:tcPr>
            <w:tcW w:w="0" w:type="auto"/>
            <w:vAlign w:val="center"/>
          </w:tcPr>
          <w:p w14:paraId="75C6730E">
            <w:pPr>
              <w:shd w:val="clear"/>
              <w:spacing w:line="400" w:lineRule="exact"/>
              <w:jc w:val="center"/>
              <w:rPr>
                <w:rFonts w:hAnsi="宋体" w:cs="宋体"/>
                <w:color w:val="auto"/>
                <w:sz w:val="24"/>
                <w:highlight w:val="none"/>
              </w:rPr>
            </w:pPr>
            <w:r>
              <w:rPr>
                <w:rFonts w:hint="eastAsia" w:hAnsi="宋体" w:cs="宋体"/>
                <w:color w:val="auto"/>
                <w:sz w:val="24"/>
                <w:highlight w:val="none"/>
              </w:rPr>
              <w:t>否</w:t>
            </w:r>
          </w:p>
        </w:tc>
      </w:tr>
      <w:tr w14:paraId="0D68C7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5" w:hRule="atLeast"/>
          <w:jc w:val="center"/>
        </w:trPr>
        <w:tc>
          <w:tcPr>
            <w:tcW w:w="0" w:type="auto"/>
            <w:vAlign w:val="center"/>
          </w:tcPr>
          <w:p w14:paraId="09B916AE">
            <w:pPr>
              <w:shd w:val="clear"/>
              <w:spacing w:line="400" w:lineRule="exact"/>
              <w:jc w:val="center"/>
              <w:rPr>
                <w:rFonts w:hint="default" w:hAnsi="宋体" w:eastAsia="宋体" w:cs="宋体"/>
                <w:color w:val="auto"/>
                <w:sz w:val="24"/>
                <w:highlight w:val="none"/>
                <w:lang w:val="en-US" w:eastAsia="zh-CN"/>
              </w:rPr>
            </w:pPr>
            <w:r>
              <w:rPr>
                <w:rFonts w:hint="eastAsia" w:hAnsi="宋体" w:cs="宋体"/>
                <w:color w:val="auto"/>
                <w:sz w:val="24"/>
                <w:highlight w:val="none"/>
                <w:lang w:val="en-US" w:eastAsia="zh-CN"/>
              </w:rPr>
              <w:t>35</w:t>
            </w:r>
          </w:p>
        </w:tc>
        <w:tc>
          <w:tcPr>
            <w:tcW w:w="0" w:type="auto"/>
            <w:vAlign w:val="center"/>
          </w:tcPr>
          <w:p w14:paraId="0D56BFBF">
            <w:pPr>
              <w:shd w:val="clear"/>
              <w:spacing w:line="400" w:lineRule="exact"/>
              <w:jc w:val="center"/>
              <w:rPr>
                <w:rFonts w:hAnsi="宋体" w:cs="宋体"/>
                <w:color w:val="auto"/>
                <w:sz w:val="24"/>
                <w:highlight w:val="none"/>
              </w:rPr>
            </w:pPr>
            <w:r>
              <w:rPr>
                <w:rFonts w:hint="eastAsia" w:hAnsi="宋体" w:cs="宋体"/>
                <w:color w:val="auto"/>
                <w:sz w:val="24"/>
                <w:highlight w:val="none"/>
              </w:rPr>
              <w:t>录音室桌</w:t>
            </w:r>
          </w:p>
        </w:tc>
        <w:tc>
          <w:tcPr>
            <w:tcW w:w="0" w:type="auto"/>
            <w:vAlign w:val="center"/>
          </w:tcPr>
          <w:p w14:paraId="3F34E8AF">
            <w:pPr>
              <w:shd w:val="clear"/>
              <w:spacing w:line="400" w:lineRule="exact"/>
              <w:jc w:val="center"/>
              <w:rPr>
                <w:rFonts w:hAnsi="宋体" w:cs="宋体"/>
                <w:color w:val="auto"/>
                <w:sz w:val="24"/>
                <w:highlight w:val="none"/>
              </w:rPr>
            </w:pPr>
            <w:r>
              <w:rPr>
                <w:rFonts w:hint="eastAsia" w:hAnsi="宋体" w:cs="宋体"/>
                <w:color w:val="auto"/>
                <w:sz w:val="24"/>
                <w:highlight w:val="none"/>
              </w:rPr>
              <w:t>个</w:t>
            </w:r>
          </w:p>
        </w:tc>
        <w:tc>
          <w:tcPr>
            <w:tcW w:w="0" w:type="auto"/>
            <w:vAlign w:val="center"/>
          </w:tcPr>
          <w:p w14:paraId="347E27B0">
            <w:pPr>
              <w:shd w:val="clear"/>
              <w:spacing w:line="400" w:lineRule="exact"/>
              <w:jc w:val="center"/>
              <w:rPr>
                <w:rFonts w:hAnsi="宋体" w:cs="宋体"/>
                <w:color w:val="auto"/>
                <w:sz w:val="24"/>
                <w:highlight w:val="none"/>
              </w:rPr>
            </w:pPr>
            <w:r>
              <w:rPr>
                <w:rFonts w:hint="eastAsia" w:hAnsi="宋体" w:cs="宋体"/>
                <w:color w:val="auto"/>
                <w:sz w:val="24"/>
                <w:highlight w:val="none"/>
              </w:rPr>
              <w:t>2</w:t>
            </w:r>
          </w:p>
        </w:tc>
        <w:tc>
          <w:tcPr>
            <w:tcW w:w="0" w:type="auto"/>
            <w:vAlign w:val="center"/>
          </w:tcPr>
          <w:p w14:paraId="54BE0790">
            <w:pPr>
              <w:shd w:val="clear"/>
              <w:spacing w:line="400" w:lineRule="exact"/>
              <w:jc w:val="center"/>
              <w:rPr>
                <w:rFonts w:hAnsi="宋体" w:cs="宋体"/>
                <w:color w:val="auto"/>
                <w:sz w:val="24"/>
                <w:highlight w:val="none"/>
              </w:rPr>
            </w:pPr>
            <w:r>
              <w:rPr>
                <w:rFonts w:hint="eastAsia" w:hAnsi="宋体" w:cs="宋体"/>
                <w:color w:val="auto"/>
                <w:sz w:val="24"/>
                <w:highlight w:val="none"/>
              </w:rPr>
              <w:t>3000.00</w:t>
            </w:r>
          </w:p>
        </w:tc>
        <w:tc>
          <w:tcPr>
            <w:tcW w:w="0" w:type="auto"/>
            <w:vAlign w:val="center"/>
          </w:tcPr>
          <w:p w14:paraId="2A368534">
            <w:pPr>
              <w:shd w:val="clear"/>
              <w:spacing w:line="400" w:lineRule="exact"/>
              <w:jc w:val="center"/>
              <w:rPr>
                <w:rFonts w:hAnsi="宋体" w:cs="宋体"/>
                <w:color w:val="auto"/>
                <w:sz w:val="24"/>
                <w:highlight w:val="none"/>
              </w:rPr>
            </w:pPr>
            <w:r>
              <w:rPr>
                <w:rFonts w:hint="eastAsia" w:hAnsi="宋体" w:cs="宋体"/>
                <w:color w:val="auto"/>
                <w:sz w:val="24"/>
                <w:highlight w:val="none"/>
              </w:rPr>
              <w:t>否</w:t>
            </w:r>
          </w:p>
        </w:tc>
      </w:tr>
      <w:tr w14:paraId="1F3521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6" w:hRule="atLeast"/>
          <w:jc w:val="center"/>
        </w:trPr>
        <w:tc>
          <w:tcPr>
            <w:tcW w:w="0" w:type="auto"/>
            <w:vAlign w:val="center"/>
          </w:tcPr>
          <w:p w14:paraId="1A0439CE">
            <w:pPr>
              <w:shd w:val="clear"/>
              <w:spacing w:line="400" w:lineRule="exact"/>
              <w:jc w:val="center"/>
              <w:rPr>
                <w:rFonts w:hint="default" w:hAnsi="宋体" w:eastAsia="宋体" w:cs="宋体"/>
                <w:color w:val="auto"/>
                <w:sz w:val="24"/>
                <w:highlight w:val="none"/>
                <w:lang w:val="en-US" w:eastAsia="zh-CN"/>
              </w:rPr>
            </w:pPr>
            <w:r>
              <w:rPr>
                <w:rFonts w:hint="eastAsia" w:hAnsi="宋体" w:cs="宋体"/>
                <w:color w:val="auto"/>
                <w:sz w:val="24"/>
                <w:highlight w:val="none"/>
                <w:lang w:val="en-US" w:eastAsia="zh-CN"/>
              </w:rPr>
              <w:t>36</w:t>
            </w:r>
          </w:p>
        </w:tc>
        <w:tc>
          <w:tcPr>
            <w:tcW w:w="0" w:type="auto"/>
            <w:vAlign w:val="center"/>
          </w:tcPr>
          <w:p w14:paraId="3D1D16D0">
            <w:pPr>
              <w:shd w:val="clear"/>
              <w:spacing w:line="400" w:lineRule="exact"/>
              <w:jc w:val="center"/>
              <w:rPr>
                <w:rFonts w:hAnsi="宋体" w:cs="宋体"/>
                <w:color w:val="auto"/>
                <w:sz w:val="24"/>
                <w:highlight w:val="none"/>
              </w:rPr>
            </w:pPr>
            <w:r>
              <w:rPr>
                <w:rFonts w:hint="eastAsia" w:hAnsi="宋体" w:cs="宋体"/>
                <w:color w:val="auto"/>
                <w:sz w:val="24"/>
                <w:highlight w:val="none"/>
              </w:rPr>
              <w:t>虚拟蓝箱（含舞美置景）</w:t>
            </w:r>
          </w:p>
        </w:tc>
        <w:tc>
          <w:tcPr>
            <w:tcW w:w="0" w:type="auto"/>
            <w:vAlign w:val="center"/>
          </w:tcPr>
          <w:p w14:paraId="502CE3ED">
            <w:pPr>
              <w:shd w:val="clear"/>
              <w:spacing w:line="400" w:lineRule="exact"/>
              <w:jc w:val="center"/>
              <w:rPr>
                <w:rFonts w:hAnsi="宋体" w:cs="宋体"/>
                <w:color w:val="auto"/>
                <w:sz w:val="24"/>
                <w:highlight w:val="none"/>
              </w:rPr>
            </w:pPr>
            <w:r>
              <w:rPr>
                <w:rFonts w:hint="eastAsia" w:hAnsi="宋体" w:cs="宋体"/>
                <w:color w:val="auto"/>
                <w:sz w:val="24"/>
                <w:highlight w:val="none"/>
              </w:rPr>
              <w:t>套</w:t>
            </w:r>
          </w:p>
        </w:tc>
        <w:tc>
          <w:tcPr>
            <w:tcW w:w="0" w:type="auto"/>
            <w:vAlign w:val="center"/>
          </w:tcPr>
          <w:p w14:paraId="08B95CE8">
            <w:pPr>
              <w:shd w:val="clear"/>
              <w:spacing w:line="400" w:lineRule="exact"/>
              <w:jc w:val="center"/>
              <w:rPr>
                <w:rFonts w:hAnsi="宋体" w:cs="宋体"/>
                <w:color w:val="auto"/>
                <w:sz w:val="24"/>
                <w:highlight w:val="none"/>
              </w:rPr>
            </w:pPr>
            <w:r>
              <w:rPr>
                <w:rFonts w:hint="eastAsia" w:hAnsi="宋体" w:cs="宋体"/>
                <w:color w:val="auto"/>
                <w:sz w:val="24"/>
                <w:highlight w:val="none"/>
              </w:rPr>
              <w:t>1</w:t>
            </w:r>
          </w:p>
        </w:tc>
        <w:tc>
          <w:tcPr>
            <w:tcW w:w="0" w:type="auto"/>
            <w:vAlign w:val="center"/>
          </w:tcPr>
          <w:p w14:paraId="384D4E71">
            <w:pPr>
              <w:shd w:val="clear"/>
              <w:spacing w:line="400" w:lineRule="exact"/>
              <w:jc w:val="center"/>
              <w:rPr>
                <w:rFonts w:hAnsi="宋体" w:cs="宋体"/>
                <w:color w:val="auto"/>
                <w:sz w:val="24"/>
                <w:highlight w:val="none"/>
              </w:rPr>
            </w:pPr>
            <w:r>
              <w:rPr>
                <w:rFonts w:hint="eastAsia" w:hAnsi="宋体" w:cs="宋体"/>
                <w:color w:val="auto"/>
                <w:sz w:val="24"/>
                <w:highlight w:val="none"/>
              </w:rPr>
              <w:t>70000.00</w:t>
            </w:r>
          </w:p>
        </w:tc>
        <w:tc>
          <w:tcPr>
            <w:tcW w:w="0" w:type="auto"/>
            <w:vAlign w:val="center"/>
          </w:tcPr>
          <w:p w14:paraId="7AD1B28C">
            <w:pPr>
              <w:shd w:val="clear"/>
              <w:spacing w:line="400" w:lineRule="exact"/>
              <w:jc w:val="center"/>
              <w:rPr>
                <w:rFonts w:hAnsi="宋体" w:cs="宋体"/>
                <w:color w:val="auto"/>
                <w:sz w:val="24"/>
                <w:highlight w:val="none"/>
              </w:rPr>
            </w:pPr>
            <w:r>
              <w:rPr>
                <w:rFonts w:hint="eastAsia" w:hAnsi="宋体" w:cs="宋体"/>
                <w:color w:val="auto"/>
                <w:sz w:val="24"/>
                <w:highlight w:val="none"/>
              </w:rPr>
              <w:t>否</w:t>
            </w:r>
          </w:p>
        </w:tc>
      </w:tr>
    </w:tbl>
    <w:p w14:paraId="29511EA1">
      <w:pPr>
        <w:pStyle w:val="2"/>
        <w:shd w:val="clear"/>
        <w:spacing w:line="480" w:lineRule="exact"/>
        <w:rPr>
          <w:rFonts w:hint="eastAsia" w:hAnsi="宋体" w:eastAsia="宋体" w:cs="宋体"/>
          <w:b/>
          <w:bCs/>
          <w:color w:val="auto"/>
          <w:sz w:val="24"/>
          <w:szCs w:val="24"/>
          <w:highlight w:val="none"/>
          <w:lang w:val="en-US" w:eastAsia="zh-CN"/>
        </w:rPr>
      </w:pPr>
      <w:r>
        <w:rPr>
          <w:rFonts w:hint="eastAsia" w:hAnsi="宋体" w:cs="宋体"/>
          <w:b/>
          <w:bCs/>
          <w:color w:val="auto"/>
          <w:sz w:val="24"/>
          <w:szCs w:val="24"/>
          <w:highlight w:val="none"/>
          <w:lang w:val="en-US" w:eastAsia="zh-CN"/>
        </w:rPr>
        <w:t>注：</w:t>
      </w:r>
      <w:r>
        <w:rPr>
          <w:rFonts w:hint="eastAsia" w:hAnsi="宋体" w:cs="宋体"/>
          <w:b/>
          <w:color w:val="auto"/>
          <w:sz w:val="24"/>
          <w:szCs w:val="24"/>
          <w:highlight w:val="none"/>
        </w:rPr>
        <w:t>本项目核心产品为：LED平板柔光灯</w:t>
      </w:r>
      <w:r>
        <w:rPr>
          <w:rFonts w:hint="eastAsia" w:hAnsi="宋体" w:cs="宋体"/>
          <w:b/>
          <w:color w:val="auto"/>
          <w:sz w:val="24"/>
          <w:szCs w:val="24"/>
          <w:highlight w:val="none"/>
          <w:lang w:eastAsia="zh-CN"/>
        </w:rPr>
        <w:t>。</w:t>
      </w:r>
    </w:p>
    <w:p w14:paraId="3E727B3B">
      <w:pPr>
        <w:pStyle w:val="2"/>
        <w:shd w:val="clear"/>
        <w:spacing w:line="480" w:lineRule="exact"/>
        <w:rPr>
          <w:rFonts w:hint="eastAsia" w:hAnsi="宋体" w:eastAsia="宋体" w:cs="宋体"/>
          <w:b/>
          <w:bCs/>
          <w:color w:val="auto"/>
          <w:sz w:val="24"/>
          <w:szCs w:val="24"/>
          <w:highlight w:val="none"/>
          <w:lang w:eastAsia="zh-CN"/>
        </w:rPr>
      </w:pPr>
      <w:r>
        <w:rPr>
          <w:rFonts w:hint="eastAsia" w:hAnsi="宋体" w:cs="宋体"/>
          <w:b/>
          <w:bCs/>
          <w:color w:val="auto"/>
          <w:sz w:val="24"/>
          <w:szCs w:val="24"/>
          <w:highlight w:val="none"/>
        </w:rPr>
        <w:t>（二）技术参数</w:t>
      </w:r>
      <w:r>
        <w:rPr>
          <w:rFonts w:hint="eastAsia" w:hAnsi="宋体" w:cs="宋体"/>
          <w:b/>
          <w:bCs/>
          <w:color w:val="auto"/>
          <w:sz w:val="24"/>
          <w:szCs w:val="24"/>
          <w:highlight w:val="none"/>
          <w:lang w:eastAsia="zh-CN"/>
        </w:rPr>
        <w:t>（</w:t>
      </w:r>
      <w:r>
        <w:rPr>
          <w:rFonts w:hint="eastAsia" w:hAnsi="宋体" w:cs="宋体"/>
          <w:b/>
          <w:bCs/>
          <w:color w:val="auto"/>
          <w:sz w:val="24"/>
          <w:szCs w:val="24"/>
          <w:highlight w:val="none"/>
          <w:lang w:val="en-US" w:eastAsia="zh-CN"/>
        </w:rPr>
        <w:t>共204条</w:t>
      </w:r>
      <w:r>
        <w:rPr>
          <w:rFonts w:hint="eastAsia" w:hAnsi="宋体" w:cs="宋体"/>
          <w:b/>
          <w:bCs/>
          <w:color w:val="auto"/>
          <w:sz w:val="24"/>
          <w:szCs w:val="24"/>
          <w:highlight w:val="none"/>
          <w:lang w:eastAsia="zh-CN"/>
        </w:rPr>
        <w:t>）</w:t>
      </w:r>
    </w:p>
    <w:p w14:paraId="467A6648">
      <w:pPr>
        <w:shd w:val="clear"/>
        <w:spacing w:line="360" w:lineRule="auto"/>
        <w:ind w:firstLine="480" w:firstLineChars="200"/>
        <w:rPr>
          <w:rFonts w:hAnsi="宋体" w:cs="宋体"/>
          <w:color w:val="auto"/>
          <w:sz w:val="24"/>
          <w:szCs w:val="24"/>
          <w:highlight w:val="none"/>
        </w:rPr>
      </w:pPr>
    </w:p>
    <w:tbl>
      <w:tblPr>
        <w:tblStyle w:val="30"/>
        <w:tblW w:w="930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5"/>
        <w:gridCol w:w="1596"/>
        <w:gridCol w:w="6748"/>
      </w:tblGrid>
      <w:tr w14:paraId="659700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5" w:type="dxa"/>
            <w:vAlign w:val="center"/>
          </w:tcPr>
          <w:p w14:paraId="25F9328D">
            <w:pPr>
              <w:shd w:val="clear"/>
              <w:spacing w:line="360" w:lineRule="auto"/>
              <w:jc w:val="center"/>
              <w:textAlignment w:val="center"/>
              <w:rPr>
                <w:rFonts w:hAnsi="宋体" w:cs="宋体"/>
                <w:b/>
                <w:bCs/>
                <w:color w:val="auto"/>
                <w:sz w:val="24"/>
                <w:szCs w:val="24"/>
                <w:highlight w:val="none"/>
              </w:rPr>
            </w:pPr>
            <w:r>
              <w:rPr>
                <w:rFonts w:hint="eastAsia" w:hAnsi="宋体" w:cs="宋体"/>
                <w:b/>
                <w:bCs/>
                <w:color w:val="auto"/>
                <w:sz w:val="24"/>
                <w:szCs w:val="24"/>
                <w:highlight w:val="none"/>
              </w:rPr>
              <w:t>序号</w:t>
            </w:r>
          </w:p>
        </w:tc>
        <w:tc>
          <w:tcPr>
            <w:tcW w:w="1596" w:type="dxa"/>
            <w:vAlign w:val="center"/>
          </w:tcPr>
          <w:p w14:paraId="68039F20">
            <w:pPr>
              <w:shd w:val="clear"/>
              <w:spacing w:line="360" w:lineRule="auto"/>
              <w:jc w:val="center"/>
              <w:textAlignment w:val="center"/>
              <w:rPr>
                <w:rFonts w:hAnsi="宋体" w:cs="宋体"/>
                <w:b/>
                <w:bCs/>
                <w:color w:val="auto"/>
                <w:sz w:val="24"/>
                <w:szCs w:val="24"/>
                <w:highlight w:val="none"/>
              </w:rPr>
            </w:pPr>
            <w:r>
              <w:rPr>
                <w:rFonts w:hint="eastAsia" w:hAnsi="宋体" w:cs="宋体"/>
                <w:b/>
                <w:bCs/>
                <w:color w:val="auto"/>
                <w:sz w:val="24"/>
                <w:szCs w:val="24"/>
                <w:highlight w:val="none"/>
              </w:rPr>
              <w:t>产品名称</w:t>
            </w:r>
          </w:p>
        </w:tc>
        <w:tc>
          <w:tcPr>
            <w:tcW w:w="6748" w:type="dxa"/>
            <w:vAlign w:val="center"/>
          </w:tcPr>
          <w:p w14:paraId="70B3167B">
            <w:pPr>
              <w:shd w:val="clear"/>
              <w:spacing w:line="360" w:lineRule="auto"/>
              <w:jc w:val="center"/>
              <w:textAlignment w:val="center"/>
              <w:rPr>
                <w:rFonts w:hAnsi="宋体" w:cs="宋体"/>
                <w:b/>
                <w:bCs/>
                <w:color w:val="auto"/>
                <w:sz w:val="24"/>
                <w:szCs w:val="24"/>
                <w:highlight w:val="none"/>
              </w:rPr>
            </w:pPr>
            <w:r>
              <w:rPr>
                <w:rFonts w:hint="eastAsia" w:hAnsi="宋体" w:cs="宋体"/>
                <w:b/>
                <w:bCs/>
                <w:color w:val="auto"/>
                <w:sz w:val="24"/>
                <w:szCs w:val="24"/>
                <w:highlight w:val="none"/>
              </w:rPr>
              <w:t>技术规格和配置要求</w:t>
            </w:r>
          </w:p>
        </w:tc>
      </w:tr>
      <w:tr w14:paraId="14CFA6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5" w:type="dxa"/>
            <w:vAlign w:val="center"/>
          </w:tcPr>
          <w:p w14:paraId="57CF8B17">
            <w:pPr>
              <w:shd w:val="clear"/>
              <w:spacing w:line="400" w:lineRule="exact"/>
              <w:jc w:val="center"/>
              <w:rPr>
                <w:rFonts w:hAnsi="宋体" w:cs="宋体"/>
                <w:color w:val="auto"/>
                <w:sz w:val="24"/>
                <w:highlight w:val="none"/>
              </w:rPr>
            </w:pPr>
            <w:r>
              <w:rPr>
                <w:rFonts w:hint="eastAsia" w:hAnsi="宋体" w:cs="宋体"/>
                <w:color w:val="auto"/>
                <w:sz w:val="24"/>
                <w:highlight w:val="none"/>
              </w:rPr>
              <w:t>1</w:t>
            </w:r>
          </w:p>
        </w:tc>
        <w:tc>
          <w:tcPr>
            <w:tcW w:w="1596" w:type="dxa"/>
            <w:vAlign w:val="center"/>
          </w:tcPr>
          <w:p w14:paraId="08BF6FEE">
            <w:pPr>
              <w:shd w:val="clear"/>
              <w:spacing w:line="400" w:lineRule="exact"/>
              <w:jc w:val="center"/>
              <w:rPr>
                <w:rFonts w:hAnsi="宋体" w:cs="宋体"/>
                <w:color w:val="auto"/>
                <w:sz w:val="24"/>
                <w:highlight w:val="none"/>
              </w:rPr>
            </w:pPr>
            <w:r>
              <w:rPr>
                <w:rFonts w:hint="eastAsia" w:hAnsi="宋体" w:cs="宋体"/>
                <w:color w:val="auto"/>
                <w:sz w:val="24"/>
                <w:highlight w:val="none"/>
              </w:rPr>
              <w:t>4K摄像机</w:t>
            </w:r>
          </w:p>
        </w:tc>
        <w:tc>
          <w:tcPr>
            <w:tcW w:w="6748" w:type="dxa"/>
            <w:vAlign w:val="center"/>
          </w:tcPr>
          <w:p w14:paraId="61DA3C06">
            <w:pPr>
              <w:pStyle w:val="47"/>
              <w:shd w:val="clear"/>
              <w:spacing w:line="360" w:lineRule="auto"/>
              <w:jc w:val="both"/>
              <w:rPr>
                <w:rFonts w:ascii="宋体" w:hAnsi="宋体" w:eastAsia="宋体" w:cs="宋体"/>
                <w:color w:val="auto"/>
                <w:highlight w:val="none"/>
              </w:rPr>
            </w:pPr>
            <w:r>
              <w:rPr>
                <w:rFonts w:hint="eastAsia" w:ascii="宋体" w:hAnsi="宋体" w:eastAsia="宋体" w:cs="宋体"/>
                <w:color w:val="auto"/>
                <w:highlight w:val="none"/>
              </w:rPr>
              <w:t>1、▲成像器件：≥1/2 英寸3CMOS成像器，有效像素≥3840×2160；</w:t>
            </w:r>
          </w:p>
          <w:p w14:paraId="504BB701">
            <w:pPr>
              <w:pStyle w:val="47"/>
              <w:shd w:val="clear"/>
              <w:spacing w:line="360" w:lineRule="auto"/>
              <w:jc w:val="both"/>
              <w:rPr>
                <w:rFonts w:ascii="宋体" w:hAnsi="宋体" w:eastAsia="宋体" w:cs="宋体"/>
                <w:color w:val="auto"/>
                <w:highlight w:val="none"/>
              </w:rPr>
            </w:pPr>
            <w:r>
              <w:rPr>
                <w:rFonts w:hint="eastAsia" w:ascii="宋体" w:hAnsi="宋体" w:eastAsia="宋体" w:cs="宋体"/>
                <w:color w:val="auto"/>
                <w:highlight w:val="none"/>
              </w:rPr>
              <w:t>2、灵敏度≥F12 60p/F13 50p；</w:t>
            </w:r>
          </w:p>
          <w:p w14:paraId="3B39F662">
            <w:pPr>
              <w:pStyle w:val="47"/>
              <w:shd w:val="clear"/>
              <w:spacing w:line="360" w:lineRule="auto"/>
              <w:jc w:val="both"/>
              <w:rPr>
                <w:rFonts w:ascii="宋体" w:hAnsi="宋体" w:eastAsia="宋体" w:cs="宋体"/>
                <w:color w:val="auto"/>
                <w:highlight w:val="none"/>
              </w:rPr>
            </w:pPr>
            <w:r>
              <w:rPr>
                <w:rFonts w:hint="eastAsia" w:ascii="宋体" w:hAnsi="宋体" w:eastAsia="宋体" w:cs="宋体"/>
                <w:color w:val="auto"/>
                <w:highlight w:val="none"/>
              </w:rPr>
              <w:t>3、信噪比：高清模式下≥63dB；</w:t>
            </w:r>
          </w:p>
          <w:p w14:paraId="106E344D">
            <w:pPr>
              <w:pStyle w:val="47"/>
              <w:shd w:val="clear"/>
              <w:spacing w:line="360" w:lineRule="auto"/>
              <w:jc w:val="both"/>
              <w:rPr>
                <w:rFonts w:ascii="宋体" w:hAnsi="宋体" w:eastAsia="宋体" w:cs="宋体"/>
                <w:color w:val="auto"/>
                <w:highlight w:val="none"/>
              </w:rPr>
            </w:pPr>
            <w:r>
              <w:rPr>
                <w:rFonts w:hint="eastAsia" w:ascii="宋体" w:hAnsi="宋体" w:eastAsia="宋体" w:cs="宋体"/>
                <w:color w:val="auto"/>
                <w:highlight w:val="none"/>
              </w:rPr>
              <w:t>4、支持 4K 60P/50P 4∶2∶2 10bit，4K QFHD/HD（XAVC-intra和 XAVC-Long）可同步录制,兼容 DVCAM 格式；</w:t>
            </w:r>
          </w:p>
          <w:p w14:paraId="216D8933">
            <w:pPr>
              <w:pStyle w:val="47"/>
              <w:shd w:val="clear"/>
              <w:spacing w:line="360" w:lineRule="auto"/>
              <w:jc w:val="both"/>
              <w:rPr>
                <w:rFonts w:ascii="宋体" w:hAnsi="宋体" w:eastAsia="宋体" w:cs="宋体"/>
                <w:color w:val="auto"/>
                <w:highlight w:val="none"/>
              </w:rPr>
            </w:pPr>
            <w:r>
              <w:rPr>
                <w:rFonts w:hint="eastAsia" w:ascii="宋体" w:hAnsi="宋体" w:eastAsia="宋体" w:cs="宋体"/>
                <w:color w:val="auto"/>
                <w:highlight w:val="none"/>
              </w:rPr>
              <w:t>5、镜头变焦倍率：≥17×光学变焦镜头；高清模式下≥34 倍无损数字变焦；</w:t>
            </w:r>
          </w:p>
          <w:p w14:paraId="6266663E">
            <w:pPr>
              <w:pStyle w:val="47"/>
              <w:shd w:val="clear"/>
              <w:spacing w:line="360" w:lineRule="auto"/>
              <w:jc w:val="both"/>
              <w:rPr>
                <w:rFonts w:ascii="宋体" w:hAnsi="宋体" w:eastAsia="宋体" w:cs="宋体"/>
                <w:color w:val="auto"/>
                <w:highlight w:val="none"/>
              </w:rPr>
            </w:pPr>
            <w:r>
              <w:rPr>
                <w:rFonts w:hint="eastAsia" w:ascii="宋体" w:hAnsi="宋体" w:eastAsia="宋体" w:cs="宋体"/>
                <w:color w:val="auto"/>
                <w:highlight w:val="none"/>
              </w:rPr>
              <w:t>6、支持 12G-SDI 和双热靴；支持无极可调 ND 滤镜；支持(HLG, S-Log3)色彩模式，支持BT2020色域；</w:t>
            </w:r>
          </w:p>
          <w:p w14:paraId="22DDB09D">
            <w:pPr>
              <w:pStyle w:val="47"/>
              <w:shd w:val="clear"/>
              <w:spacing w:line="360" w:lineRule="auto"/>
              <w:jc w:val="both"/>
              <w:rPr>
                <w:rFonts w:ascii="宋体" w:hAnsi="宋体" w:eastAsia="宋体" w:cs="宋体"/>
                <w:color w:val="auto"/>
                <w:highlight w:val="none"/>
              </w:rPr>
            </w:pPr>
            <w:r>
              <w:rPr>
                <w:rFonts w:hint="eastAsia" w:ascii="宋体" w:hAnsi="宋体" w:eastAsia="宋体" w:cs="宋体"/>
                <w:color w:val="auto"/>
                <w:highlight w:val="none"/>
              </w:rPr>
              <w:t>7、支持ExpressCard/34双卡槽；支持人脸自动对焦，能对特定目标人物自动保持聚焦点；</w:t>
            </w:r>
          </w:p>
          <w:p w14:paraId="5E66FC74">
            <w:pPr>
              <w:pStyle w:val="47"/>
              <w:shd w:val="clear"/>
              <w:spacing w:line="360" w:lineRule="auto"/>
              <w:jc w:val="both"/>
              <w:rPr>
                <w:rFonts w:ascii="宋体" w:hAnsi="宋体" w:eastAsia="宋体" w:cs="宋体"/>
                <w:color w:val="auto"/>
                <w:highlight w:val="none"/>
              </w:rPr>
            </w:pPr>
            <w:r>
              <w:rPr>
                <w:rFonts w:hint="eastAsia" w:ascii="宋体" w:hAnsi="宋体" w:eastAsia="宋体" w:cs="宋体"/>
                <w:color w:val="auto"/>
                <w:highlight w:val="none"/>
              </w:rPr>
              <w:t>8、标配外另配：原装储存卡（不低于64G）*1，原装读卡器*1，大容量备用电池*1，相机包*1；</w:t>
            </w:r>
          </w:p>
        </w:tc>
      </w:tr>
      <w:tr w14:paraId="210BC9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5" w:type="dxa"/>
            <w:vAlign w:val="center"/>
          </w:tcPr>
          <w:p w14:paraId="510A40C5">
            <w:pPr>
              <w:shd w:val="clear"/>
              <w:spacing w:line="400" w:lineRule="exact"/>
              <w:jc w:val="center"/>
              <w:rPr>
                <w:rFonts w:hAnsi="宋体" w:cs="宋体"/>
                <w:color w:val="auto"/>
                <w:sz w:val="24"/>
                <w:highlight w:val="none"/>
              </w:rPr>
            </w:pPr>
            <w:r>
              <w:rPr>
                <w:rFonts w:hint="eastAsia" w:hAnsi="宋体" w:cs="宋体"/>
                <w:color w:val="auto"/>
                <w:sz w:val="24"/>
                <w:highlight w:val="none"/>
              </w:rPr>
              <w:t>2</w:t>
            </w:r>
          </w:p>
        </w:tc>
        <w:tc>
          <w:tcPr>
            <w:tcW w:w="1596" w:type="dxa"/>
            <w:vAlign w:val="center"/>
          </w:tcPr>
          <w:p w14:paraId="592614C5">
            <w:pPr>
              <w:shd w:val="clear"/>
              <w:spacing w:line="400" w:lineRule="exact"/>
              <w:jc w:val="center"/>
              <w:rPr>
                <w:rFonts w:hAnsi="宋体" w:cs="宋体"/>
                <w:color w:val="auto"/>
                <w:sz w:val="24"/>
                <w:highlight w:val="none"/>
              </w:rPr>
            </w:pPr>
            <w:r>
              <w:rPr>
                <w:rFonts w:hint="eastAsia" w:hAnsi="宋体" w:cs="宋体"/>
                <w:color w:val="auto"/>
                <w:sz w:val="24"/>
                <w:highlight w:val="none"/>
              </w:rPr>
              <w:t>演播室三脚架</w:t>
            </w:r>
          </w:p>
        </w:tc>
        <w:tc>
          <w:tcPr>
            <w:tcW w:w="6748" w:type="dxa"/>
            <w:vAlign w:val="center"/>
          </w:tcPr>
          <w:p w14:paraId="7D36BD39">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1、采用直径65mm（±1mm）的爪式球碗；</w:t>
            </w:r>
          </w:p>
          <w:p w14:paraId="7694D0BF">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2、规格：液压阻尼系统，带脚轮；</w:t>
            </w:r>
          </w:p>
          <w:p w14:paraId="3205FE47">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3、底座直径≥65mm；</w:t>
            </w:r>
          </w:p>
          <w:p w14:paraId="61358B15">
            <w:pPr>
              <w:pStyle w:val="47"/>
              <w:shd w:val="clear"/>
              <w:spacing w:line="360" w:lineRule="auto"/>
              <w:jc w:val="both"/>
              <w:rPr>
                <w:rFonts w:ascii="宋体" w:hAnsi="宋体" w:eastAsia="宋体" w:cs="宋体"/>
                <w:color w:val="auto"/>
                <w:kern w:val="2"/>
                <w:highlight w:val="none"/>
                <w:u w:val="single"/>
              </w:rPr>
            </w:pPr>
            <w:r>
              <w:rPr>
                <w:rFonts w:hint="eastAsia" w:ascii="宋体" w:hAnsi="宋体" w:eastAsia="宋体" w:cs="宋体"/>
                <w:color w:val="auto"/>
                <w:kern w:val="2"/>
                <w:highlight w:val="none"/>
              </w:rPr>
              <w:t>4、承重范围：≥5kg，自重≤3.2kg；</w:t>
            </w:r>
          </w:p>
        </w:tc>
      </w:tr>
      <w:tr w14:paraId="7ED979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5" w:type="dxa"/>
            <w:vAlign w:val="center"/>
          </w:tcPr>
          <w:p w14:paraId="1C1BC034">
            <w:pPr>
              <w:shd w:val="clear"/>
              <w:spacing w:line="400" w:lineRule="exact"/>
              <w:jc w:val="center"/>
              <w:rPr>
                <w:rFonts w:hAnsi="宋体" w:cs="宋体"/>
                <w:color w:val="auto"/>
                <w:sz w:val="24"/>
                <w:highlight w:val="none"/>
              </w:rPr>
            </w:pPr>
            <w:r>
              <w:rPr>
                <w:rFonts w:hint="eastAsia" w:hAnsi="宋体" w:cs="宋体"/>
                <w:color w:val="auto"/>
                <w:sz w:val="24"/>
                <w:highlight w:val="none"/>
              </w:rPr>
              <w:t>3</w:t>
            </w:r>
          </w:p>
        </w:tc>
        <w:tc>
          <w:tcPr>
            <w:tcW w:w="1596" w:type="dxa"/>
            <w:vAlign w:val="center"/>
          </w:tcPr>
          <w:p w14:paraId="7B0899D6">
            <w:pPr>
              <w:shd w:val="clear"/>
              <w:spacing w:line="400" w:lineRule="exact"/>
              <w:jc w:val="center"/>
              <w:rPr>
                <w:rFonts w:hAnsi="宋体" w:cs="宋体"/>
                <w:color w:val="auto"/>
                <w:sz w:val="24"/>
                <w:highlight w:val="none"/>
              </w:rPr>
            </w:pPr>
            <w:r>
              <w:rPr>
                <w:rFonts w:hint="eastAsia" w:hAnsi="宋体" w:cs="宋体"/>
                <w:color w:val="auto"/>
                <w:sz w:val="24"/>
                <w:highlight w:val="none"/>
              </w:rPr>
              <w:t>4K微单相机</w:t>
            </w:r>
          </w:p>
        </w:tc>
        <w:tc>
          <w:tcPr>
            <w:tcW w:w="6748" w:type="dxa"/>
          </w:tcPr>
          <w:p w14:paraId="74E5B8D3">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1、传感器类型：Exmor R CMOS；</w:t>
            </w:r>
          </w:p>
          <w:p w14:paraId="4F88103F">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2、传感器尺寸：全画幅；</w:t>
            </w:r>
          </w:p>
          <w:p w14:paraId="55063799">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3、有效像素：1200万；</w:t>
            </w:r>
          </w:p>
          <w:p w14:paraId="3EE82561">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4、影像处理器：BIONZ XR；</w:t>
            </w:r>
          </w:p>
          <w:p w14:paraId="7CC0D250">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5、▲视频拍摄能力：4K 120P；</w:t>
            </w:r>
          </w:p>
          <w:p w14:paraId="2B592D1B">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6、照片输出：10bit；</w:t>
            </w:r>
          </w:p>
          <w:p w14:paraId="62A0C9E2">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7、视频采样：4:2:2；</w:t>
            </w:r>
          </w:p>
          <w:p w14:paraId="6B1532B1">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8、▲同品牌24-70mm F2.8镜头1支</w:t>
            </w:r>
          </w:p>
          <w:p w14:paraId="2932FE1D">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9、镜头卡口：E卡口；</w:t>
            </w:r>
          </w:p>
          <w:p w14:paraId="1A195DE7">
            <w:pPr>
              <w:pStyle w:val="47"/>
              <w:shd w:val="clear"/>
              <w:spacing w:line="360" w:lineRule="auto"/>
              <w:jc w:val="both"/>
              <w:rPr>
                <w:rFonts w:ascii="宋体" w:hAnsi="宋体" w:eastAsia="宋体" w:cs="宋体"/>
                <w:color w:val="auto"/>
                <w:kern w:val="2"/>
                <w:highlight w:val="none"/>
                <w:u w:val="single"/>
              </w:rPr>
            </w:pPr>
            <w:r>
              <w:rPr>
                <w:rFonts w:hint="eastAsia" w:ascii="宋体" w:hAnsi="宋体" w:eastAsia="宋体" w:cs="宋体"/>
                <w:color w:val="auto"/>
                <w:kern w:val="2"/>
                <w:highlight w:val="none"/>
              </w:rPr>
              <w:t>10、标配外另配：256G存储卡*1，读卡器*1，UV镜*1，电池*1，摄影包*1；</w:t>
            </w:r>
          </w:p>
        </w:tc>
      </w:tr>
      <w:tr w14:paraId="5F2367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5" w:type="dxa"/>
            <w:vAlign w:val="center"/>
          </w:tcPr>
          <w:p w14:paraId="56236730">
            <w:pPr>
              <w:shd w:val="clear"/>
              <w:spacing w:line="400" w:lineRule="exact"/>
              <w:jc w:val="center"/>
              <w:rPr>
                <w:rFonts w:hAnsi="宋体" w:cs="宋体"/>
                <w:color w:val="auto"/>
                <w:sz w:val="24"/>
                <w:highlight w:val="none"/>
              </w:rPr>
            </w:pPr>
            <w:r>
              <w:rPr>
                <w:rFonts w:hint="eastAsia" w:hAnsi="宋体" w:cs="宋体"/>
                <w:color w:val="auto"/>
                <w:sz w:val="24"/>
                <w:highlight w:val="none"/>
              </w:rPr>
              <w:t>4</w:t>
            </w:r>
          </w:p>
        </w:tc>
        <w:tc>
          <w:tcPr>
            <w:tcW w:w="1596" w:type="dxa"/>
            <w:vAlign w:val="center"/>
          </w:tcPr>
          <w:p w14:paraId="116D1856">
            <w:pPr>
              <w:shd w:val="clear"/>
              <w:spacing w:line="400" w:lineRule="exact"/>
              <w:jc w:val="center"/>
              <w:rPr>
                <w:rFonts w:hAnsi="宋体" w:cs="宋体"/>
                <w:color w:val="auto"/>
                <w:sz w:val="24"/>
                <w:highlight w:val="none"/>
              </w:rPr>
            </w:pPr>
            <w:r>
              <w:rPr>
                <w:rFonts w:hint="eastAsia" w:hAnsi="宋体" w:cs="宋体"/>
                <w:color w:val="auto"/>
                <w:sz w:val="24"/>
                <w:highlight w:val="none"/>
              </w:rPr>
              <w:t>手持稳定器</w:t>
            </w:r>
          </w:p>
        </w:tc>
        <w:tc>
          <w:tcPr>
            <w:tcW w:w="6748" w:type="dxa"/>
          </w:tcPr>
          <w:p w14:paraId="468052F5">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1、云台自重≤1.3kg（含云台、电池手柄、双层快装板）；</w:t>
            </w:r>
          </w:p>
          <w:p w14:paraId="758BC4B4">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2、云台承重≥3.0kg；</w:t>
            </w:r>
          </w:p>
          <w:p w14:paraId="50C3F11F">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3、支持单手持、双手持、提壶，支持自动轴锁；</w:t>
            </w:r>
          </w:p>
          <w:p w14:paraId="13A03A9E">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4、跟焦系统：前置拨轮手动跟焦；微距旋钮；</w:t>
            </w:r>
          </w:p>
          <w:p w14:paraId="630F80F4">
            <w:pPr>
              <w:pStyle w:val="47"/>
              <w:shd w:val="clear"/>
              <w:spacing w:line="360" w:lineRule="auto"/>
              <w:jc w:val="both"/>
              <w:rPr>
                <w:rFonts w:ascii="宋体" w:hAnsi="宋体" w:eastAsia="宋体" w:cs="宋体"/>
                <w:color w:val="auto"/>
                <w:kern w:val="2"/>
                <w:highlight w:val="none"/>
                <w:u w:val="single"/>
              </w:rPr>
            </w:pPr>
            <w:r>
              <w:rPr>
                <w:rFonts w:hint="eastAsia" w:ascii="宋体" w:hAnsi="宋体" w:eastAsia="宋体" w:cs="宋体"/>
                <w:color w:val="auto"/>
                <w:kern w:val="2"/>
                <w:highlight w:val="none"/>
              </w:rPr>
              <w:t>5、配置清单：云台主体*1、BG21电池手柄*1、双层快装板*1、镜头固定支架*1、手柄延长脚架*1、相机控制线*1；</w:t>
            </w:r>
          </w:p>
        </w:tc>
      </w:tr>
      <w:tr w14:paraId="674579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5" w:type="dxa"/>
            <w:vAlign w:val="center"/>
          </w:tcPr>
          <w:p w14:paraId="63211436">
            <w:pPr>
              <w:shd w:val="clear"/>
              <w:spacing w:line="400" w:lineRule="exact"/>
              <w:jc w:val="center"/>
              <w:rPr>
                <w:rFonts w:hAnsi="宋体" w:cs="宋体"/>
                <w:color w:val="auto"/>
                <w:sz w:val="24"/>
                <w:highlight w:val="none"/>
              </w:rPr>
            </w:pPr>
            <w:r>
              <w:rPr>
                <w:rFonts w:hint="eastAsia" w:hAnsi="宋体" w:cs="宋体"/>
                <w:color w:val="auto"/>
                <w:sz w:val="24"/>
                <w:highlight w:val="none"/>
              </w:rPr>
              <w:t>5</w:t>
            </w:r>
          </w:p>
        </w:tc>
        <w:tc>
          <w:tcPr>
            <w:tcW w:w="1596" w:type="dxa"/>
            <w:vAlign w:val="center"/>
          </w:tcPr>
          <w:p w14:paraId="544223B5">
            <w:pPr>
              <w:shd w:val="clear"/>
              <w:spacing w:line="400" w:lineRule="exact"/>
              <w:jc w:val="center"/>
              <w:rPr>
                <w:rFonts w:hAnsi="宋体" w:cs="宋体"/>
                <w:color w:val="auto"/>
                <w:sz w:val="24"/>
                <w:highlight w:val="none"/>
              </w:rPr>
            </w:pPr>
            <w:r>
              <w:rPr>
                <w:rFonts w:hint="eastAsia" w:hAnsi="宋体" w:cs="宋体"/>
                <w:color w:val="auto"/>
                <w:sz w:val="24"/>
                <w:highlight w:val="none"/>
              </w:rPr>
              <w:t>无人机</w:t>
            </w:r>
          </w:p>
        </w:tc>
        <w:tc>
          <w:tcPr>
            <w:tcW w:w="6748" w:type="dxa"/>
          </w:tcPr>
          <w:p w14:paraId="59BF8ACD">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1、传感器尺寸:大底≥4/3英寸，主摄≥1/1.3英寸,中长焦与长焦≥1/2英寸，三颗镜头组成，覆盖1～28倍全焦段变焦；</w:t>
            </w:r>
          </w:p>
          <w:p w14:paraId="6891E027">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2、最大信号有效距离：≥8000米；</w:t>
            </w:r>
          </w:p>
          <w:p w14:paraId="65F07DAB">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3、最大飞行高度：≥500米；</w:t>
            </w:r>
          </w:p>
          <w:p w14:paraId="13458176">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4、最大起飞海拔高度：≥6000米；</w:t>
            </w:r>
          </w:p>
          <w:p w14:paraId="7732B0AF">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5、最大可抗风速：≥12m/s；</w:t>
            </w:r>
          </w:p>
          <w:p w14:paraId="54E149CA">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6、最大续航时间：≥43分钟；</w:t>
            </w:r>
          </w:p>
          <w:p w14:paraId="0B7A27BD">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7、配置清单：飞行遥控器、100w桌面充电器、ND滤镜套装；</w:t>
            </w:r>
          </w:p>
        </w:tc>
      </w:tr>
      <w:tr w14:paraId="7B6A0A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5" w:type="dxa"/>
            <w:vAlign w:val="center"/>
          </w:tcPr>
          <w:p w14:paraId="2BB8D176">
            <w:pPr>
              <w:shd w:val="clear"/>
              <w:spacing w:line="400" w:lineRule="exact"/>
              <w:jc w:val="center"/>
              <w:rPr>
                <w:rFonts w:hAnsi="宋体" w:cs="宋体"/>
                <w:color w:val="auto"/>
                <w:sz w:val="24"/>
                <w:highlight w:val="none"/>
              </w:rPr>
            </w:pPr>
            <w:r>
              <w:rPr>
                <w:rFonts w:hint="eastAsia" w:hAnsi="宋体" w:cs="宋体"/>
                <w:color w:val="auto"/>
                <w:sz w:val="24"/>
                <w:highlight w:val="none"/>
              </w:rPr>
              <w:t>6</w:t>
            </w:r>
          </w:p>
        </w:tc>
        <w:tc>
          <w:tcPr>
            <w:tcW w:w="1596" w:type="dxa"/>
            <w:vAlign w:val="center"/>
          </w:tcPr>
          <w:p w14:paraId="0033C2E5">
            <w:pPr>
              <w:shd w:val="clear"/>
              <w:spacing w:line="400" w:lineRule="exact"/>
              <w:jc w:val="center"/>
              <w:rPr>
                <w:rFonts w:hAnsi="宋体" w:cs="宋体"/>
                <w:color w:val="auto"/>
                <w:sz w:val="24"/>
                <w:highlight w:val="none"/>
              </w:rPr>
            </w:pPr>
            <w:r>
              <w:rPr>
                <w:rFonts w:hint="eastAsia" w:hAnsi="宋体" w:cs="宋体"/>
                <w:color w:val="auto"/>
                <w:sz w:val="24"/>
                <w:highlight w:val="none"/>
              </w:rPr>
              <w:t>返看电视机</w:t>
            </w:r>
          </w:p>
        </w:tc>
        <w:tc>
          <w:tcPr>
            <w:tcW w:w="6748" w:type="dxa"/>
          </w:tcPr>
          <w:p w14:paraId="7FFDFDCF">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1、屏幕尺寸≥75寸；</w:t>
            </w:r>
          </w:p>
          <w:p w14:paraId="149F4155">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2、响应时间≤8ms；</w:t>
            </w:r>
          </w:p>
          <w:p w14:paraId="5BD796A4">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3、屏幕比例：16:9；</w:t>
            </w:r>
          </w:p>
          <w:p w14:paraId="2EA5F60E">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4、分辨率：4K（3840*2160）；</w:t>
            </w:r>
          </w:p>
          <w:p w14:paraId="4D2CBAB4">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5、刷新率≥120Hz；</w:t>
            </w:r>
          </w:p>
          <w:p w14:paraId="58033F2C">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6、对比度：10000000:1；</w:t>
            </w:r>
          </w:p>
        </w:tc>
      </w:tr>
      <w:tr w14:paraId="4E1835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5" w:type="dxa"/>
            <w:vAlign w:val="center"/>
          </w:tcPr>
          <w:p w14:paraId="4E89031D">
            <w:pPr>
              <w:shd w:val="clear"/>
              <w:spacing w:line="400" w:lineRule="exact"/>
              <w:jc w:val="center"/>
              <w:rPr>
                <w:rFonts w:hint="eastAsia" w:hAnsi="宋体" w:eastAsia="宋体" w:cs="宋体"/>
                <w:color w:val="auto"/>
                <w:sz w:val="24"/>
                <w:highlight w:val="none"/>
                <w:lang w:val="en-US" w:eastAsia="zh-CN"/>
              </w:rPr>
            </w:pPr>
            <w:r>
              <w:rPr>
                <w:rFonts w:hint="eastAsia" w:hAnsi="宋体" w:cs="宋体"/>
                <w:color w:val="auto"/>
                <w:sz w:val="24"/>
                <w:highlight w:val="none"/>
                <w:lang w:val="en-US" w:eastAsia="zh-CN"/>
              </w:rPr>
              <w:t>7</w:t>
            </w:r>
          </w:p>
        </w:tc>
        <w:tc>
          <w:tcPr>
            <w:tcW w:w="1596" w:type="dxa"/>
            <w:vAlign w:val="center"/>
          </w:tcPr>
          <w:p w14:paraId="1EA34390">
            <w:pPr>
              <w:shd w:val="clear"/>
              <w:spacing w:line="400" w:lineRule="exact"/>
              <w:jc w:val="center"/>
              <w:rPr>
                <w:rFonts w:hint="eastAsia" w:hAnsi="宋体" w:cs="宋体"/>
                <w:color w:val="auto"/>
                <w:sz w:val="24"/>
                <w:highlight w:val="none"/>
              </w:rPr>
            </w:pPr>
            <w:r>
              <w:rPr>
                <w:rFonts w:hint="eastAsia" w:hAnsi="宋体" w:cs="宋体"/>
                <w:color w:val="auto"/>
                <w:sz w:val="24"/>
                <w:highlight w:val="none"/>
              </w:rPr>
              <w:t>提词器</w:t>
            </w:r>
          </w:p>
        </w:tc>
        <w:tc>
          <w:tcPr>
            <w:tcW w:w="6748" w:type="dxa"/>
          </w:tcPr>
          <w:p w14:paraId="04B4BFD1">
            <w:pPr>
              <w:pStyle w:val="47"/>
              <w:shd w:val="clear"/>
              <w:spacing w:line="360" w:lineRule="auto"/>
              <w:jc w:val="both"/>
              <w:rPr>
                <w:rFonts w:hint="eastAsia" w:ascii="宋体" w:hAnsi="宋体" w:eastAsia="宋体" w:cs="宋体"/>
                <w:color w:val="auto"/>
                <w:kern w:val="2"/>
                <w:highlight w:val="none"/>
              </w:rPr>
            </w:pPr>
            <w:r>
              <w:rPr>
                <w:rFonts w:hint="eastAsia" w:ascii="宋体" w:hAnsi="宋体" w:eastAsia="宋体" w:cs="宋体"/>
                <w:color w:val="auto"/>
                <w:kern w:val="2"/>
                <w:highlight w:val="none"/>
                <w:lang w:val="en-US" w:eastAsia="zh-CN"/>
              </w:rPr>
              <w:t>1、</w:t>
            </w:r>
            <w:r>
              <w:rPr>
                <w:rFonts w:hint="eastAsia" w:ascii="宋体" w:hAnsi="宋体" w:eastAsia="宋体" w:cs="宋体"/>
                <w:color w:val="auto"/>
                <w:kern w:val="2"/>
                <w:highlight w:val="none"/>
              </w:rPr>
              <w:t>尺寸≥19英寸16：10宽屏；具备防眩光高亮显示，亮度≥4000尼特，透过率≥85%；</w:t>
            </w:r>
          </w:p>
          <w:p w14:paraId="519837A9">
            <w:pPr>
              <w:pStyle w:val="47"/>
              <w:shd w:val="clear"/>
              <w:spacing w:line="360" w:lineRule="auto"/>
              <w:jc w:val="both"/>
              <w:rPr>
                <w:rFonts w:hint="eastAsia" w:ascii="宋体" w:hAnsi="宋体" w:eastAsia="宋体" w:cs="宋体"/>
                <w:color w:val="auto"/>
                <w:kern w:val="2"/>
                <w:highlight w:val="none"/>
              </w:rPr>
            </w:pPr>
            <w:r>
              <w:rPr>
                <w:rFonts w:hint="eastAsia" w:ascii="宋体" w:hAnsi="宋体" w:eastAsia="宋体" w:cs="宋体"/>
                <w:color w:val="auto"/>
                <w:kern w:val="2"/>
                <w:highlight w:val="none"/>
                <w:lang w:val="en-US" w:eastAsia="zh-CN"/>
              </w:rPr>
              <w:t>2、</w:t>
            </w:r>
            <w:r>
              <w:rPr>
                <w:rFonts w:hint="eastAsia" w:ascii="宋体" w:hAnsi="宋体" w:eastAsia="宋体" w:cs="宋体"/>
                <w:color w:val="auto"/>
                <w:kern w:val="2"/>
                <w:highlight w:val="none"/>
              </w:rPr>
              <w:t>背光原色：5600K（与演播室灯光色温一致），要求能有效消除液晶显示器色温偏差对摄像机所涉图像颜色影响；</w:t>
            </w:r>
          </w:p>
          <w:p w14:paraId="3A393C4E">
            <w:pPr>
              <w:pStyle w:val="47"/>
              <w:shd w:val="clear"/>
              <w:spacing w:line="360" w:lineRule="auto"/>
              <w:jc w:val="both"/>
              <w:rPr>
                <w:rFonts w:hint="eastAsia" w:ascii="宋体" w:hAnsi="宋体" w:eastAsia="宋体" w:cs="宋体"/>
                <w:color w:val="auto"/>
                <w:kern w:val="2"/>
                <w:highlight w:val="none"/>
              </w:rPr>
            </w:pPr>
            <w:r>
              <w:rPr>
                <w:rFonts w:hint="eastAsia" w:ascii="宋体" w:hAnsi="宋体" w:eastAsia="宋体" w:cs="宋体"/>
                <w:color w:val="auto"/>
                <w:kern w:val="2"/>
                <w:highlight w:val="none"/>
                <w:lang w:val="en-US" w:eastAsia="zh-CN"/>
              </w:rPr>
              <w:t>3、</w:t>
            </w:r>
            <w:r>
              <w:rPr>
                <w:rFonts w:hint="eastAsia" w:ascii="宋体" w:hAnsi="宋体" w:eastAsia="宋体" w:cs="宋体"/>
                <w:color w:val="auto"/>
                <w:kern w:val="2"/>
                <w:highlight w:val="none"/>
              </w:rPr>
              <w:t>▲分光镜要求多层介质无色差专业分光镜</w:t>
            </w:r>
            <w:r>
              <w:rPr>
                <w:rFonts w:hint="eastAsia" w:ascii="宋体" w:hAnsi="宋体" w:eastAsia="宋体" w:cs="宋体"/>
                <w:b/>
                <w:bCs/>
                <w:color w:val="auto"/>
                <w:kern w:val="2"/>
                <w:highlight w:val="none"/>
              </w:rPr>
              <w:t>（提供国家认可第三方机构出具的光学测试图谱</w:t>
            </w:r>
            <w:r>
              <w:rPr>
                <w:rFonts w:hint="eastAsia" w:ascii="宋体" w:hAnsi="宋体" w:eastAsia="宋体" w:cs="宋体"/>
                <w:b/>
                <w:bCs/>
                <w:color w:val="auto"/>
                <w:kern w:val="2"/>
                <w:highlight w:val="none"/>
                <w:lang w:val="en-US" w:eastAsia="zh-CN"/>
              </w:rPr>
              <w:t>或者</w:t>
            </w:r>
            <w:r>
              <w:rPr>
                <w:rFonts w:hint="eastAsia" w:ascii="宋体" w:hAnsi="宋体" w:eastAsia="宋体" w:cs="宋体"/>
                <w:b/>
                <w:bCs/>
                <w:color w:val="auto"/>
                <w:kern w:val="2"/>
                <w:highlight w:val="none"/>
              </w:rPr>
              <w:t>国家认可的第三方检测报告，加盖投标人鲜章）</w:t>
            </w:r>
            <w:r>
              <w:rPr>
                <w:rFonts w:hint="eastAsia" w:ascii="宋体" w:hAnsi="宋体" w:eastAsia="宋体" w:cs="宋体"/>
                <w:color w:val="auto"/>
                <w:kern w:val="2"/>
                <w:highlight w:val="none"/>
              </w:rPr>
              <w:t>；</w:t>
            </w:r>
          </w:p>
          <w:p w14:paraId="58AFAA6F">
            <w:pPr>
              <w:pStyle w:val="47"/>
              <w:shd w:val="clear"/>
              <w:spacing w:line="360" w:lineRule="auto"/>
              <w:jc w:val="both"/>
              <w:rPr>
                <w:rFonts w:hint="eastAsia" w:ascii="宋体" w:hAnsi="宋体" w:eastAsia="宋体" w:cs="宋体"/>
                <w:color w:val="auto"/>
                <w:kern w:val="2"/>
                <w:highlight w:val="none"/>
              </w:rPr>
            </w:pPr>
            <w:r>
              <w:rPr>
                <w:rFonts w:hint="eastAsia" w:ascii="宋体" w:hAnsi="宋体" w:eastAsia="宋体" w:cs="宋体"/>
                <w:color w:val="auto"/>
                <w:kern w:val="2"/>
                <w:highlight w:val="none"/>
                <w:lang w:val="en-US" w:eastAsia="zh-CN"/>
              </w:rPr>
              <w:t>4、</w:t>
            </w:r>
            <w:r>
              <w:rPr>
                <w:rFonts w:hint="eastAsia" w:ascii="宋体" w:hAnsi="宋体" w:eastAsia="宋体" w:cs="宋体"/>
                <w:color w:val="auto"/>
                <w:kern w:val="2"/>
                <w:highlight w:val="none"/>
              </w:rPr>
              <w:t>增大反射罩罩体，确保使用广角镜头也不会有黑边；</w:t>
            </w:r>
          </w:p>
          <w:p w14:paraId="6D07D765">
            <w:pPr>
              <w:pStyle w:val="47"/>
              <w:shd w:val="clear"/>
              <w:spacing w:line="360" w:lineRule="auto"/>
              <w:jc w:val="both"/>
              <w:rPr>
                <w:rFonts w:hint="eastAsia" w:ascii="宋体" w:hAnsi="宋体" w:eastAsia="宋体" w:cs="宋体"/>
                <w:color w:val="auto"/>
                <w:kern w:val="2"/>
                <w:highlight w:val="none"/>
              </w:rPr>
            </w:pPr>
            <w:r>
              <w:rPr>
                <w:rFonts w:hint="eastAsia" w:ascii="宋体" w:hAnsi="宋体" w:eastAsia="宋体" w:cs="宋体"/>
                <w:color w:val="auto"/>
                <w:kern w:val="2"/>
                <w:highlight w:val="none"/>
                <w:lang w:val="en-US" w:eastAsia="zh-CN"/>
              </w:rPr>
              <w:t>5、</w:t>
            </w:r>
            <w:r>
              <w:rPr>
                <w:rFonts w:hint="eastAsia" w:ascii="宋体" w:hAnsi="宋体" w:eastAsia="宋体" w:cs="宋体"/>
                <w:color w:val="auto"/>
                <w:kern w:val="2"/>
                <w:highlight w:val="none"/>
              </w:rPr>
              <w:t>采用全中文操作平台，兼容win10、win7等系统；</w:t>
            </w:r>
          </w:p>
          <w:p w14:paraId="42DA6EC2">
            <w:pPr>
              <w:pStyle w:val="47"/>
              <w:shd w:val="clear"/>
              <w:spacing w:line="360" w:lineRule="auto"/>
              <w:jc w:val="both"/>
              <w:rPr>
                <w:rFonts w:hint="eastAsia" w:ascii="宋体" w:hAnsi="宋体" w:eastAsia="宋体" w:cs="宋体"/>
                <w:color w:val="auto"/>
                <w:kern w:val="2"/>
                <w:highlight w:val="none"/>
              </w:rPr>
            </w:pPr>
            <w:r>
              <w:rPr>
                <w:rFonts w:hint="eastAsia" w:ascii="宋体" w:hAnsi="宋体" w:eastAsia="宋体" w:cs="宋体"/>
                <w:color w:val="auto"/>
                <w:kern w:val="2"/>
                <w:highlight w:val="none"/>
                <w:lang w:val="en-US" w:eastAsia="zh-CN"/>
              </w:rPr>
              <w:t>6、</w:t>
            </w:r>
            <w:r>
              <w:rPr>
                <w:rFonts w:hint="eastAsia" w:ascii="宋体" w:hAnsi="宋体" w:eastAsia="宋体" w:cs="宋体"/>
                <w:color w:val="auto"/>
                <w:kern w:val="2"/>
                <w:highlight w:val="none"/>
              </w:rPr>
              <w:t>广视角：水平140°垂直130°；对比度：150：1；</w:t>
            </w:r>
          </w:p>
          <w:p w14:paraId="173B3B67">
            <w:pPr>
              <w:pStyle w:val="47"/>
              <w:shd w:val="clear"/>
              <w:spacing w:line="360" w:lineRule="auto"/>
              <w:jc w:val="both"/>
              <w:rPr>
                <w:rFonts w:hint="eastAsia" w:ascii="宋体" w:hAnsi="宋体" w:eastAsia="宋体" w:cs="宋体"/>
                <w:color w:val="auto"/>
                <w:kern w:val="2"/>
                <w:highlight w:val="none"/>
              </w:rPr>
            </w:pPr>
            <w:r>
              <w:rPr>
                <w:rFonts w:hint="eastAsia" w:ascii="宋体" w:hAnsi="宋体" w:eastAsia="宋体" w:cs="宋体"/>
                <w:color w:val="auto"/>
                <w:kern w:val="2"/>
                <w:highlight w:val="none"/>
                <w:lang w:val="en-US" w:eastAsia="zh-CN"/>
              </w:rPr>
              <w:t>7、</w:t>
            </w:r>
            <w:r>
              <w:rPr>
                <w:rFonts w:hint="eastAsia" w:ascii="宋体" w:hAnsi="宋体" w:eastAsia="宋体" w:cs="宋体"/>
                <w:color w:val="auto"/>
                <w:kern w:val="2"/>
                <w:highlight w:val="none"/>
              </w:rPr>
              <w:t>镜像A、B播音员分色播出、滚动速度任意调整；字号、字体任意设置，边缘锯齿，字色、背景色任意搭配等；</w:t>
            </w:r>
          </w:p>
          <w:p w14:paraId="17329514">
            <w:pPr>
              <w:pStyle w:val="47"/>
              <w:shd w:val="clear"/>
              <w:spacing w:line="360" w:lineRule="auto"/>
              <w:jc w:val="both"/>
              <w:rPr>
                <w:rFonts w:hint="eastAsia" w:ascii="宋体" w:hAnsi="宋体" w:eastAsia="宋体" w:cs="宋体"/>
                <w:color w:val="auto"/>
                <w:kern w:val="2"/>
                <w:highlight w:val="none"/>
              </w:rPr>
            </w:pPr>
            <w:r>
              <w:rPr>
                <w:rFonts w:hint="eastAsia" w:ascii="宋体" w:hAnsi="宋体" w:eastAsia="宋体" w:cs="宋体"/>
                <w:color w:val="auto"/>
                <w:kern w:val="2"/>
                <w:highlight w:val="none"/>
                <w:lang w:val="en-US" w:eastAsia="zh-CN"/>
              </w:rPr>
              <w:t>8、</w:t>
            </w:r>
            <w:r>
              <w:rPr>
                <w:rFonts w:hint="eastAsia" w:ascii="宋体" w:hAnsi="宋体" w:eastAsia="宋体" w:cs="宋体"/>
                <w:color w:val="auto"/>
                <w:kern w:val="2"/>
                <w:highlight w:val="none"/>
              </w:rPr>
              <w:t>▲搭配多种专用提词器软件，包括但不限于：多功能综合题词软件、多语种播音题词软件、前播后编题词软件、三联倒计时题词软件等；</w:t>
            </w:r>
          </w:p>
          <w:p w14:paraId="153FB042">
            <w:pPr>
              <w:pStyle w:val="47"/>
              <w:shd w:val="clear"/>
              <w:spacing w:line="360" w:lineRule="auto"/>
              <w:jc w:val="both"/>
              <w:rPr>
                <w:rFonts w:hint="eastAsia" w:ascii="宋体" w:hAnsi="宋体" w:eastAsia="宋体" w:cs="宋体"/>
                <w:color w:val="auto"/>
                <w:kern w:val="2"/>
                <w:highlight w:val="none"/>
              </w:rPr>
            </w:pPr>
            <w:r>
              <w:rPr>
                <w:rFonts w:hint="eastAsia" w:ascii="宋体" w:hAnsi="宋体" w:eastAsia="宋体" w:cs="宋体"/>
                <w:color w:val="auto"/>
                <w:kern w:val="2"/>
                <w:highlight w:val="none"/>
                <w:lang w:val="en-US" w:eastAsia="zh-CN"/>
              </w:rPr>
              <w:t>9、</w:t>
            </w:r>
            <w:r>
              <w:rPr>
                <w:rFonts w:hint="eastAsia" w:ascii="宋体" w:hAnsi="宋体" w:eastAsia="宋体" w:cs="宋体"/>
                <w:color w:val="auto"/>
                <w:kern w:val="2"/>
                <w:highlight w:val="none"/>
              </w:rPr>
              <w:t>系统配置：运算单元≥2.1GHz；运行内存≥8GB；内部存储≥512GB；</w:t>
            </w:r>
          </w:p>
        </w:tc>
      </w:tr>
      <w:tr w14:paraId="484DC5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5" w:type="dxa"/>
            <w:vAlign w:val="center"/>
          </w:tcPr>
          <w:p w14:paraId="62B0D9E0">
            <w:pPr>
              <w:shd w:val="clear"/>
              <w:spacing w:line="400" w:lineRule="exact"/>
              <w:jc w:val="center"/>
              <w:rPr>
                <w:rFonts w:hint="eastAsia" w:hAnsi="宋体" w:eastAsia="宋体" w:cs="宋体"/>
                <w:color w:val="auto"/>
                <w:sz w:val="24"/>
                <w:highlight w:val="none"/>
                <w:lang w:val="en-US" w:eastAsia="zh-CN"/>
              </w:rPr>
            </w:pPr>
            <w:r>
              <w:rPr>
                <w:rFonts w:hint="eastAsia" w:hAnsi="宋体" w:cs="宋体"/>
                <w:color w:val="auto"/>
                <w:sz w:val="24"/>
                <w:highlight w:val="none"/>
                <w:lang w:val="en-US" w:eastAsia="zh-CN"/>
              </w:rPr>
              <w:t>8</w:t>
            </w:r>
          </w:p>
        </w:tc>
        <w:tc>
          <w:tcPr>
            <w:tcW w:w="1596" w:type="dxa"/>
            <w:vAlign w:val="center"/>
          </w:tcPr>
          <w:p w14:paraId="03281E1C">
            <w:pPr>
              <w:shd w:val="clear"/>
              <w:spacing w:line="400" w:lineRule="exact"/>
              <w:jc w:val="center"/>
              <w:rPr>
                <w:rFonts w:hint="eastAsia" w:hAnsi="宋体" w:cs="宋体"/>
                <w:color w:val="auto"/>
                <w:sz w:val="24"/>
                <w:highlight w:val="none"/>
              </w:rPr>
            </w:pPr>
            <w:r>
              <w:rPr>
                <w:rFonts w:hint="eastAsia" w:hAnsi="宋体" w:cs="宋体"/>
                <w:color w:val="auto"/>
                <w:sz w:val="24"/>
                <w:highlight w:val="none"/>
              </w:rPr>
              <w:t>便携式移动导播台</w:t>
            </w:r>
          </w:p>
        </w:tc>
        <w:tc>
          <w:tcPr>
            <w:tcW w:w="6748" w:type="dxa"/>
          </w:tcPr>
          <w:p w14:paraId="1BC5E2C2">
            <w:pPr>
              <w:pStyle w:val="47"/>
              <w:shd w:val="clear"/>
              <w:spacing w:line="360" w:lineRule="auto"/>
              <w:jc w:val="both"/>
              <w:rPr>
                <w:rFonts w:hint="eastAsia" w:ascii="宋体" w:hAnsi="宋体" w:eastAsia="宋体" w:cs="宋体"/>
                <w:color w:val="auto"/>
                <w:kern w:val="2"/>
                <w:highlight w:val="none"/>
              </w:rPr>
            </w:pPr>
            <w:r>
              <w:rPr>
                <w:rFonts w:hint="eastAsia" w:ascii="宋体" w:hAnsi="宋体" w:eastAsia="宋体" w:cs="宋体"/>
                <w:color w:val="auto"/>
                <w:kern w:val="2"/>
                <w:highlight w:val="none"/>
              </w:rPr>
              <w:t>1</w:t>
            </w:r>
            <w:r>
              <w:rPr>
                <w:rFonts w:hint="eastAsia" w:ascii="宋体" w:hAnsi="宋体" w:eastAsia="宋体" w:cs="宋体"/>
                <w:color w:val="auto"/>
                <w:kern w:val="2"/>
                <w:highlight w:val="none"/>
                <w:lang w:eastAsia="zh-CN"/>
              </w:rPr>
              <w:t>、</w:t>
            </w:r>
            <w:r>
              <w:rPr>
                <w:rFonts w:hint="eastAsia" w:ascii="宋体" w:hAnsi="宋体" w:eastAsia="宋体" w:cs="宋体"/>
                <w:color w:val="auto"/>
                <w:kern w:val="2"/>
                <w:highlight w:val="none"/>
              </w:rPr>
              <w:t>便携式≥4路高清切换台，支持1080p/1080i/720p等多种分辨率；</w:t>
            </w:r>
          </w:p>
          <w:p w14:paraId="5514EEB7">
            <w:pPr>
              <w:pStyle w:val="47"/>
              <w:shd w:val="clear"/>
              <w:spacing w:line="360" w:lineRule="auto"/>
              <w:jc w:val="both"/>
              <w:rPr>
                <w:rFonts w:hint="eastAsia" w:ascii="宋体" w:hAnsi="宋体" w:eastAsia="宋体" w:cs="宋体"/>
                <w:color w:val="auto"/>
                <w:kern w:val="2"/>
                <w:highlight w:val="none"/>
              </w:rPr>
            </w:pPr>
            <w:r>
              <w:rPr>
                <w:rFonts w:hint="eastAsia" w:ascii="宋体" w:hAnsi="宋体" w:eastAsia="宋体" w:cs="宋体"/>
                <w:color w:val="auto"/>
                <w:kern w:val="2"/>
                <w:highlight w:val="none"/>
              </w:rPr>
              <w:t>2</w:t>
            </w:r>
            <w:r>
              <w:rPr>
                <w:rFonts w:hint="eastAsia" w:ascii="宋体" w:hAnsi="宋体" w:eastAsia="宋体" w:cs="宋体"/>
                <w:color w:val="auto"/>
                <w:kern w:val="2"/>
                <w:highlight w:val="none"/>
                <w:lang w:eastAsia="zh-CN"/>
              </w:rPr>
              <w:t>、</w:t>
            </w:r>
            <w:r>
              <w:rPr>
                <w:rFonts w:hint="eastAsia" w:ascii="宋体" w:hAnsi="宋体" w:eastAsia="宋体" w:cs="宋体"/>
                <w:color w:val="auto"/>
                <w:kern w:val="2"/>
                <w:highlight w:val="none"/>
              </w:rPr>
              <w:t>输入：≥2路3G-SDI，≥1路SDI/HDMI可切换，≥1路HDMI；</w:t>
            </w:r>
          </w:p>
          <w:p w14:paraId="2F2B072D">
            <w:pPr>
              <w:pStyle w:val="47"/>
              <w:shd w:val="clear"/>
              <w:spacing w:line="360" w:lineRule="auto"/>
              <w:jc w:val="both"/>
              <w:rPr>
                <w:rFonts w:hint="eastAsia" w:ascii="宋体" w:hAnsi="宋体" w:eastAsia="宋体" w:cs="宋体"/>
                <w:color w:val="auto"/>
                <w:kern w:val="2"/>
                <w:highlight w:val="none"/>
              </w:rPr>
            </w:pPr>
            <w:r>
              <w:rPr>
                <w:rFonts w:hint="eastAsia" w:ascii="宋体" w:hAnsi="宋体" w:eastAsia="宋体" w:cs="宋体"/>
                <w:color w:val="auto"/>
                <w:kern w:val="2"/>
                <w:highlight w:val="none"/>
              </w:rPr>
              <w:t>3</w:t>
            </w:r>
            <w:r>
              <w:rPr>
                <w:rFonts w:hint="eastAsia" w:ascii="宋体" w:hAnsi="宋体" w:eastAsia="宋体" w:cs="宋体"/>
                <w:color w:val="auto"/>
                <w:kern w:val="2"/>
                <w:highlight w:val="none"/>
                <w:lang w:eastAsia="zh-CN"/>
              </w:rPr>
              <w:t>、</w:t>
            </w:r>
            <w:r>
              <w:rPr>
                <w:rFonts w:hint="eastAsia" w:ascii="宋体" w:hAnsi="宋体" w:eastAsia="宋体" w:cs="宋体"/>
                <w:color w:val="auto"/>
                <w:kern w:val="2"/>
                <w:highlight w:val="none"/>
              </w:rPr>
              <w:t>输出：≥2组3G-SDI，≥1组HDMI输出，支持PGM、PVW或Multi；</w:t>
            </w:r>
          </w:p>
          <w:p w14:paraId="5A8B81B9">
            <w:pPr>
              <w:pStyle w:val="47"/>
              <w:shd w:val="clear"/>
              <w:spacing w:line="360" w:lineRule="auto"/>
              <w:jc w:val="both"/>
              <w:rPr>
                <w:rFonts w:hint="eastAsia" w:ascii="宋体" w:hAnsi="宋体" w:eastAsia="宋体" w:cs="宋体"/>
                <w:color w:val="auto"/>
                <w:kern w:val="2"/>
                <w:highlight w:val="none"/>
              </w:rPr>
            </w:pPr>
            <w:r>
              <w:rPr>
                <w:rFonts w:hint="eastAsia" w:ascii="宋体" w:hAnsi="宋体" w:eastAsia="宋体" w:cs="宋体"/>
                <w:color w:val="auto"/>
                <w:kern w:val="2"/>
                <w:highlight w:val="none"/>
              </w:rPr>
              <w:t>4</w:t>
            </w:r>
            <w:r>
              <w:rPr>
                <w:rFonts w:hint="eastAsia" w:ascii="宋体" w:hAnsi="宋体" w:eastAsia="宋体" w:cs="宋体"/>
                <w:color w:val="auto"/>
                <w:kern w:val="2"/>
                <w:highlight w:val="none"/>
                <w:lang w:eastAsia="zh-CN"/>
              </w:rPr>
              <w:t>、</w:t>
            </w:r>
            <w:r>
              <w:rPr>
                <w:rFonts w:hint="eastAsia" w:ascii="宋体" w:hAnsi="宋体" w:eastAsia="宋体" w:cs="宋体"/>
                <w:color w:val="auto"/>
                <w:kern w:val="2"/>
                <w:highlight w:val="none"/>
              </w:rPr>
              <w:t>内置PinP画中画、Split两分屏、Quad四分屏效果器，内置Cut、Mix、Wipe等视频特技，内置DSK 色度/亮度键抠像功能；</w:t>
            </w:r>
          </w:p>
          <w:p w14:paraId="23C40C8E">
            <w:pPr>
              <w:pStyle w:val="47"/>
              <w:shd w:val="clear"/>
              <w:spacing w:line="360" w:lineRule="auto"/>
              <w:jc w:val="both"/>
              <w:rPr>
                <w:rFonts w:hint="eastAsia" w:ascii="宋体" w:hAnsi="宋体" w:eastAsia="宋体" w:cs="宋体"/>
                <w:color w:val="auto"/>
                <w:kern w:val="2"/>
                <w:highlight w:val="none"/>
              </w:rPr>
            </w:pPr>
            <w:r>
              <w:rPr>
                <w:rFonts w:hint="eastAsia" w:ascii="宋体" w:hAnsi="宋体" w:eastAsia="宋体" w:cs="宋体"/>
                <w:color w:val="auto"/>
                <w:kern w:val="2"/>
                <w:highlight w:val="none"/>
              </w:rPr>
              <w:t>5</w:t>
            </w:r>
            <w:r>
              <w:rPr>
                <w:rFonts w:hint="eastAsia" w:ascii="宋体" w:hAnsi="宋体" w:eastAsia="宋体" w:cs="宋体"/>
                <w:color w:val="auto"/>
                <w:kern w:val="2"/>
                <w:highlight w:val="none"/>
                <w:lang w:eastAsia="zh-CN"/>
              </w:rPr>
              <w:t>、</w:t>
            </w:r>
            <w:r>
              <w:rPr>
                <w:rFonts w:hint="eastAsia" w:ascii="宋体" w:hAnsi="宋体" w:eastAsia="宋体" w:cs="宋体"/>
                <w:color w:val="auto"/>
                <w:kern w:val="2"/>
                <w:highlight w:val="none"/>
              </w:rPr>
              <w:t>内置14通道数字调音台，支持Line、Mic和嵌入音频的所有音频信号混音；</w:t>
            </w:r>
          </w:p>
          <w:p w14:paraId="2A2F1708">
            <w:pPr>
              <w:pStyle w:val="47"/>
              <w:shd w:val="clear"/>
              <w:spacing w:line="360" w:lineRule="auto"/>
              <w:jc w:val="both"/>
              <w:rPr>
                <w:rFonts w:hint="eastAsia" w:ascii="宋体" w:hAnsi="宋体" w:eastAsia="宋体" w:cs="宋体"/>
                <w:color w:val="auto"/>
                <w:kern w:val="2"/>
                <w:highlight w:val="none"/>
              </w:rPr>
            </w:pPr>
            <w:r>
              <w:rPr>
                <w:rFonts w:hint="eastAsia" w:ascii="宋体" w:hAnsi="宋体" w:eastAsia="宋体" w:cs="宋体"/>
                <w:color w:val="auto"/>
                <w:kern w:val="2"/>
                <w:highlight w:val="none"/>
              </w:rPr>
              <w:t>6</w:t>
            </w:r>
            <w:r>
              <w:rPr>
                <w:rFonts w:hint="eastAsia" w:ascii="宋体" w:hAnsi="宋体" w:eastAsia="宋体" w:cs="宋体"/>
                <w:color w:val="auto"/>
                <w:kern w:val="2"/>
                <w:highlight w:val="none"/>
                <w:lang w:eastAsia="zh-CN"/>
              </w:rPr>
              <w:t>、</w:t>
            </w:r>
            <w:r>
              <w:rPr>
                <w:rFonts w:hint="eastAsia" w:ascii="宋体" w:hAnsi="宋体" w:eastAsia="宋体" w:cs="宋体"/>
                <w:color w:val="auto"/>
                <w:kern w:val="2"/>
                <w:highlight w:val="none"/>
              </w:rPr>
              <w:t>500ms音频延时功能，支持音频跟随视频同步切换。</w:t>
            </w:r>
          </w:p>
        </w:tc>
      </w:tr>
      <w:tr w14:paraId="5CE06E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5" w:type="dxa"/>
            <w:vAlign w:val="center"/>
          </w:tcPr>
          <w:p w14:paraId="6BFEA114">
            <w:pPr>
              <w:shd w:val="clear"/>
              <w:spacing w:line="400" w:lineRule="exact"/>
              <w:jc w:val="center"/>
              <w:rPr>
                <w:rFonts w:ascii="宋体" w:hAnsi="宋体" w:eastAsia="宋体" w:cs="宋体"/>
                <w:color w:val="auto"/>
                <w:sz w:val="24"/>
                <w:highlight w:val="none"/>
                <w:lang w:val="en-US" w:eastAsia="zh-CN" w:bidi="ar-SA"/>
              </w:rPr>
            </w:pPr>
            <w:r>
              <w:rPr>
                <w:rFonts w:hint="eastAsia" w:hAnsi="宋体" w:cs="宋体"/>
                <w:color w:val="auto"/>
                <w:sz w:val="24"/>
                <w:highlight w:val="none"/>
              </w:rPr>
              <w:t>9</w:t>
            </w:r>
          </w:p>
        </w:tc>
        <w:tc>
          <w:tcPr>
            <w:tcW w:w="1596" w:type="dxa"/>
            <w:vAlign w:val="center"/>
          </w:tcPr>
          <w:p w14:paraId="2DF547B0">
            <w:pPr>
              <w:shd w:val="clear"/>
              <w:spacing w:line="400" w:lineRule="exact"/>
              <w:jc w:val="center"/>
              <w:rPr>
                <w:rFonts w:hAnsi="宋体" w:cs="宋体"/>
                <w:color w:val="auto"/>
                <w:sz w:val="24"/>
                <w:highlight w:val="none"/>
              </w:rPr>
            </w:pPr>
            <w:r>
              <w:rPr>
                <w:rFonts w:hint="eastAsia" w:hAnsi="宋体" w:cs="宋体"/>
                <w:color w:val="auto"/>
                <w:sz w:val="24"/>
                <w:highlight w:val="none"/>
              </w:rPr>
              <w:t>绞盘带线材（电源、信号等）</w:t>
            </w:r>
          </w:p>
        </w:tc>
        <w:tc>
          <w:tcPr>
            <w:tcW w:w="6748" w:type="dxa"/>
          </w:tcPr>
          <w:p w14:paraId="1E1C3DE8">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1、内外塑料部件采用ABS阻燃工程塑料；一体式支架；便携式手柄；</w:t>
            </w:r>
          </w:p>
          <w:p w14:paraId="14A73315">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2、电源线线材采用加粗铜线</w:t>
            </w:r>
            <w:r>
              <w:rPr>
                <w:rFonts w:hint="eastAsia" w:ascii="宋体" w:hAnsi="宋体" w:eastAsia="宋体" w:cs="宋体"/>
                <w:color w:val="auto"/>
                <w:kern w:val="2"/>
                <w:highlight w:val="none"/>
                <w:lang w:eastAsia="zh-CN"/>
              </w:rPr>
              <w:t>，</w:t>
            </w:r>
            <w:r>
              <w:rPr>
                <w:rFonts w:hint="eastAsia" w:ascii="宋体" w:hAnsi="宋体" w:eastAsia="宋体" w:cs="宋体"/>
                <w:color w:val="auto"/>
                <w:kern w:val="2"/>
                <w:highlight w:val="none"/>
              </w:rPr>
              <w:t>线径≥2.5mm²，长度≥30m；</w:t>
            </w:r>
          </w:p>
          <w:p w14:paraId="1BB2FA90">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3、SDI线材采用屏蔽144网镀锡铜+铝箔,线径≥Φ7.0mm，长度≥30m；</w:t>
            </w:r>
          </w:p>
          <w:p w14:paraId="3B68B602">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4、音频线线材采用规格（28/0.12BS）*2C,铝箔+128网编织,长度≥30m；</w:t>
            </w:r>
          </w:p>
        </w:tc>
      </w:tr>
      <w:tr w14:paraId="40DD2F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5" w:type="dxa"/>
            <w:vAlign w:val="center"/>
          </w:tcPr>
          <w:p w14:paraId="6DA27705">
            <w:pPr>
              <w:shd w:val="clear"/>
              <w:spacing w:line="400" w:lineRule="exact"/>
              <w:jc w:val="center"/>
              <w:rPr>
                <w:rFonts w:ascii="宋体" w:hAnsi="宋体" w:eastAsia="宋体" w:cs="宋体"/>
                <w:color w:val="auto"/>
                <w:sz w:val="24"/>
                <w:highlight w:val="none"/>
                <w:lang w:val="en-US" w:eastAsia="zh-CN" w:bidi="ar-SA"/>
              </w:rPr>
            </w:pPr>
            <w:r>
              <w:rPr>
                <w:rFonts w:hint="eastAsia" w:hAnsi="宋体" w:cs="宋体"/>
                <w:color w:val="auto"/>
                <w:sz w:val="24"/>
                <w:highlight w:val="none"/>
              </w:rPr>
              <w:t>10</w:t>
            </w:r>
          </w:p>
        </w:tc>
        <w:tc>
          <w:tcPr>
            <w:tcW w:w="1596" w:type="dxa"/>
            <w:vAlign w:val="center"/>
          </w:tcPr>
          <w:p w14:paraId="7266EA30">
            <w:pPr>
              <w:shd w:val="clear"/>
              <w:spacing w:line="400" w:lineRule="exact"/>
              <w:jc w:val="center"/>
              <w:rPr>
                <w:rFonts w:hAnsi="宋体" w:cs="宋体"/>
                <w:color w:val="auto"/>
                <w:sz w:val="24"/>
                <w:highlight w:val="none"/>
              </w:rPr>
            </w:pPr>
            <w:r>
              <w:rPr>
                <w:rFonts w:hint="eastAsia" w:hAnsi="宋体" w:cs="宋体"/>
                <w:color w:val="auto"/>
                <w:sz w:val="24"/>
                <w:highlight w:val="none"/>
              </w:rPr>
              <w:t>LED聚光灯</w:t>
            </w:r>
          </w:p>
        </w:tc>
        <w:tc>
          <w:tcPr>
            <w:tcW w:w="6748" w:type="dxa"/>
          </w:tcPr>
          <w:p w14:paraId="4D299A56">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1、额定电压：AC110V-240V/50-60HZ；额定功率≥100W ；</w:t>
            </w:r>
          </w:p>
          <w:p w14:paraId="705A693B">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2、驱动方式：恒流驱动；数码显示管控制地址码和相对照度；DMX512信号；</w:t>
            </w:r>
          </w:p>
          <w:p w14:paraId="7BDF9BA4">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3、▲显色指数：Rａ≥90；</w:t>
            </w:r>
            <w:r>
              <w:rPr>
                <w:rFonts w:hint="eastAsia" w:ascii="宋体" w:hAnsi="宋体" w:eastAsia="宋体" w:cs="宋体"/>
                <w:b/>
                <w:bCs/>
                <w:color w:val="auto"/>
                <w:kern w:val="2"/>
                <w:highlight w:val="none"/>
              </w:rPr>
              <w:t>(提供国家认可的第三方检测报告，提供复印件加盖投标人鲜章)</w:t>
            </w:r>
          </w:p>
          <w:p w14:paraId="2DA8058B">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4、▲照度：2m(1600-5600Lux)；</w:t>
            </w:r>
            <w:r>
              <w:rPr>
                <w:rFonts w:hint="eastAsia" w:ascii="宋体" w:hAnsi="宋体" w:eastAsia="宋体" w:cs="宋体"/>
                <w:b/>
                <w:bCs/>
                <w:color w:val="auto"/>
                <w:kern w:val="2"/>
                <w:highlight w:val="none"/>
              </w:rPr>
              <w:t>(提供国家认可的第三方检测报告，提供复印件加盖投标人鲜章)</w:t>
            </w:r>
          </w:p>
          <w:p w14:paraId="2B145C94">
            <w:pPr>
              <w:pStyle w:val="47"/>
              <w:shd w:val="clear"/>
              <w:spacing w:line="360" w:lineRule="auto"/>
              <w:jc w:val="both"/>
              <w:rPr>
                <w:rFonts w:ascii="宋体" w:hAnsi="宋体" w:eastAsia="宋体" w:cs="宋体"/>
                <w:b/>
                <w:bCs/>
                <w:color w:val="auto"/>
                <w:kern w:val="2"/>
                <w:highlight w:val="none"/>
              </w:rPr>
            </w:pPr>
            <w:r>
              <w:rPr>
                <w:rFonts w:hint="eastAsia" w:ascii="宋体" w:hAnsi="宋体" w:eastAsia="宋体" w:cs="宋体"/>
                <w:color w:val="auto"/>
                <w:kern w:val="2"/>
                <w:highlight w:val="none"/>
              </w:rPr>
              <w:t>5、▲色 温：5600K /3200K可选；</w:t>
            </w:r>
            <w:r>
              <w:rPr>
                <w:rFonts w:hint="eastAsia" w:ascii="宋体" w:hAnsi="宋体" w:eastAsia="宋体" w:cs="宋体"/>
                <w:b/>
                <w:bCs/>
                <w:color w:val="auto"/>
                <w:kern w:val="2"/>
                <w:highlight w:val="none"/>
              </w:rPr>
              <w:t>(提供国家认可的第三方检测报告，提供复印件加盖投标人鲜章)</w:t>
            </w:r>
          </w:p>
          <w:p w14:paraId="315850D8">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6、色彩效果：暖白/白色；</w:t>
            </w:r>
          </w:p>
          <w:p w14:paraId="5E87DAAD">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7、调光功能：0-100%线性电子调光；</w:t>
            </w:r>
          </w:p>
        </w:tc>
      </w:tr>
      <w:tr w14:paraId="36DE54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5" w:type="dxa"/>
            <w:vAlign w:val="center"/>
          </w:tcPr>
          <w:p w14:paraId="00BCFB57">
            <w:pPr>
              <w:shd w:val="clear"/>
              <w:spacing w:line="400" w:lineRule="exact"/>
              <w:jc w:val="center"/>
              <w:rPr>
                <w:rFonts w:ascii="宋体" w:hAnsi="宋体" w:eastAsia="宋体" w:cs="宋体"/>
                <w:color w:val="auto"/>
                <w:sz w:val="24"/>
                <w:highlight w:val="none"/>
                <w:lang w:val="en-US" w:eastAsia="zh-CN" w:bidi="ar-SA"/>
              </w:rPr>
            </w:pPr>
            <w:r>
              <w:rPr>
                <w:rFonts w:hint="eastAsia" w:hAnsi="宋体" w:cs="宋体"/>
                <w:color w:val="auto"/>
                <w:sz w:val="24"/>
                <w:highlight w:val="none"/>
              </w:rPr>
              <w:t>11</w:t>
            </w:r>
          </w:p>
        </w:tc>
        <w:tc>
          <w:tcPr>
            <w:tcW w:w="1596" w:type="dxa"/>
            <w:vAlign w:val="center"/>
          </w:tcPr>
          <w:p w14:paraId="0555FA7F">
            <w:pPr>
              <w:shd w:val="clear"/>
              <w:spacing w:line="400" w:lineRule="exact"/>
              <w:jc w:val="center"/>
              <w:rPr>
                <w:rFonts w:hAnsi="宋体" w:cs="宋体"/>
                <w:color w:val="auto"/>
                <w:sz w:val="24"/>
                <w:highlight w:val="none"/>
              </w:rPr>
            </w:pPr>
            <w:r>
              <w:rPr>
                <w:rFonts w:hint="eastAsia" w:hAnsi="宋体" w:cs="宋体"/>
                <w:color w:val="auto"/>
                <w:sz w:val="24"/>
                <w:highlight w:val="none"/>
              </w:rPr>
              <w:t>LED平板柔光灯</w:t>
            </w:r>
          </w:p>
        </w:tc>
        <w:tc>
          <w:tcPr>
            <w:tcW w:w="6748" w:type="dxa"/>
          </w:tcPr>
          <w:p w14:paraId="71DF6B01">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1、输入电压：100~240V AC，50/60；额定功率≥120W；</w:t>
            </w:r>
          </w:p>
          <w:p w14:paraId="1A5B2081">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2、▲色温：3200K,5600K可选；</w:t>
            </w:r>
            <w:r>
              <w:rPr>
                <w:rFonts w:hint="eastAsia" w:ascii="宋体" w:hAnsi="宋体" w:eastAsia="宋体" w:cs="宋体"/>
                <w:b/>
                <w:bCs/>
                <w:color w:val="auto"/>
                <w:kern w:val="2"/>
                <w:highlight w:val="none"/>
              </w:rPr>
              <w:t>(提供国家认可的第三方检测报告，提供复印件加盖投标人鲜章)</w:t>
            </w:r>
          </w:p>
          <w:p w14:paraId="10EF9E48">
            <w:pPr>
              <w:pStyle w:val="47"/>
              <w:shd w:val="clear"/>
              <w:spacing w:line="360" w:lineRule="auto"/>
              <w:jc w:val="both"/>
              <w:rPr>
                <w:rFonts w:ascii="宋体" w:hAnsi="宋体" w:eastAsia="宋体" w:cs="宋体"/>
                <w:b/>
                <w:bCs/>
                <w:color w:val="auto"/>
                <w:kern w:val="2"/>
                <w:highlight w:val="none"/>
              </w:rPr>
            </w:pPr>
            <w:r>
              <w:rPr>
                <w:rFonts w:hint="eastAsia" w:ascii="宋体" w:hAnsi="宋体" w:eastAsia="宋体" w:cs="宋体"/>
                <w:color w:val="auto"/>
                <w:kern w:val="2"/>
                <w:highlight w:val="none"/>
              </w:rPr>
              <w:t>3、▲LED光源：≥256颗0.5W贴片60度灯珠；</w:t>
            </w:r>
            <w:r>
              <w:rPr>
                <w:rFonts w:hint="eastAsia" w:ascii="宋体" w:hAnsi="宋体" w:eastAsia="宋体" w:cs="宋体"/>
                <w:b/>
                <w:bCs/>
                <w:color w:val="auto"/>
                <w:kern w:val="2"/>
                <w:highlight w:val="none"/>
              </w:rPr>
              <w:t>(提供国家认可的第三方检测报告，提供复印件加盖投标人鲜章)</w:t>
            </w:r>
          </w:p>
          <w:p w14:paraId="716F678B">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4、调光：0-100%线性调节；</w:t>
            </w:r>
          </w:p>
          <w:p w14:paraId="5EFDFB2E">
            <w:pPr>
              <w:pStyle w:val="47"/>
              <w:shd w:val="clear"/>
              <w:spacing w:line="360" w:lineRule="auto"/>
              <w:jc w:val="both"/>
              <w:rPr>
                <w:rFonts w:ascii="宋体" w:hAnsi="宋体" w:eastAsia="宋体" w:cs="宋体"/>
                <w:b/>
                <w:bCs/>
                <w:color w:val="auto"/>
                <w:kern w:val="2"/>
                <w:highlight w:val="none"/>
              </w:rPr>
            </w:pPr>
            <w:r>
              <w:rPr>
                <w:rFonts w:hint="eastAsia" w:ascii="宋体" w:hAnsi="宋体" w:eastAsia="宋体" w:cs="宋体"/>
                <w:color w:val="auto"/>
                <w:kern w:val="2"/>
                <w:highlight w:val="none"/>
              </w:rPr>
              <w:t>5、▲显色指数： Ra≥92；</w:t>
            </w:r>
            <w:r>
              <w:rPr>
                <w:rFonts w:hint="eastAsia" w:ascii="宋体" w:hAnsi="宋体" w:eastAsia="宋体" w:cs="宋体"/>
                <w:b/>
                <w:bCs/>
                <w:color w:val="auto"/>
                <w:kern w:val="2"/>
                <w:highlight w:val="none"/>
              </w:rPr>
              <w:t>(提供国家认可的第三方检测报告，提供复印件加盖投标人鲜章)</w:t>
            </w:r>
          </w:p>
          <w:p w14:paraId="2CDDB488">
            <w:pPr>
              <w:pStyle w:val="47"/>
              <w:shd w:val="clear"/>
              <w:spacing w:line="360" w:lineRule="auto"/>
              <w:jc w:val="both"/>
              <w:rPr>
                <w:rFonts w:ascii="宋体" w:hAnsi="宋体" w:eastAsia="宋体" w:cs="宋体"/>
                <w:b/>
                <w:bCs/>
                <w:color w:val="auto"/>
                <w:kern w:val="2"/>
                <w:highlight w:val="none"/>
              </w:rPr>
            </w:pPr>
            <w:r>
              <w:rPr>
                <w:rFonts w:hint="eastAsia" w:ascii="宋体" w:hAnsi="宋体" w:eastAsia="宋体" w:cs="宋体"/>
                <w:color w:val="auto"/>
                <w:kern w:val="2"/>
                <w:highlight w:val="none"/>
              </w:rPr>
              <w:t>6、▲照度≥7800LUX（1.5米）；</w:t>
            </w:r>
            <w:r>
              <w:rPr>
                <w:rFonts w:hint="eastAsia" w:ascii="宋体" w:hAnsi="宋体" w:eastAsia="宋体" w:cs="宋体"/>
                <w:b/>
                <w:bCs/>
                <w:color w:val="auto"/>
                <w:kern w:val="2"/>
                <w:highlight w:val="none"/>
              </w:rPr>
              <w:t>(提供国家认可的第三方检验报告，提供复印件加盖投标人鲜章)</w:t>
            </w:r>
          </w:p>
          <w:p w14:paraId="28D11101">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7、有效光照距离≥6米；</w:t>
            </w:r>
          </w:p>
        </w:tc>
      </w:tr>
      <w:tr w14:paraId="217BEE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5" w:type="dxa"/>
            <w:vAlign w:val="center"/>
          </w:tcPr>
          <w:p w14:paraId="3C8A0120">
            <w:pPr>
              <w:shd w:val="clear"/>
              <w:spacing w:line="400" w:lineRule="exact"/>
              <w:jc w:val="center"/>
              <w:rPr>
                <w:rFonts w:ascii="宋体" w:hAnsi="宋体" w:eastAsia="宋体" w:cs="宋体"/>
                <w:color w:val="auto"/>
                <w:sz w:val="24"/>
                <w:highlight w:val="none"/>
                <w:lang w:val="en-US" w:eastAsia="zh-CN" w:bidi="ar-SA"/>
              </w:rPr>
            </w:pPr>
            <w:r>
              <w:rPr>
                <w:rFonts w:hint="eastAsia" w:hAnsi="宋体" w:cs="宋体"/>
                <w:color w:val="auto"/>
                <w:sz w:val="24"/>
                <w:highlight w:val="none"/>
              </w:rPr>
              <w:t>12</w:t>
            </w:r>
          </w:p>
        </w:tc>
        <w:tc>
          <w:tcPr>
            <w:tcW w:w="1596" w:type="dxa"/>
            <w:vAlign w:val="center"/>
          </w:tcPr>
          <w:p w14:paraId="6D13177C">
            <w:pPr>
              <w:shd w:val="clear"/>
              <w:spacing w:line="400" w:lineRule="exact"/>
              <w:jc w:val="center"/>
              <w:rPr>
                <w:rFonts w:hAnsi="宋体" w:cs="宋体"/>
                <w:color w:val="auto"/>
                <w:sz w:val="24"/>
                <w:highlight w:val="none"/>
              </w:rPr>
            </w:pPr>
            <w:r>
              <w:rPr>
                <w:rFonts w:hint="eastAsia" w:hAnsi="宋体" w:cs="宋体"/>
                <w:color w:val="auto"/>
                <w:sz w:val="24"/>
                <w:highlight w:val="none"/>
              </w:rPr>
              <w:t>复合型水平吊杆起重系统（L=6M）</w:t>
            </w:r>
          </w:p>
        </w:tc>
        <w:tc>
          <w:tcPr>
            <w:tcW w:w="6748" w:type="dxa"/>
          </w:tcPr>
          <w:p w14:paraId="21F9C9D2">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1、复合型6米双层灯杆，包含：提升机、导向轮、钢丝绳、扁平电缆、电机电缆及控制线缆、配套附件等；</w:t>
            </w:r>
          </w:p>
          <w:p w14:paraId="4D43D4F3">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2、接插及控制包含：4吊点，4个直通回路（8套16A3芯防尘插座），3路DMX512信号（8套DMX512信号接口）；双制动电机及减速机、安装基座、卷筒、滑轮组件，钢丝绳及组件、吊杆杆体、控制系统执行件、行程限位、冲顶保护；</w:t>
            </w:r>
          </w:p>
          <w:p w14:paraId="7572B6A7">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3、杆体：Φ50无缝钢管，中间接头内套忖管焊接，杆体结构为双杆桁架式结构；吊杆卷扬机采用大滚筒形式、钢丝绳单层缠绕、具有排绳和防叠绳装置；</w:t>
            </w:r>
          </w:p>
          <w:p w14:paraId="713FBE42">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4、电机：≥3.0KW-6p双制动；</w:t>
            </w:r>
          </w:p>
          <w:p w14:paraId="6917D5B8">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5、电机速度：0-2m/s；运行噪声：≤48dB(A)；</w:t>
            </w:r>
          </w:p>
          <w:p w14:paraId="37410AD1">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6、有效载荷：6.0kN ；电压：三相380V/50Hz；</w:t>
            </w:r>
          </w:p>
          <w:p w14:paraId="2C924A1F">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7、定位精度：±5mm，同步精度：±5mm；</w:t>
            </w:r>
          </w:p>
          <w:p w14:paraId="0B4538DD">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8、单杆最大吊重：≥400KG；</w:t>
            </w:r>
          </w:p>
        </w:tc>
      </w:tr>
      <w:tr w14:paraId="4D4464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5" w:type="dxa"/>
            <w:vAlign w:val="center"/>
          </w:tcPr>
          <w:p w14:paraId="4562D79F">
            <w:pPr>
              <w:shd w:val="clear"/>
              <w:spacing w:line="400" w:lineRule="exact"/>
              <w:jc w:val="center"/>
              <w:rPr>
                <w:rFonts w:ascii="宋体" w:hAnsi="宋体" w:eastAsia="宋体" w:cs="宋体"/>
                <w:color w:val="auto"/>
                <w:sz w:val="24"/>
                <w:highlight w:val="none"/>
                <w:lang w:val="en-US" w:eastAsia="zh-CN" w:bidi="ar-SA"/>
              </w:rPr>
            </w:pPr>
            <w:r>
              <w:rPr>
                <w:rFonts w:hint="eastAsia" w:hAnsi="宋体" w:cs="宋体"/>
                <w:color w:val="auto"/>
                <w:sz w:val="24"/>
                <w:highlight w:val="none"/>
              </w:rPr>
              <w:t>13</w:t>
            </w:r>
          </w:p>
        </w:tc>
        <w:tc>
          <w:tcPr>
            <w:tcW w:w="1596" w:type="dxa"/>
            <w:vAlign w:val="center"/>
          </w:tcPr>
          <w:p w14:paraId="1655D0B8">
            <w:pPr>
              <w:shd w:val="clear"/>
              <w:spacing w:line="400" w:lineRule="exact"/>
              <w:jc w:val="center"/>
              <w:rPr>
                <w:rFonts w:hAnsi="宋体" w:cs="宋体"/>
                <w:color w:val="auto"/>
                <w:sz w:val="24"/>
                <w:highlight w:val="none"/>
              </w:rPr>
            </w:pPr>
            <w:r>
              <w:rPr>
                <w:rFonts w:hint="eastAsia" w:hAnsi="宋体" w:cs="宋体"/>
                <w:color w:val="auto"/>
                <w:sz w:val="24"/>
                <w:highlight w:val="none"/>
              </w:rPr>
              <w:t>复合型水平吊杆起重系统（L=8M）</w:t>
            </w:r>
          </w:p>
        </w:tc>
        <w:tc>
          <w:tcPr>
            <w:tcW w:w="6748" w:type="dxa"/>
          </w:tcPr>
          <w:p w14:paraId="0481FF9B">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 xml:space="preserve">1、复合型8米双层灯杆，包含：提升机、导向轮、钢丝绳、扁平电缆、电机电缆及控制线缆、配套附件等；                                                                                                                                                                                                                                                                                            </w:t>
            </w:r>
          </w:p>
          <w:p w14:paraId="670A9A94">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 xml:space="preserve">2、接插及控制包含：5吊点，4个直通回路（8套16A3芯防尘插座），3路DMX512信号（8套DMX512信号接口）；双制动电机及减速机、安装基座、卷筒、滑轮组件，钢丝绳及组件、吊杆杆体、控制系统执行件、行程限位、冲顶保护；     </w:t>
            </w:r>
          </w:p>
          <w:p w14:paraId="420D6B8A">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 xml:space="preserve">3、杆体：Φ50无缝钢管，中间接头内套忖管焊接，杆体结构为双杆桁架式结构；吊杆卷扬机采用大滚筒形式、钢丝绳单层缠绕、具有排绳和防叠绳装置；      </w:t>
            </w:r>
          </w:p>
          <w:p w14:paraId="69926892">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 xml:space="preserve">4、电机：≥3.0KW-6p双制动；    </w:t>
            </w:r>
          </w:p>
          <w:p w14:paraId="04E3EBA5">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5、电机速度：0-2m/s；运行噪声：≤48dB(A)；</w:t>
            </w:r>
          </w:p>
          <w:p w14:paraId="4147831A">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6、有效载荷：6.0kN ；电压：三相380V/50Hz；</w:t>
            </w:r>
          </w:p>
          <w:p w14:paraId="78CA4127">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7、定位精度：±5mm，同步精度：±5mm；</w:t>
            </w:r>
          </w:p>
          <w:p w14:paraId="60EB6D66">
            <w:pPr>
              <w:pStyle w:val="47"/>
              <w:shd w:val="clear"/>
              <w:spacing w:line="360" w:lineRule="auto"/>
              <w:jc w:val="both"/>
              <w:rPr>
                <w:rFonts w:ascii="宋体" w:hAnsi="宋体" w:eastAsia="宋体" w:cs="宋体"/>
                <w:color w:val="auto"/>
                <w:kern w:val="2"/>
                <w:highlight w:val="none"/>
                <w:u w:val="single"/>
              </w:rPr>
            </w:pPr>
            <w:r>
              <w:rPr>
                <w:rFonts w:hint="eastAsia" w:ascii="宋体" w:hAnsi="宋体" w:eastAsia="宋体" w:cs="宋体"/>
                <w:color w:val="auto"/>
                <w:kern w:val="2"/>
                <w:highlight w:val="none"/>
              </w:rPr>
              <w:t>8、单杆最大吊重：≥400KG；</w:t>
            </w:r>
          </w:p>
        </w:tc>
      </w:tr>
      <w:tr w14:paraId="362FD0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5" w:type="dxa"/>
            <w:vAlign w:val="center"/>
          </w:tcPr>
          <w:p w14:paraId="0683C5F0">
            <w:pPr>
              <w:shd w:val="clear"/>
              <w:spacing w:line="400" w:lineRule="exact"/>
              <w:jc w:val="center"/>
              <w:rPr>
                <w:rFonts w:ascii="宋体" w:hAnsi="宋体" w:eastAsia="宋体" w:cs="宋体"/>
                <w:color w:val="auto"/>
                <w:sz w:val="24"/>
                <w:highlight w:val="none"/>
                <w:lang w:val="en-US" w:eastAsia="zh-CN" w:bidi="ar-SA"/>
              </w:rPr>
            </w:pPr>
            <w:r>
              <w:rPr>
                <w:rFonts w:hint="eastAsia" w:hAnsi="宋体" w:cs="宋体"/>
                <w:color w:val="auto"/>
                <w:sz w:val="24"/>
                <w:highlight w:val="none"/>
              </w:rPr>
              <w:t>14</w:t>
            </w:r>
          </w:p>
        </w:tc>
        <w:tc>
          <w:tcPr>
            <w:tcW w:w="1596" w:type="dxa"/>
            <w:vAlign w:val="center"/>
          </w:tcPr>
          <w:p w14:paraId="33E6329F">
            <w:pPr>
              <w:shd w:val="clear"/>
              <w:spacing w:line="400" w:lineRule="exact"/>
              <w:jc w:val="center"/>
              <w:rPr>
                <w:rFonts w:hAnsi="宋体" w:cs="宋体"/>
                <w:color w:val="auto"/>
                <w:sz w:val="24"/>
                <w:highlight w:val="none"/>
              </w:rPr>
            </w:pPr>
            <w:r>
              <w:rPr>
                <w:rFonts w:hint="eastAsia" w:hAnsi="宋体" w:cs="宋体"/>
                <w:color w:val="auto"/>
                <w:sz w:val="24"/>
                <w:highlight w:val="none"/>
              </w:rPr>
              <w:t>复合型水平吊杆起重系统（ L=4M）</w:t>
            </w:r>
          </w:p>
        </w:tc>
        <w:tc>
          <w:tcPr>
            <w:tcW w:w="6748" w:type="dxa"/>
          </w:tcPr>
          <w:p w14:paraId="29C2E213">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1、复合型4米双层灯杆，包含：提升机、导向轮、钢丝绳、扁平电缆、电机电缆及控制线缆、配套附件等；</w:t>
            </w:r>
          </w:p>
          <w:p w14:paraId="604287E9">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2、接插及控制包含：3吊点，2个直通回路（4套16A3芯防尘插座），2路DMX512信号（4套DMX512信号接口）；双制动电机及减速机、安装基座、卷筒、滑轮组件，钢丝绳及组件、吊杆杆体、控制系统执行件、行程限位、冲顶保护；</w:t>
            </w:r>
          </w:p>
          <w:p w14:paraId="00633C54">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3、杆体：Φ50无缝钢管，中间接头内套忖管焊接，杆体结构为双杆桁架式结构；吊杆卷扬机采用大滚筒形式、钢丝绳单层缠绕、具有排绳和防叠绳装置；</w:t>
            </w:r>
          </w:p>
          <w:p w14:paraId="2B5847FE">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4、电机：≥3.0KW-6p双制动；</w:t>
            </w:r>
          </w:p>
          <w:p w14:paraId="159BA0AF">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5、电机速度：0-2m/s；运行噪声：≤48dB(A)；</w:t>
            </w:r>
          </w:p>
          <w:p w14:paraId="27330256">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6、有效载荷：6.0kN ；电压：三相380V/50Hz；</w:t>
            </w:r>
          </w:p>
          <w:p w14:paraId="518DBCEE">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7、定位精度：±5mm，同步精度：±5mm；</w:t>
            </w:r>
          </w:p>
          <w:p w14:paraId="40926C84">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8、单杆最大吊重：≥300KG；</w:t>
            </w:r>
          </w:p>
        </w:tc>
      </w:tr>
      <w:tr w14:paraId="7472C7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5" w:type="dxa"/>
            <w:vAlign w:val="center"/>
          </w:tcPr>
          <w:p w14:paraId="5BBEF5DF">
            <w:pPr>
              <w:shd w:val="clear"/>
              <w:spacing w:line="400" w:lineRule="exact"/>
              <w:jc w:val="center"/>
              <w:rPr>
                <w:rFonts w:ascii="宋体" w:hAnsi="宋体" w:eastAsia="宋体" w:cs="宋体"/>
                <w:color w:val="auto"/>
                <w:sz w:val="24"/>
                <w:highlight w:val="none"/>
                <w:lang w:val="en-US" w:eastAsia="zh-CN" w:bidi="ar-SA"/>
              </w:rPr>
            </w:pPr>
            <w:r>
              <w:rPr>
                <w:rFonts w:hint="eastAsia" w:hAnsi="宋体" w:cs="宋体"/>
                <w:color w:val="auto"/>
                <w:sz w:val="24"/>
                <w:highlight w:val="none"/>
              </w:rPr>
              <w:t>15</w:t>
            </w:r>
          </w:p>
        </w:tc>
        <w:tc>
          <w:tcPr>
            <w:tcW w:w="1596" w:type="dxa"/>
            <w:vAlign w:val="center"/>
          </w:tcPr>
          <w:p w14:paraId="2F44F196">
            <w:pPr>
              <w:shd w:val="clear"/>
              <w:spacing w:line="400" w:lineRule="exact"/>
              <w:jc w:val="center"/>
              <w:rPr>
                <w:rFonts w:hAnsi="宋体" w:cs="宋体"/>
                <w:color w:val="auto"/>
                <w:sz w:val="24"/>
                <w:highlight w:val="none"/>
              </w:rPr>
            </w:pPr>
            <w:r>
              <w:rPr>
                <w:rFonts w:hint="eastAsia" w:hAnsi="宋体" w:cs="宋体"/>
                <w:color w:val="auto"/>
                <w:sz w:val="24"/>
                <w:highlight w:val="none"/>
              </w:rPr>
              <w:t>机械系统动力控制系统</w:t>
            </w:r>
          </w:p>
        </w:tc>
        <w:tc>
          <w:tcPr>
            <w:tcW w:w="6748" w:type="dxa"/>
          </w:tcPr>
          <w:p w14:paraId="68F9F2B1">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1、规格:系统包含15路电控，强电控制柜，每路独立三极保护；</w:t>
            </w:r>
          </w:p>
          <w:p w14:paraId="598E1BD1">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2、精确定位：±5mm；</w:t>
            </w:r>
          </w:p>
          <w:p w14:paraId="1F6C206E">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3、供电要求：50HZ、三相 380V.AC、单相 220VAC；电压波动范围为-10%~+10%、相序保护；</w:t>
            </w:r>
          </w:p>
          <w:p w14:paraId="08B054C1">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4、断路器具有短路、过载、热保护功能；</w:t>
            </w:r>
          </w:p>
        </w:tc>
      </w:tr>
      <w:tr w14:paraId="2C07B8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5" w:type="dxa"/>
            <w:vAlign w:val="center"/>
          </w:tcPr>
          <w:p w14:paraId="2ECC021B">
            <w:pPr>
              <w:shd w:val="clear"/>
              <w:spacing w:line="400" w:lineRule="exact"/>
              <w:jc w:val="center"/>
              <w:rPr>
                <w:rFonts w:ascii="宋体" w:hAnsi="宋体" w:eastAsia="宋体" w:cs="宋体"/>
                <w:color w:val="auto"/>
                <w:sz w:val="24"/>
                <w:highlight w:val="none"/>
                <w:lang w:val="en-US" w:eastAsia="zh-CN" w:bidi="ar-SA"/>
              </w:rPr>
            </w:pPr>
            <w:r>
              <w:rPr>
                <w:rFonts w:hint="eastAsia" w:hAnsi="宋体" w:cs="宋体"/>
                <w:color w:val="auto"/>
                <w:sz w:val="24"/>
                <w:highlight w:val="none"/>
              </w:rPr>
              <w:t>16</w:t>
            </w:r>
          </w:p>
        </w:tc>
        <w:tc>
          <w:tcPr>
            <w:tcW w:w="1596" w:type="dxa"/>
            <w:vAlign w:val="center"/>
          </w:tcPr>
          <w:p w14:paraId="27FF3FD7">
            <w:pPr>
              <w:shd w:val="clear"/>
              <w:spacing w:line="400" w:lineRule="exact"/>
              <w:jc w:val="center"/>
              <w:rPr>
                <w:rFonts w:hAnsi="宋体" w:cs="宋体"/>
                <w:color w:val="auto"/>
                <w:sz w:val="24"/>
                <w:highlight w:val="none"/>
              </w:rPr>
            </w:pPr>
            <w:r>
              <w:rPr>
                <w:rFonts w:hint="eastAsia" w:hAnsi="宋体" w:cs="宋体"/>
                <w:color w:val="auto"/>
                <w:sz w:val="24"/>
                <w:highlight w:val="none"/>
              </w:rPr>
              <w:t>调光台</w:t>
            </w:r>
          </w:p>
        </w:tc>
        <w:tc>
          <w:tcPr>
            <w:tcW w:w="6748" w:type="dxa"/>
          </w:tcPr>
          <w:p w14:paraId="26CC8582">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1、512个DMX控制通道；2个光隔离独立驱动信号输出端口；</w:t>
            </w:r>
          </w:p>
          <w:p w14:paraId="366D0392">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2、可控制32台16通道电脑灯，16个通道推杆，1个速度控制推杆；</w:t>
            </w:r>
          </w:p>
          <w:p w14:paraId="5FAFC56E">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3、1600个走灯程序步储存容量；48个走灯程序；可同时运行4个走灯程序、48个场景，可同时对32台电脑灯进行提灯操作；</w:t>
            </w:r>
          </w:p>
          <w:p w14:paraId="17BD33C5">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4、不同种类电脑灯的X/Y由穿梭轮统一控制；15个环境程序，快速调用不同的场景、走灯、手动运行（提灯）组合；</w:t>
            </w:r>
          </w:p>
          <w:p w14:paraId="62C1A046">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5、可抗2000Vrms电气冲击；</w:t>
            </w:r>
          </w:p>
        </w:tc>
      </w:tr>
      <w:tr w14:paraId="585204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5" w:type="dxa"/>
            <w:vAlign w:val="center"/>
          </w:tcPr>
          <w:p w14:paraId="03BD575F">
            <w:pPr>
              <w:shd w:val="clear"/>
              <w:spacing w:line="400" w:lineRule="exact"/>
              <w:jc w:val="center"/>
              <w:rPr>
                <w:rFonts w:ascii="宋体" w:hAnsi="宋体" w:eastAsia="宋体" w:cs="宋体"/>
                <w:color w:val="auto"/>
                <w:sz w:val="24"/>
                <w:highlight w:val="none"/>
                <w:lang w:val="en-US" w:eastAsia="zh-CN" w:bidi="ar-SA"/>
              </w:rPr>
            </w:pPr>
            <w:r>
              <w:rPr>
                <w:rFonts w:hint="eastAsia" w:hAnsi="宋体" w:cs="宋体"/>
                <w:color w:val="auto"/>
                <w:sz w:val="24"/>
                <w:highlight w:val="none"/>
              </w:rPr>
              <w:t>17</w:t>
            </w:r>
          </w:p>
        </w:tc>
        <w:tc>
          <w:tcPr>
            <w:tcW w:w="1596" w:type="dxa"/>
            <w:vAlign w:val="center"/>
          </w:tcPr>
          <w:p w14:paraId="673AC7C4">
            <w:pPr>
              <w:shd w:val="clear"/>
              <w:spacing w:line="400" w:lineRule="exact"/>
              <w:jc w:val="center"/>
              <w:rPr>
                <w:rFonts w:hAnsi="宋体" w:cs="宋体"/>
                <w:color w:val="auto"/>
                <w:sz w:val="24"/>
                <w:highlight w:val="none"/>
              </w:rPr>
            </w:pPr>
            <w:r>
              <w:rPr>
                <w:rFonts w:hint="eastAsia" w:hAnsi="宋体" w:cs="宋体"/>
                <w:color w:val="auto"/>
                <w:sz w:val="24"/>
                <w:highlight w:val="none"/>
              </w:rPr>
              <w:t>直通箱</w:t>
            </w:r>
          </w:p>
        </w:tc>
        <w:tc>
          <w:tcPr>
            <w:tcW w:w="6748" w:type="dxa"/>
          </w:tcPr>
          <w:p w14:paraId="50196705">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1、L1、L2、L3三相电流、电压监测；</w:t>
            </w:r>
          </w:p>
          <w:p w14:paraId="04BFA6C6">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2、高灵敏度空气开关，过流保护；双层防水、防震航空箱；</w:t>
            </w:r>
          </w:p>
          <w:p w14:paraId="7752EE4C">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3、电源输入、输出指示灯；舞台输出插座；</w:t>
            </w:r>
          </w:p>
          <w:p w14:paraId="4BDB1F30">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4、供电：三相五线制AC 380V±10%,45-65Hz)；</w:t>
            </w:r>
          </w:p>
          <w:p w14:paraId="2DCCEDB1">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5、输出回路≥24路；</w:t>
            </w:r>
          </w:p>
        </w:tc>
      </w:tr>
      <w:tr w14:paraId="7F7C23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5" w:type="dxa"/>
            <w:vAlign w:val="center"/>
          </w:tcPr>
          <w:p w14:paraId="540DBC71">
            <w:pPr>
              <w:shd w:val="clear"/>
              <w:spacing w:line="400" w:lineRule="exact"/>
              <w:jc w:val="center"/>
              <w:rPr>
                <w:rFonts w:ascii="宋体" w:hAnsi="宋体" w:eastAsia="宋体" w:cs="宋体"/>
                <w:color w:val="auto"/>
                <w:sz w:val="24"/>
                <w:highlight w:val="none"/>
                <w:lang w:val="en-US" w:eastAsia="zh-CN" w:bidi="ar-SA"/>
              </w:rPr>
            </w:pPr>
            <w:r>
              <w:rPr>
                <w:rFonts w:hint="eastAsia" w:hAnsi="宋体" w:cs="宋体"/>
                <w:color w:val="auto"/>
                <w:sz w:val="24"/>
                <w:highlight w:val="none"/>
              </w:rPr>
              <w:t>18</w:t>
            </w:r>
          </w:p>
        </w:tc>
        <w:tc>
          <w:tcPr>
            <w:tcW w:w="1596" w:type="dxa"/>
            <w:vAlign w:val="center"/>
          </w:tcPr>
          <w:p w14:paraId="23142018">
            <w:pPr>
              <w:shd w:val="clear"/>
              <w:spacing w:line="400" w:lineRule="exact"/>
              <w:jc w:val="center"/>
              <w:rPr>
                <w:rFonts w:hAnsi="宋体" w:cs="宋体"/>
                <w:color w:val="auto"/>
                <w:sz w:val="24"/>
                <w:highlight w:val="none"/>
              </w:rPr>
            </w:pPr>
            <w:r>
              <w:rPr>
                <w:rFonts w:hint="eastAsia" w:hAnsi="宋体" w:cs="宋体"/>
                <w:color w:val="auto"/>
                <w:sz w:val="24"/>
                <w:highlight w:val="none"/>
              </w:rPr>
              <w:t>信号放大器</w:t>
            </w:r>
          </w:p>
        </w:tc>
        <w:tc>
          <w:tcPr>
            <w:tcW w:w="6748" w:type="dxa"/>
          </w:tcPr>
          <w:p w14:paraId="24257498">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1、电源：220-240VAC,50Hz；</w:t>
            </w:r>
          </w:p>
          <w:p w14:paraId="6FCEFCC9">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2、DMX数字信号光电藕合隔离2进8出；</w:t>
            </w:r>
          </w:p>
          <w:p w14:paraId="3E0180E3">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3、8位独立放大的DMX信号输出；DMX信号光电隔离；</w:t>
            </w:r>
          </w:p>
          <w:p w14:paraId="2F17CC99">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4、标准机架式；</w:t>
            </w:r>
          </w:p>
        </w:tc>
      </w:tr>
      <w:tr w14:paraId="62DCFA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5" w:type="dxa"/>
            <w:vAlign w:val="center"/>
          </w:tcPr>
          <w:p w14:paraId="73D1A05A">
            <w:pPr>
              <w:shd w:val="clear"/>
              <w:spacing w:line="400" w:lineRule="exact"/>
              <w:jc w:val="center"/>
              <w:rPr>
                <w:rFonts w:ascii="宋体" w:hAnsi="宋体" w:eastAsia="宋体" w:cs="宋体"/>
                <w:color w:val="auto"/>
                <w:sz w:val="24"/>
                <w:highlight w:val="none"/>
                <w:lang w:val="en-US" w:eastAsia="zh-CN" w:bidi="ar-SA"/>
              </w:rPr>
            </w:pPr>
            <w:r>
              <w:rPr>
                <w:rFonts w:hint="eastAsia" w:hAnsi="宋体" w:cs="宋体"/>
                <w:color w:val="auto"/>
                <w:sz w:val="24"/>
                <w:highlight w:val="none"/>
              </w:rPr>
              <w:t>19</w:t>
            </w:r>
          </w:p>
        </w:tc>
        <w:tc>
          <w:tcPr>
            <w:tcW w:w="1596" w:type="dxa"/>
            <w:vAlign w:val="center"/>
          </w:tcPr>
          <w:p w14:paraId="58C495FB">
            <w:pPr>
              <w:shd w:val="clear"/>
              <w:spacing w:line="400" w:lineRule="exact"/>
              <w:jc w:val="center"/>
              <w:rPr>
                <w:rFonts w:hAnsi="宋体" w:cs="宋体"/>
                <w:color w:val="auto"/>
                <w:sz w:val="24"/>
                <w:highlight w:val="none"/>
              </w:rPr>
            </w:pPr>
            <w:r>
              <w:rPr>
                <w:rFonts w:hint="eastAsia" w:hAnsi="宋体" w:cs="宋体"/>
                <w:color w:val="auto"/>
                <w:sz w:val="24"/>
                <w:highlight w:val="none"/>
              </w:rPr>
              <w:t>电源、信号分线盒</w:t>
            </w:r>
          </w:p>
        </w:tc>
        <w:tc>
          <w:tcPr>
            <w:tcW w:w="6748" w:type="dxa"/>
          </w:tcPr>
          <w:p w14:paraId="7D427ADA">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1、电源输入电压：220V±10%，50HZ；20A航空自锁电源插头(3芯带接地)；</w:t>
            </w:r>
          </w:p>
          <w:p w14:paraId="5833A37C">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2、总功率≥2KW；</w:t>
            </w:r>
          </w:p>
          <w:p w14:paraId="1E9BDDD1">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3、输出回路≥4路；</w:t>
            </w:r>
          </w:p>
          <w:p w14:paraId="2108A525">
            <w:pPr>
              <w:pStyle w:val="47"/>
              <w:shd w:val="clear"/>
              <w:spacing w:line="360" w:lineRule="auto"/>
              <w:jc w:val="both"/>
              <w:rPr>
                <w:rFonts w:ascii="宋体" w:hAnsi="宋体" w:eastAsia="宋体" w:cs="宋体"/>
                <w:color w:val="auto"/>
                <w:kern w:val="2"/>
                <w:highlight w:val="none"/>
              </w:rPr>
            </w:pPr>
            <w:r>
              <w:rPr>
                <w:rFonts w:hint="eastAsia" w:ascii="宋体" w:hAnsi="宋体" w:eastAsia="宋体" w:cs="宋体"/>
                <w:color w:val="auto"/>
                <w:kern w:val="2"/>
                <w:highlight w:val="none"/>
              </w:rPr>
              <w:t>4、整机绝缘度≥10M</w:t>
            </w:r>
          </w:p>
        </w:tc>
      </w:tr>
      <w:tr w14:paraId="26230A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6" w:hRule="atLeast"/>
          <w:jc w:val="center"/>
        </w:trPr>
        <w:tc>
          <w:tcPr>
            <w:tcW w:w="965" w:type="dxa"/>
            <w:vAlign w:val="center"/>
          </w:tcPr>
          <w:p w14:paraId="5D4ECCB5">
            <w:pPr>
              <w:shd w:val="clear"/>
              <w:spacing w:line="400" w:lineRule="exact"/>
              <w:jc w:val="center"/>
              <w:rPr>
                <w:rFonts w:ascii="宋体" w:hAnsi="宋体" w:eastAsia="宋体" w:cs="宋体"/>
                <w:color w:val="auto"/>
                <w:sz w:val="24"/>
                <w:highlight w:val="none"/>
                <w:lang w:val="en-US" w:eastAsia="zh-CN" w:bidi="ar-SA"/>
              </w:rPr>
            </w:pPr>
            <w:r>
              <w:rPr>
                <w:rFonts w:hint="eastAsia" w:hAnsi="宋体" w:cs="宋体"/>
                <w:color w:val="auto"/>
                <w:sz w:val="24"/>
                <w:highlight w:val="none"/>
              </w:rPr>
              <w:t>20</w:t>
            </w:r>
          </w:p>
        </w:tc>
        <w:tc>
          <w:tcPr>
            <w:tcW w:w="1596" w:type="dxa"/>
            <w:vAlign w:val="center"/>
          </w:tcPr>
          <w:p w14:paraId="62DF7624">
            <w:pPr>
              <w:shd w:val="clear"/>
              <w:spacing w:line="400" w:lineRule="exact"/>
              <w:jc w:val="center"/>
              <w:rPr>
                <w:rFonts w:hAnsi="宋体" w:cs="宋体"/>
                <w:color w:val="auto"/>
                <w:sz w:val="24"/>
                <w:highlight w:val="none"/>
              </w:rPr>
            </w:pPr>
            <w:r>
              <w:rPr>
                <w:rFonts w:hint="eastAsia" w:hAnsi="宋体" w:cs="宋体"/>
                <w:color w:val="auto"/>
                <w:sz w:val="24"/>
                <w:highlight w:val="none"/>
              </w:rPr>
              <w:t>电源接插件</w:t>
            </w:r>
          </w:p>
        </w:tc>
        <w:tc>
          <w:tcPr>
            <w:tcW w:w="6748" w:type="dxa"/>
            <w:vAlign w:val="center"/>
          </w:tcPr>
          <w:p w14:paraId="7A23CA56">
            <w:pPr>
              <w:shd w:val="clear"/>
              <w:spacing w:line="400" w:lineRule="exact"/>
              <w:jc w:val="left"/>
              <w:rPr>
                <w:rFonts w:hAnsi="宋体" w:cs="宋体"/>
                <w:color w:val="auto"/>
                <w:sz w:val="24"/>
                <w:highlight w:val="none"/>
              </w:rPr>
            </w:pPr>
            <w:r>
              <w:rPr>
                <w:rFonts w:hint="eastAsia" w:hAnsi="宋体" w:cs="宋体"/>
                <w:color w:val="auto"/>
                <w:sz w:val="24"/>
                <w:highlight w:val="none"/>
              </w:rPr>
              <w:t>1、演播厅灯具适配接插件；</w:t>
            </w:r>
          </w:p>
        </w:tc>
      </w:tr>
      <w:tr w14:paraId="029514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5" w:type="dxa"/>
            <w:vAlign w:val="center"/>
          </w:tcPr>
          <w:p w14:paraId="244C7900">
            <w:pPr>
              <w:shd w:val="clear"/>
              <w:spacing w:line="400" w:lineRule="exact"/>
              <w:jc w:val="center"/>
              <w:rPr>
                <w:rFonts w:ascii="宋体" w:hAnsi="宋体" w:eastAsia="宋体" w:cs="宋体"/>
                <w:color w:val="auto"/>
                <w:sz w:val="24"/>
                <w:highlight w:val="none"/>
                <w:lang w:val="en-US" w:eastAsia="zh-CN" w:bidi="ar-SA"/>
              </w:rPr>
            </w:pPr>
            <w:r>
              <w:rPr>
                <w:rFonts w:hint="eastAsia" w:hAnsi="宋体" w:cs="宋体"/>
                <w:color w:val="auto"/>
                <w:sz w:val="24"/>
                <w:highlight w:val="none"/>
              </w:rPr>
              <w:t>21</w:t>
            </w:r>
          </w:p>
        </w:tc>
        <w:tc>
          <w:tcPr>
            <w:tcW w:w="1596" w:type="dxa"/>
            <w:vAlign w:val="center"/>
          </w:tcPr>
          <w:p w14:paraId="1B4879BD">
            <w:pPr>
              <w:shd w:val="clear"/>
              <w:spacing w:line="400" w:lineRule="exact"/>
              <w:jc w:val="center"/>
              <w:rPr>
                <w:rFonts w:hAnsi="宋体" w:cs="宋体"/>
                <w:color w:val="auto"/>
                <w:sz w:val="24"/>
                <w:highlight w:val="none"/>
              </w:rPr>
            </w:pPr>
            <w:r>
              <w:rPr>
                <w:rFonts w:hint="eastAsia" w:hAnsi="宋体" w:cs="宋体"/>
                <w:color w:val="auto"/>
                <w:sz w:val="24"/>
                <w:highlight w:val="none"/>
              </w:rPr>
              <w:t>信号接插件</w:t>
            </w:r>
          </w:p>
        </w:tc>
        <w:tc>
          <w:tcPr>
            <w:tcW w:w="6748" w:type="dxa"/>
          </w:tcPr>
          <w:p w14:paraId="5C30ACD4">
            <w:pPr>
              <w:shd w:val="clear"/>
              <w:spacing w:line="400" w:lineRule="exact"/>
              <w:jc w:val="left"/>
              <w:rPr>
                <w:rFonts w:hAnsi="宋体" w:cs="宋体"/>
                <w:color w:val="auto"/>
                <w:sz w:val="24"/>
                <w:highlight w:val="none"/>
              </w:rPr>
            </w:pPr>
            <w:r>
              <w:rPr>
                <w:rFonts w:hint="eastAsia" w:hAnsi="宋体" w:cs="宋体"/>
                <w:color w:val="auto"/>
                <w:sz w:val="24"/>
                <w:highlight w:val="none"/>
              </w:rPr>
              <w:t>1、演播厅灯具适配接插件；</w:t>
            </w:r>
          </w:p>
        </w:tc>
      </w:tr>
      <w:tr w14:paraId="7543C5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5" w:type="dxa"/>
            <w:vAlign w:val="center"/>
          </w:tcPr>
          <w:p w14:paraId="027C6C17">
            <w:pPr>
              <w:shd w:val="clear"/>
              <w:spacing w:line="400" w:lineRule="exact"/>
              <w:jc w:val="center"/>
              <w:rPr>
                <w:rFonts w:ascii="宋体" w:hAnsi="宋体" w:eastAsia="宋体" w:cs="宋体"/>
                <w:color w:val="auto"/>
                <w:sz w:val="24"/>
                <w:highlight w:val="none"/>
                <w:lang w:val="en-US" w:eastAsia="zh-CN" w:bidi="ar-SA"/>
              </w:rPr>
            </w:pPr>
            <w:r>
              <w:rPr>
                <w:rFonts w:hint="eastAsia" w:hAnsi="宋体" w:cs="宋体"/>
                <w:color w:val="auto"/>
                <w:sz w:val="24"/>
                <w:highlight w:val="none"/>
              </w:rPr>
              <w:t>22</w:t>
            </w:r>
          </w:p>
        </w:tc>
        <w:tc>
          <w:tcPr>
            <w:tcW w:w="1596" w:type="dxa"/>
            <w:vAlign w:val="center"/>
          </w:tcPr>
          <w:p w14:paraId="104980CD">
            <w:pPr>
              <w:shd w:val="clear"/>
              <w:spacing w:line="400" w:lineRule="exact"/>
              <w:jc w:val="center"/>
              <w:rPr>
                <w:rFonts w:hAnsi="宋体" w:cs="宋体"/>
                <w:color w:val="auto"/>
                <w:sz w:val="24"/>
                <w:highlight w:val="none"/>
              </w:rPr>
            </w:pPr>
            <w:r>
              <w:rPr>
                <w:rFonts w:hint="eastAsia" w:hAnsi="宋体" w:cs="宋体"/>
                <w:color w:val="auto"/>
                <w:sz w:val="24"/>
                <w:highlight w:val="none"/>
              </w:rPr>
              <w:t>电源线</w:t>
            </w:r>
          </w:p>
        </w:tc>
        <w:tc>
          <w:tcPr>
            <w:tcW w:w="6748" w:type="dxa"/>
          </w:tcPr>
          <w:p w14:paraId="27CA548F">
            <w:pPr>
              <w:shd w:val="clear"/>
              <w:spacing w:line="400" w:lineRule="exact"/>
              <w:jc w:val="left"/>
              <w:rPr>
                <w:rFonts w:hAnsi="宋体" w:cs="宋体"/>
                <w:color w:val="auto"/>
                <w:sz w:val="24"/>
                <w:highlight w:val="none"/>
              </w:rPr>
            </w:pPr>
            <w:r>
              <w:rPr>
                <w:rFonts w:hint="eastAsia" w:hAnsi="宋体" w:cs="宋体"/>
                <w:color w:val="auto"/>
                <w:sz w:val="24"/>
                <w:highlight w:val="none"/>
              </w:rPr>
              <w:t>1、规格：ZRVV 2*2.5MM2 ；</w:t>
            </w:r>
          </w:p>
          <w:p w14:paraId="3E8874B3">
            <w:pPr>
              <w:shd w:val="clear"/>
              <w:spacing w:line="400" w:lineRule="exact"/>
              <w:jc w:val="left"/>
              <w:rPr>
                <w:rFonts w:hAnsi="宋体" w:cs="宋体"/>
                <w:color w:val="auto"/>
                <w:sz w:val="24"/>
                <w:highlight w:val="none"/>
              </w:rPr>
            </w:pPr>
            <w:r>
              <w:rPr>
                <w:rFonts w:hint="eastAsia" w:hAnsi="宋体" w:cs="宋体"/>
                <w:color w:val="auto"/>
                <w:sz w:val="24"/>
                <w:highlight w:val="none"/>
              </w:rPr>
              <w:t>2、长期工作温度：70℃；</w:t>
            </w:r>
          </w:p>
        </w:tc>
      </w:tr>
      <w:tr w14:paraId="6C951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5" w:type="dxa"/>
            <w:vAlign w:val="center"/>
          </w:tcPr>
          <w:p w14:paraId="6D138C13">
            <w:pPr>
              <w:shd w:val="clear"/>
              <w:spacing w:line="400" w:lineRule="exact"/>
              <w:jc w:val="center"/>
              <w:rPr>
                <w:rFonts w:ascii="宋体" w:hAnsi="宋体" w:eastAsia="宋体" w:cs="宋体"/>
                <w:color w:val="auto"/>
                <w:sz w:val="24"/>
                <w:highlight w:val="none"/>
                <w:lang w:val="en-US" w:eastAsia="zh-CN" w:bidi="ar-SA"/>
              </w:rPr>
            </w:pPr>
            <w:r>
              <w:rPr>
                <w:rFonts w:hint="eastAsia" w:hAnsi="宋体" w:cs="宋体"/>
                <w:color w:val="auto"/>
                <w:sz w:val="24"/>
                <w:highlight w:val="none"/>
              </w:rPr>
              <w:t>23</w:t>
            </w:r>
          </w:p>
        </w:tc>
        <w:tc>
          <w:tcPr>
            <w:tcW w:w="1596" w:type="dxa"/>
            <w:vAlign w:val="center"/>
          </w:tcPr>
          <w:p w14:paraId="64F158C5">
            <w:pPr>
              <w:shd w:val="clear"/>
              <w:spacing w:line="400" w:lineRule="exact"/>
              <w:jc w:val="center"/>
              <w:rPr>
                <w:rFonts w:hAnsi="宋体" w:cs="宋体"/>
                <w:color w:val="auto"/>
                <w:sz w:val="24"/>
                <w:highlight w:val="none"/>
              </w:rPr>
            </w:pPr>
            <w:r>
              <w:rPr>
                <w:rFonts w:hint="eastAsia" w:hAnsi="宋体" w:cs="宋体"/>
                <w:color w:val="auto"/>
                <w:sz w:val="24"/>
                <w:highlight w:val="none"/>
              </w:rPr>
              <w:t>信号线</w:t>
            </w:r>
          </w:p>
        </w:tc>
        <w:tc>
          <w:tcPr>
            <w:tcW w:w="6748" w:type="dxa"/>
          </w:tcPr>
          <w:p w14:paraId="4257B699">
            <w:pPr>
              <w:shd w:val="clear"/>
              <w:spacing w:line="400" w:lineRule="exact"/>
              <w:jc w:val="left"/>
              <w:rPr>
                <w:rFonts w:hAnsi="宋体" w:cs="宋体"/>
                <w:color w:val="auto"/>
                <w:sz w:val="24"/>
                <w:highlight w:val="none"/>
              </w:rPr>
            </w:pPr>
            <w:r>
              <w:rPr>
                <w:rFonts w:hint="eastAsia" w:hAnsi="宋体" w:cs="宋体"/>
                <w:color w:val="auto"/>
                <w:sz w:val="24"/>
                <w:highlight w:val="none"/>
              </w:rPr>
              <w:t>1、规格：ZRVV 2*1.5MM2  +屏蔽；</w:t>
            </w:r>
          </w:p>
          <w:p w14:paraId="21B3ABB7">
            <w:pPr>
              <w:shd w:val="clear"/>
              <w:spacing w:line="400" w:lineRule="exact"/>
              <w:jc w:val="left"/>
              <w:rPr>
                <w:rFonts w:hAnsi="宋体" w:cs="宋体"/>
                <w:color w:val="auto"/>
                <w:sz w:val="24"/>
                <w:highlight w:val="none"/>
              </w:rPr>
            </w:pPr>
            <w:r>
              <w:rPr>
                <w:rFonts w:hint="eastAsia" w:hAnsi="宋体" w:cs="宋体"/>
                <w:color w:val="auto"/>
                <w:sz w:val="24"/>
                <w:highlight w:val="none"/>
              </w:rPr>
              <w:t>2、长期工作温度：70℃；</w:t>
            </w:r>
          </w:p>
        </w:tc>
      </w:tr>
      <w:tr w14:paraId="53535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5" w:type="dxa"/>
            <w:vAlign w:val="center"/>
          </w:tcPr>
          <w:p w14:paraId="248726DE">
            <w:pPr>
              <w:shd w:val="clear"/>
              <w:spacing w:line="400" w:lineRule="exact"/>
              <w:jc w:val="center"/>
              <w:rPr>
                <w:rFonts w:ascii="宋体" w:hAnsi="宋体" w:eastAsia="宋体" w:cs="宋体"/>
                <w:color w:val="auto"/>
                <w:sz w:val="24"/>
                <w:highlight w:val="none"/>
                <w:lang w:val="en-US" w:eastAsia="zh-CN" w:bidi="ar-SA"/>
              </w:rPr>
            </w:pPr>
            <w:r>
              <w:rPr>
                <w:rFonts w:hint="eastAsia" w:hAnsi="宋体" w:cs="宋体"/>
                <w:color w:val="auto"/>
                <w:sz w:val="24"/>
                <w:highlight w:val="none"/>
              </w:rPr>
              <w:t>24</w:t>
            </w:r>
          </w:p>
        </w:tc>
        <w:tc>
          <w:tcPr>
            <w:tcW w:w="1596" w:type="dxa"/>
            <w:vAlign w:val="center"/>
          </w:tcPr>
          <w:p w14:paraId="08135C0F">
            <w:pPr>
              <w:shd w:val="clear"/>
              <w:spacing w:line="400" w:lineRule="exact"/>
              <w:jc w:val="center"/>
              <w:rPr>
                <w:rFonts w:hAnsi="宋体" w:cs="宋体"/>
                <w:color w:val="auto"/>
                <w:sz w:val="24"/>
                <w:highlight w:val="none"/>
              </w:rPr>
            </w:pPr>
            <w:r>
              <w:rPr>
                <w:rFonts w:hint="eastAsia" w:hAnsi="宋体" w:cs="宋体"/>
                <w:color w:val="auto"/>
                <w:sz w:val="24"/>
                <w:highlight w:val="none"/>
              </w:rPr>
              <w:t>灯光系统集成</w:t>
            </w:r>
          </w:p>
        </w:tc>
        <w:tc>
          <w:tcPr>
            <w:tcW w:w="6748" w:type="dxa"/>
          </w:tcPr>
          <w:p w14:paraId="24BE0D3C">
            <w:pPr>
              <w:shd w:val="clear"/>
              <w:spacing w:line="400" w:lineRule="exact"/>
              <w:jc w:val="left"/>
              <w:rPr>
                <w:rFonts w:hAnsi="宋体" w:cs="宋体"/>
                <w:color w:val="auto"/>
                <w:sz w:val="24"/>
                <w:highlight w:val="none"/>
              </w:rPr>
            </w:pPr>
            <w:r>
              <w:rPr>
                <w:rFonts w:hint="eastAsia" w:hAnsi="宋体" w:cs="宋体"/>
                <w:color w:val="auto"/>
                <w:sz w:val="24"/>
                <w:highlight w:val="none"/>
              </w:rPr>
              <w:t xml:space="preserve">1、所有灯光系统设备的运输、安装、调试、培训以及维保服务（包括线材、管材、辅材、耗材及人工）； </w:t>
            </w:r>
          </w:p>
          <w:p w14:paraId="01F939AD">
            <w:pPr>
              <w:shd w:val="clear"/>
              <w:spacing w:line="400" w:lineRule="exact"/>
              <w:jc w:val="left"/>
              <w:rPr>
                <w:rFonts w:hAnsi="宋体" w:cs="宋体"/>
                <w:color w:val="auto"/>
                <w:sz w:val="24"/>
                <w:highlight w:val="none"/>
              </w:rPr>
            </w:pPr>
            <w:r>
              <w:rPr>
                <w:rFonts w:hint="eastAsia" w:hAnsi="宋体" w:cs="宋体"/>
                <w:color w:val="auto"/>
                <w:sz w:val="24"/>
                <w:highlight w:val="none"/>
              </w:rPr>
              <w:t>2、要求完全按照招标要求和使用单位实际需求进行集成实施，留有足够的冗余；</w:t>
            </w:r>
          </w:p>
        </w:tc>
      </w:tr>
      <w:tr w14:paraId="7B0923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5" w:type="dxa"/>
            <w:vAlign w:val="center"/>
          </w:tcPr>
          <w:p w14:paraId="22042ECC">
            <w:pPr>
              <w:shd w:val="clear"/>
              <w:spacing w:line="400" w:lineRule="exact"/>
              <w:jc w:val="center"/>
              <w:rPr>
                <w:rFonts w:ascii="宋体" w:hAnsi="宋体" w:eastAsia="宋体" w:cs="宋体"/>
                <w:color w:val="auto"/>
                <w:sz w:val="24"/>
                <w:highlight w:val="none"/>
                <w:lang w:val="en-US" w:eastAsia="zh-CN" w:bidi="ar-SA"/>
              </w:rPr>
            </w:pPr>
            <w:r>
              <w:rPr>
                <w:rFonts w:hint="eastAsia" w:hAnsi="宋体" w:cs="宋体"/>
                <w:color w:val="auto"/>
                <w:sz w:val="24"/>
                <w:highlight w:val="none"/>
              </w:rPr>
              <w:t>25</w:t>
            </w:r>
          </w:p>
        </w:tc>
        <w:tc>
          <w:tcPr>
            <w:tcW w:w="1596" w:type="dxa"/>
            <w:vAlign w:val="center"/>
          </w:tcPr>
          <w:p w14:paraId="18C8D7B6">
            <w:pPr>
              <w:shd w:val="clear"/>
              <w:spacing w:line="400" w:lineRule="exact"/>
              <w:jc w:val="center"/>
              <w:rPr>
                <w:rFonts w:hAnsi="宋体" w:cs="宋体"/>
                <w:color w:val="auto"/>
                <w:sz w:val="24"/>
                <w:highlight w:val="none"/>
              </w:rPr>
            </w:pPr>
            <w:r>
              <w:rPr>
                <w:rFonts w:hint="eastAsia" w:hAnsi="宋体" w:cs="宋体"/>
                <w:color w:val="auto"/>
                <w:sz w:val="24"/>
                <w:highlight w:val="none"/>
              </w:rPr>
              <w:t>监听音响</w:t>
            </w:r>
          </w:p>
        </w:tc>
        <w:tc>
          <w:tcPr>
            <w:tcW w:w="6748" w:type="dxa"/>
          </w:tcPr>
          <w:p w14:paraId="3365ED5E">
            <w:pPr>
              <w:shd w:val="clear"/>
              <w:spacing w:line="400" w:lineRule="exact"/>
              <w:jc w:val="left"/>
              <w:rPr>
                <w:rFonts w:hAnsi="宋体" w:cs="宋体"/>
                <w:color w:val="auto"/>
                <w:sz w:val="24"/>
                <w:highlight w:val="none"/>
              </w:rPr>
            </w:pPr>
            <w:r>
              <w:rPr>
                <w:rFonts w:hint="eastAsia" w:hAnsi="宋体" w:cs="宋体"/>
                <w:color w:val="auto"/>
                <w:sz w:val="24"/>
                <w:highlight w:val="none"/>
              </w:rPr>
              <w:t>1、频响范围：43Hz - 30kHz；</w:t>
            </w:r>
          </w:p>
          <w:p w14:paraId="1C384B74">
            <w:pPr>
              <w:shd w:val="clear"/>
              <w:spacing w:line="400" w:lineRule="exact"/>
              <w:jc w:val="left"/>
              <w:rPr>
                <w:rFonts w:hAnsi="宋体" w:cs="宋体"/>
                <w:color w:val="auto"/>
                <w:sz w:val="24"/>
                <w:highlight w:val="none"/>
              </w:rPr>
            </w:pPr>
            <w:r>
              <w:rPr>
                <w:rFonts w:hint="eastAsia" w:hAnsi="宋体" w:cs="宋体"/>
                <w:color w:val="auto"/>
                <w:sz w:val="24"/>
                <w:highlight w:val="none"/>
              </w:rPr>
              <w:t>2、高音单元：1" 半球形；</w:t>
            </w:r>
          </w:p>
          <w:p w14:paraId="46D363AD">
            <w:pPr>
              <w:shd w:val="clear"/>
              <w:spacing w:line="400" w:lineRule="exact"/>
              <w:jc w:val="left"/>
              <w:rPr>
                <w:rFonts w:hAnsi="宋体" w:cs="宋体"/>
                <w:color w:val="auto"/>
                <w:sz w:val="24"/>
                <w:highlight w:val="none"/>
              </w:rPr>
            </w:pPr>
            <w:r>
              <w:rPr>
                <w:rFonts w:hint="eastAsia" w:hAnsi="宋体" w:cs="宋体"/>
                <w:color w:val="auto"/>
                <w:sz w:val="24"/>
                <w:highlight w:val="none"/>
              </w:rPr>
              <w:t>3、低音单元：6.5"锥面；</w:t>
            </w:r>
          </w:p>
          <w:p w14:paraId="44ECD31D">
            <w:pPr>
              <w:shd w:val="clear"/>
              <w:spacing w:line="400" w:lineRule="exact"/>
              <w:jc w:val="left"/>
              <w:rPr>
                <w:rFonts w:hAnsi="宋体" w:cs="宋体"/>
                <w:color w:val="auto"/>
                <w:sz w:val="24"/>
                <w:highlight w:val="none"/>
              </w:rPr>
            </w:pPr>
            <w:r>
              <w:rPr>
                <w:rFonts w:hint="eastAsia" w:hAnsi="宋体" w:cs="宋体"/>
                <w:color w:val="auto"/>
                <w:sz w:val="24"/>
                <w:highlight w:val="none"/>
              </w:rPr>
              <w:t>4、LFHF分频输出功率：95W、60W、35W；</w:t>
            </w:r>
          </w:p>
          <w:p w14:paraId="76726F2E">
            <w:pPr>
              <w:shd w:val="clear"/>
              <w:spacing w:line="400" w:lineRule="exact"/>
              <w:jc w:val="left"/>
              <w:rPr>
                <w:rFonts w:hAnsi="宋体" w:cs="宋体"/>
                <w:color w:val="auto"/>
                <w:sz w:val="24"/>
                <w:highlight w:val="none"/>
              </w:rPr>
            </w:pPr>
            <w:r>
              <w:rPr>
                <w:rFonts w:hint="eastAsia" w:hAnsi="宋体" w:cs="宋体"/>
                <w:color w:val="auto"/>
                <w:sz w:val="24"/>
                <w:highlight w:val="none"/>
              </w:rPr>
              <w:t>5、LEVEL控制器：（＋4dB/中央感应档位）；</w:t>
            </w:r>
          </w:p>
          <w:p w14:paraId="0FB3E404">
            <w:pPr>
              <w:shd w:val="clear"/>
              <w:spacing w:line="400" w:lineRule="exact"/>
              <w:jc w:val="left"/>
              <w:rPr>
                <w:rFonts w:hAnsi="宋体" w:cs="宋体"/>
                <w:color w:val="auto"/>
                <w:sz w:val="24"/>
                <w:highlight w:val="none"/>
              </w:rPr>
            </w:pPr>
            <w:r>
              <w:rPr>
                <w:rFonts w:hint="eastAsia" w:hAnsi="宋体" w:cs="宋体"/>
                <w:color w:val="auto"/>
                <w:sz w:val="24"/>
                <w:highlight w:val="none"/>
              </w:rPr>
              <w:t>6、EQ：HIGHTRIM开关（HF范围+/-2dB）,ROOM CONTROL（房间控制）开关（500Hz下0/-2/-4dB）；</w:t>
            </w:r>
          </w:p>
        </w:tc>
      </w:tr>
      <w:tr w14:paraId="3A3388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5" w:type="dxa"/>
            <w:vAlign w:val="center"/>
          </w:tcPr>
          <w:p w14:paraId="14D77425">
            <w:pPr>
              <w:shd w:val="clear"/>
              <w:spacing w:line="400" w:lineRule="exact"/>
              <w:jc w:val="center"/>
              <w:rPr>
                <w:rFonts w:ascii="宋体" w:hAnsi="宋体" w:eastAsia="宋体" w:cs="宋体"/>
                <w:color w:val="auto"/>
                <w:sz w:val="24"/>
                <w:highlight w:val="none"/>
                <w:lang w:val="en-US" w:eastAsia="zh-CN" w:bidi="ar-SA"/>
              </w:rPr>
            </w:pPr>
            <w:r>
              <w:rPr>
                <w:rFonts w:hint="eastAsia" w:hAnsi="宋体" w:cs="宋体"/>
                <w:color w:val="auto"/>
                <w:sz w:val="24"/>
                <w:highlight w:val="none"/>
              </w:rPr>
              <w:t>26</w:t>
            </w:r>
          </w:p>
        </w:tc>
        <w:tc>
          <w:tcPr>
            <w:tcW w:w="1596" w:type="dxa"/>
            <w:vAlign w:val="center"/>
          </w:tcPr>
          <w:p w14:paraId="7BD7B971">
            <w:pPr>
              <w:shd w:val="clear"/>
              <w:spacing w:line="400" w:lineRule="exact"/>
              <w:jc w:val="center"/>
              <w:rPr>
                <w:rFonts w:hAnsi="宋体" w:cs="宋体"/>
                <w:color w:val="auto"/>
                <w:sz w:val="24"/>
                <w:highlight w:val="none"/>
              </w:rPr>
            </w:pPr>
            <w:r>
              <w:rPr>
                <w:rFonts w:hint="eastAsia" w:hAnsi="宋体" w:cs="宋体"/>
                <w:color w:val="auto"/>
                <w:sz w:val="24"/>
                <w:highlight w:val="none"/>
              </w:rPr>
              <w:t>演播室音箱</w:t>
            </w:r>
          </w:p>
        </w:tc>
        <w:tc>
          <w:tcPr>
            <w:tcW w:w="6748" w:type="dxa"/>
          </w:tcPr>
          <w:p w14:paraId="72D017ED">
            <w:pPr>
              <w:shd w:val="clear"/>
              <w:spacing w:line="400" w:lineRule="exact"/>
              <w:jc w:val="left"/>
              <w:rPr>
                <w:rFonts w:hAnsi="宋体" w:cs="宋体"/>
                <w:color w:val="auto"/>
                <w:sz w:val="24"/>
                <w:highlight w:val="none"/>
              </w:rPr>
            </w:pPr>
            <w:r>
              <w:rPr>
                <w:rFonts w:hint="eastAsia" w:hAnsi="宋体" w:cs="宋体"/>
                <w:color w:val="auto"/>
                <w:sz w:val="24"/>
                <w:highlight w:val="none"/>
              </w:rPr>
              <w:t xml:space="preserve">1、端子与外壳绝缘电阻：≥4MΩ；                                                                                                                                                                </w:t>
            </w:r>
          </w:p>
          <w:p w14:paraId="291BE434">
            <w:pPr>
              <w:shd w:val="clear"/>
              <w:spacing w:line="400" w:lineRule="exact"/>
              <w:jc w:val="left"/>
              <w:rPr>
                <w:rFonts w:hAnsi="宋体" w:cs="宋体"/>
                <w:color w:val="auto"/>
                <w:sz w:val="24"/>
                <w:highlight w:val="none"/>
              </w:rPr>
            </w:pPr>
            <w:r>
              <w:rPr>
                <w:rFonts w:hint="eastAsia" w:hAnsi="宋体" w:cs="宋体"/>
                <w:color w:val="auto"/>
                <w:sz w:val="24"/>
                <w:highlight w:val="none"/>
              </w:rPr>
              <w:t xml:space="preserve">2、特性灵敏度：≥97dB/m/W； </w:t>
            </w:r>
          </w:p>
          <w:p w14:paraId="70A062BD">
            <w:pPr>
              <w:shd w:val="clear"/>
              <w:spacing w:line="400" w:lineRule="exact"/>
              <w:jc w:val="left"/>
              <w:rPr>
                <w:rFonts w:hAnsi="宋体" w:cs="宋体"/>
                <w:color w:val="auto"/>
                <w:sz w:val="24"/>
                <w:highlight w:val="none"/>
              </w:rPr>
            </w:pPr>
            <w:r>
              <w:rPr>
                <w:rFonts w:hint="eastAsia" w:hAnsi="宋体" w:cs="宋体"/>
                <w:color w:val="auto"/>
                <w:sz w:val="24"/>
                <w:highlight w:val="none"/>
              </w:rPr>
              <w:t>3、额定阻抗：≤8Ω；</w:t>
            </w:r>
          </w:p>
          <w:p w14:paraId="759B1390">
            <w:pPr>
              <w:shd w:val="clear"/>
              <w:spacing w:line="400" w:lineRule="exact"/>
              <w:jc w:val="left"/>
              <w:rPr>
                <w:rFonts w:hAnsi="宋体" w:cs="宋体"/>
                <w:color w:val="auto"/>
                <w:sz w:val="24"/>
                <w:highlight w:val="none"/>
              </w:rPr>
            </w:pPr>
            <w:r>
              <w:rPr>
                <w:rFonts w:hint="eastAsia" w:hAnsi="宋体" w:cs="宋体"/>
                <w:color w:val="auto"/>
                <w:sz w:val="24"/>
                <w:highlight w:val="none"/>
              </w:rPr>
              <w:t>4、额定功率（RMS）：≥250W；</w:t>
            </w:r>
          </w:p>
          <w:p w14:paraId="1CC69C1F">
            <w:pPr>
              <w:shd w:val="clear"/>
              <w:spacing w:line="400" w:lineRule="exact"/>
              <w:jc w:val="left"/>
              <w:rPr>
                <w:rFonts w:hAnsi="宋体" w:cs="宋体"/>
                <w:color w:val="auto"/>
                <w:sz w:val="24"/>
                <w:highlight w:val="none"/>
              </w:rPr>
            </w:pPr>
            <w:r>
              <w:rPr>
                <w:rFonts w:hint="eastAsia" w:hAnsi="宋体" w:cs="宋体"/>
                <w:color w:val="auto"/>
                <w:sz w:val="24"/>
                <w:highlight w:val="none"/>
              </w:rPr>
              <w:t>5、峰值功率（PEAK）：≥1000W；</w:t>
            </w:r>
          </w:p>
          <w:p w14:paraId="2B6FBDC4">
            <w:pPr>
              <w:shd w:val="clear"/>
              <w:spacing w:line="400" w:lineRule="exact"/>
              <w:jc w:val="left"/>
              <w:rPr>
                <w:rFonts w:hAnsi="宋体" w:cs="宋体"/>
                <w:color w:val="auto"/>
                <w:sz w:val="24"/>
                <w:highlight w:val="none"/>
              </w:rPr>
            </w:pPr>
            <w:r>
              <w:rPr>
                <w:rFonts w:hint="eastAsia" w:hAnsi="宋体" w:cs="宋体"/>
                <w:color w:val="auto"/>
                <w:sz w:val="24"/>
                <w:highlight w:val="none"/>
              </w:rPr>
              <w:t>6、输出声压级：≥121dB（Continues）/ 127dB（Peak）；</w:t>
            </w:r>
          </w:p>
          <w:p w14:paraId="54F3B65C">
            <w:pPr>
              <w:shd w:val="clear"/>
              <w:spacing w:line="400" w:lineRule="exact"/>
              <w:jc w:val="left"/>
              <w:rPr>
                <w:rFonts w:hAnsi="宋体" w:cs="宋体"/>
                <w:color w:val="auto"/>
                <w:sz w:val="24"/>
                <w:highlight w:val="none"/>
              </w:rPr>
            </w:pPr>
            <w:r>
              <w:rPr>
                <w:rFonts w:hint="eastAsia" w:hAnsi="宋体" w:cs="宋体"/>
                <w:color w:val="auto"/>
                <w:sz w:val="24"/>
                <w:highlight w:val="none"/>
              </w:rPr>
              <w:t>7、频率范围（-10dB）：55Hz-20000Hz；</w:t>
            </w:r>
          </w:p>
          <w:p w14:paraId="63718C4B">
            <w:pPr>
              <w:shd w:val="clear"/>
              <w:spacing w:line="400" w:lineRule="exact"/>
              <w:jc w:val="left"/>
              <w:rPr>
                <w:rFonts w:hAnsi="宋体" w:cs="宋体"/>
                <w:color w:val="auto"/>
                <w:sz w:val="24"/>
                <w:highlight w:val="none"/>
              </w:rPr>
            </w:pPr>
            <w:r>
              <w:rPr>
                <w:rFonts w:hint="eastAsia" w:hAnsi="宋体" w:cs="宋体"/>
                <w:color w:val="auto"/>
                <w:sz w:val="24"/>
                <w:highlight w:val="none"/>
              </w:rPr>
              <w:t>8、覆盖角度（H×V）：90º×60º；</w:t>
            </w:r>
          </w:p>
        </w:tc>
      </w:tr>
      <w:tr w14:paraId="514965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5" w:type="dxa"/>
            <w:vAlign w:val="center"/>
          </w:tcPr>
          <w:p w14:paraId="5AD49AD7">
            <w:pPr>
              <w:shd w:val="clear"/>
              <w:spacing w:line="400" w:lineRule="exact"/>
              <w:jc w:val="center"/>
              <w:rPr>
                <w:rFonts w:ascii="宋体" w:hAnsi="宋体" w:eastAsia="宋体" w:cs="宋体"/>
                <w:color w:val="auto"/>
                <w:sz w:val="24"/>
                <w:highlight w:val="none"/>
                <w:lang w:val="en-US" w:eastAsia="zh-CN" w:bidi="ar-SA"/>
              </w:rPr>
            </w:pPr>
            <w:r>
              <w:rPr>
                <w:rFonts w:hint="eastAsia" w:hAnsi="宋体" w:cs="宋体"/>
                <w:color w:val="auto"/>
                <w:sz w:val="24"/>
                <w:highlight w:val="none"/>
              </w:rPr>
              <w:t>27</w:t>
            </w:r>
          </w:p>
        </w:tc>
        <w:tc>
          <w:tcPr>
            <w:tcW w:w="1596" w:type="dxa"/>
            <w:vAlign w:val="center"/>
          </w:tcPr>
          <w:p w14:paraId="3F36378F">
            <w:pPr>
              <w:shd w:val="clear"/>
              <w:spacing w:line="400" w:lineRule="exact"/>
              <w:jc w:val="center"/>
              <w:rPr>
                <w:rFonts w:hAnsi="宋体" w:cs="宋体"/>
                <w:color w:val="auto"/>
                <w:sz w:val="24"/>
                <w:highlight w:val="none"/>
              </w:rPr>
            </w:pPr>
            <w:r>
              <w:rPr>
                <w:rFonts w:hint="eastAsia" w:hAnsi="宋体" w:cs="宋体"/>
                <w:color w:val="auto"/>
                <w:sz w:val="24"/>
                <w:highlight w:val="none"/>
              </w:rPr>
              <w:t>功率放大器</w:t>
            </w:r>
          </w:p>
        </w:tc>
        <w:tc>
          <w:tcPr>
            <w:tcW w:w="6748" w:type="dxa"/>
          </w:tcPr>
          <w:p w14:paraId="6D5768C0">
            <w:pPr>
              <w:shd w:val="clear"/>
              <w:spacing w:line="400" w:lineRule="exact"/>
              <w:jc w:val="left"/>
              <w:rPr>
                <w:rFonts w:hAnsi="宋体" w:cs="宋体"/>
                <w:b/>
                <w:bCs/>
                <w:color w:val="auto"/>
                <w:sz w:val="24"/>
                <w:highlight w:val="none"/>
              </w:rPr>
            </w:pPr>
            <w:r>
              <w:rPr>
                <w:rFonts w:hint="eastAsia" w:hAnsi="宋体" w:cs="宋体"/>
                <w:color w:val="auto"/>
                <w:sz w:val="24"/>
                <w:highlight w:val="none"/>
              </w:rPr>
              <w:t>1、▲低温贮存试验：试验温度：-10C±2°C，试验时间：2h，试验后样品外观无变化；</w:t>
            </w:r>
            <w:r>
              <w:rPr>
                <w:rFonts w:hint="eastAsia" w:hAnsi="宋体" w:cs="宋体"/>
                <w:b/>
                <w:bCs/>
                <w:color w:val="auto"/>
                <w:sz w:val="24"/>
                <w:highlight w:val="none"/>
              </w:rPr>
              <w:t>(提供国家认可的第三方检测报告，并加盖投标人鲜章)</w:t>
            </w:r>
          </w:p>
          <w:p w14:paraId="1A1FE045">
            <w:pPr>
              <w:shd w:val="clear"/>
              <w:spacing w:line="400" w:lineRule="exact"/>
              <w:jc w:val="left"/>
              <w:rPr>
                <w:rFonts w:hAnsi="宋体" w:cs="宋体"/>
                <w:b/>
                <w:bCs/>
                <w:color w:val="auto"/>
                <w:sz w:val="24"/>
                <w:highlight w:val="none"/>
              </w:rPr>
            </w:pPr>
            <w:r>
              <w:rPr>
                <w:rFonts w:hint="eastAsia" w:hAnsi="宋体" w:cs="宋体"/>
                <w:color w:val="auto"/>
                <w:sz w:val="24"/>
                <w:highlight w:val="none"/>
              </w:rPr>
              <w:t>2、▲高温贮存试验：试验温度：45°C±2C，试验时间：2h，试验后样品外观无变化；</w:t>
            </w:r>
            <w:r>
              <w:rPr>
                <w:rFonts w:hint="eastAsia" w:hAnsi="宋体" w:cs="宋体"/>
                <w:b/>
                <w:bCs/>
                <w:color w:val="auto"/>
                <w:sz w:val="24"/>
                <w:highlight w:val="none"/>
              </w:rPr>
              <w:t>(提供国家认可的第三方检测报告，并加盖投标人鲜章)</w:t>
            </w:r>
          </w:p>
          <w:p w14:paraId="31715309">
            <w:pPr>
              <w:shd w:val="clear"/>
              <w:spacing w:line="400" w:lineRule="exact"/>
              <w:jc w:val="left"/>
              <w:rPr>
                <w:rFonts w:hAnsi="宋体" w:cs="宋体"/>
                <w:b/>
                <w:bCs/>
                <w:color w:val="auto"/>
                <w:sz w:val="24"/>
                <w:highlight w:val="none"/>
              </w:rPr>
            </w:pPr>
            <w:r>
              <w:rPr>
                <w:rFonts w:hint="eastAsia" w:hAnsi="宋体" w:cs="宋体"/>
                <w:color w:val="auto"/>
                <w:sz w:val="24"/>
                <w:highlight w:val="none"/>
              </w:rPr>
              <w:t>3、▲耐压测试：对电源端子与金属外壳之间进行测试：高压1500V/AC（10mA）冲击60s，无飞弧，无击穿；</w:t>
            </w:r>
            <w:r>
              <w:rPr>
                <w:rFonts w:hint="eastAsia" w:hAnsi="宋体" w:cs="宋体"/>
                <w:b/>
                <w:bCs/>
                <w:color w:val="auto"/>
                <w:sz w:val="24"/>
                <w:highlight w:val="none"/>
              </w:rPr>
              <w:t>(提供国家认可的第三方检测报告，并加盖投标人鲜章)</w:t>
            </w:r>
          </w:p>
          <w:p w14:paraId="41F54CD7">
            <w:pPr>
              <w:shd w:val="clear"/>
              <w:spacing w:line="400" w:lineRule="exact"/>
              <w:jc w:val="left"/>
              <w:rPr>
                <w:rFonts w:hAnsi="宋体" w:cs="宋体"/>
                <w:color w:val="auto"/>
                <w:sz w:val="24"/>
                <w:highlight w:val="none"/>
              </w:rPr>
            </w:pPr>
            <w:r>
              <w:rPr>
                <w:rFonts w:hint="eastAsia" w:hAnsi="宋体" w:cs="宋体"/>
                <w:color w:val="auto"/>
                <w:sz w:val="24"/>
                <w:highlight w:val="none"/>
              </w:rPr>
              <w:t>4、频率响应：20Hz~20kHz（±1dB）；</w:t>
            </w:r>
          </w:p>
          <w:p w14:paraId="532FEEAF">
            <w:pPr>
              <w:shd w:val="clear"/>
              <w:spacing w:line="400" w:lineRule="exact"/>
              <w:jc w:val="left"/>
              <w:rPr>
                <w:rFonts w:hAnsi="宋体" w:cs="宋体"/>
                <w:color w:val="auto"/>
                <w:sz w:val="24"/>
                <w:highlight w:val="none"/>
              </w:rPr>
            </w:pPr>
            <w:r>
              <w:rPr>
                <w:rFonts w:hint="eastAsia" w:hAnsi="宋体" w:cs="宋体"/>
                <w:color w:val="auto"/>
                <w:sz w:val="24"/>
                <w:highlight w:val="none"/>
              </w:rPr>
              <w:t>5、总谐波失真：≤0.1%（1kHz，10%额定输出功率）；</w:t>
            </w:r>
          </w:p>
          <w:p w14:paraId="43D0085A">
            <w:pPr>
              <w:shd w:val="clear"/>
              <w:spacing w:line="400" w:lineRule="exact"/>
              <w:jc w:val="left"/>
              <w:rPr>
                <w:rFonts w:hAnsi="宋体" w:cs="宋体"/>
                <w:color w:val="auto"/>
                <w:sz w:val="24"/>
                <w:highlight w:val="none"/>
              </w:rPr>
            </w:pPr>
            <w:r>
              <w:rPr>
                <w:rFonts w:hint="eastAsia" w:hAnsi="宋体" w:cs="宋体"/>
                <w:color w:val="auto"/>
                <w:sz w:val="24"/>
                <w:highlight w:val="none"/>
              </w:rPr>
              <w:t>6、信噪比（A计权）：≥100dB；</w:t>
            </w:r>
          </w:p>
          <w:p w14:paraId="296E8AD1">
            <w:pPr>
              <w:shd w:val="clear"/>
              <w:spacing w:line="400" w:lineRule="exact"/>
              <w:jc w:val="left"/>
              <w:rPr>
                <w:rFonts w:hAnsi="宋体" w:cs="宋体"/>
                <w:color w:val="auto"/>
                <w:sz w:val="24"/>
                <w:highlight w:val="none"/>
              </w:rPr>
            </w:pPr>
            <w:r>
              <w:rPr>
                <w:rFonts w:hint="eastAsia" w:hAnsi="宋体" w:cs="宋体"/>
                <w:color w:val="auto"/>
                <w:sz w:val="24"/>
                <w:highlight w:val="none"/>
              </w:rPr>
              <w:t>7、输入灵敏度（±10%）：0dBu（775mV）；</w:t>
            </w:r>
          </w:p>
          <w:p w14:paraId="5DC4AB3C">
            <w:pPr>
              <w:shd w:val="clear"/>
              <w:spacing w:line="400" w:lineRule="exact"/>
              <w:jc w:val="left"/>
              <w:rPr>
                <w:rFonts w:hAnsi="宋体" w:cs="宋体"/>
                <w:color w:val="auto"/>
                <w:sz w:val="24"/>
                <w:highlight w:val="none"/>
              </w:rPr>
            </w:pPr>
            <w:r>
              <w:rPr>
                <w:rFonts w:hint="eastAsia" w:hAnsi="宋体" w:cs="宋体"/>
                <w:color w:val="auto"/>
                <w:sz w:val="24"/>
                <w:highlight w:val="none"/>
              </w:rPr>
              <w:t>8、额定功率：≥2×450W/8Ω，≥2×675W/4Ω，桥接≥1×1350W/8Ω；</w:t>
            </w:r>
          </w:p>
          <w:p w14:paraId="4B1FF36F">
            <w:pPr>
              <w:shd w:val="clear"/>
              <w:spacing w:line="400" w:lineRule="exact"/>
              <w:jc w:val="left"/>
              <w:rPr>
                <w:rFonts w:hAnsi="宋体" w:cs="宋体"/>
                <w:color w:val="auto"/>
                <w:sz w:val="24"/>
                <w:highlight w:val="none"/>
              </w:rPr>
            </w:pPr>
            <w:r>
              <w:rPr>
                <w:rFonts w:hint="eastAsia" w:hAnsi="宋体" w:cs="宋体"/>
                <w:color w:val="auto"/>
                <w:sz w:val="24"/>
                <w:highlight w:val="none"/>
              </w:rPr>
              <w:t>9、阻尼系数：≥250（8Ω，20~200Hz）；</w:t>
            </w:r>
          </w:p>
        </w:tc>
      </w:tr>
      <w:tr w14:paraId="6BAE55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5" w:type="dxa"/>
            <w:vAlign w:val="center"/>
          </w:tcPr>
          <w:p w14:paraId="10DDE4DC">
            <w:pPr>
              <w:shd w:val="clear"/>
              <w:spacing w:line="400" w:lineRule="exact"/>
              <w:jc w:val="center"/>
              <w:rPr>
                <w:rFonts w:ascii="宋体" w:hAnsi="宋体" w:eastAsia="宋体" w:cs="宋体"/>
                <w:color w:val="auto"/>
                <w:sz w:val="24"/>
                <w:highlight w:val="none"/>
                <w:lang w:val="en-US" w:eastAsia="zh-CN" w:bidi="ar-SA"/>
              </w:rPr>
            </w:pPr>
            <w:r>
              <w:rPr>
                <w:rFonts w:hint="eastAsia" w:hAnsi="宋体" w:cs="宋体"/>
                <w:color w:val="auto"/>
                <w:sz w:val="24"/>
                <w:highlight w:val="none"/>
              </w:rPr>
              <w:t>28</w:t>
            </w:r>
          </w:p>
        </w:tc>
        <w:tc>
          <w:tcPr>
            <w:tcW w:w="1596" w:type="dxa"/>
            <w:vAlign w:val="center"/>
          </w:tcPr>
          <w:p w14:paraId="62936EFD">
            <w:pPr>
              <w:shd w:val="clear"/>
              <w:spacing w:line="400" w:lineRule="exact"/>
              <w:jc w:val="center"/>
              <w:rPr>
                <w:rFonts w:hAnsi="宋体" w:cs="宋体"/>
                <w:color w:val="auto"/>
                <w:sz w:val="24"/>
                <w:highlight w:val="none"/>
              </w:rPr>
            </w:pPr>
            <w:r>
              <w:rPr>
                <w:rFonts w:hint="eastAsia" w:hAnsi="宋体" w:cs="宋体"/>
                <w:color w:val="auto"/>
                <w:sz w:val="24"/>
                <w:highlight w:val="none"/>
              </w:rPr>
              <w:t>数字音频处理器</w:t>
            </w:r>
          </w:p>
        </w:tc>
        <w:tc>
          <w:tcPr>
            <w:tcW w:w="6748" w:type="dxa"/>
          </w:tcPr>
          <w:p w14:paraId="313EB7D3">
            <w:pPr>
              <w:shd w:val="clear"/>
              <w:spacing w:line="400" w:lineRule="exact"/>
              <w:jc w:val="left"/>
              <w:rPr>
                <w:rFonts w:hAnsi="宋体" w:cs="宋体"/>
                <w:b/>
                <w:bCs/>
                <w:color w:val="auto"/>
                <w:sz w:val="24"/>
                <w:highlight w:val="none"/>
              </w:rPr>
            </w:pPr>
            <w:r>
              <w:rPr>
                <w:rFonts w:hint="eastAsia" w:hAnsi="宋体" w:cs="宋体"/>
                <w:color w:val="auto"/>
                <w:sz w:val="24"/>
                <w:highlight w:val="none"/>
              </w:rPr>
              <w:t>1、▲安全测试-抗电强度：对电源L-输入口之间、电源L-输出口之间进行测试，试验条件：1500V/AC，（1min）无飞弧或击穿；</w:t>
            </w:r>
            <w:r>
              <w:rPr>
                <w:rFonts w:hint="eastAsia" w:hAnsi="宋体" w:cs="宋体"/>
                <w:b/>
                <w:bCs/>
                <w:color w:val="auto"/>
                <w:sz w:val="24"/>
                <w:highlight w:val="none"/>
              </w:rPr>
              <w:t>(提供国家认可的第三方检测报告，并加盖投标人鲜章)</w:t>
            </w:r>
          </w:p>
          <w:p w14:paraId="1E893444">
            <w:pPr>
              <w:shd w:val="clear"/>
              <w:spacing w:line="400" w:lineRule="exact"/>
              <w:jc w:val="left"/>
              <w:rPr>
                <w:rFonts w:hAnsi="宋体" w:cs="宋体"/>
                <w:color w:val="auto"/>
                <w:sz w:val="24"/>
                <w:highlight w:val="none"/>
              </w:rPr>
            </w:pPr>
            <w:r>
              <w:rPr>
                <w:rFonts w:hint="eastAsia" w:hAnsi="宋体" w:cs="宋体"/>
                <w:color w:val="auto"/>
                <w:sz w:val="24"/>
                <w:highlight w:val="none"/>
              </w:rPr>
              <w:t>2、接地电阻：外壳（远端）对电线插头接地端接地电阻≤0.1Ω（25A/60s）；</w:t>
            </w:r>
          </w:p>
          <w:p w14:paraId="6858B7FA">
            <w:pPr>
              <w:shd w:val="clear"/>
              <w:spacing w:line="400" w:lineRule="exact"/>
              <w:jc w:val="left"/>
              <w:rPr>
                <w:rFonts w:hAnsi="宋体" w:cs="宋体"/>
                <w:color w:val="auto"/>
                <w:sz w:val="24"/>
                <w:highlight w:val="none"/>
              </w:rPr>
            </w:pPr>
            <w:r>
              <w:rPr>
                <w:rFonts w:hint="eastAsia" w:hAnsi="宋体" w:cs="宋体"/>
                <w:color w:val="auto"/>
                <w:sz w:val="24"/>
                <w:highlight w:val="none"/>
              </w:rPr>
              <w:t>3、信噪比：≥105dBu（A计权）；</w:t>
            </w:r>
          </w:p>
          <w:p w14:paraId="56C9503C">
            <w:pPr>
              <w:shd w:val="clear"/>
              <w:spacing w:line="400" w:lineRule="exact"/>
              <w:jc w:val="left"/>
              <w:rPr>
                <w:rFonts w:hAnsi="宋体" w:cs="宋体"/>
                <w:color w:val="auto"/>
                <w:sz w:val="24"/>
                <w:highlight w:val="none"/>
              </w:rPr>
            </w:pPr>
            <w:r>
              <w:rPr>
                <w:rFonts w:hint="eastAsia" w:hAnsi="宋体" w:cs="宋体"/>
                <w:color w:val="auto"/>
                <w:sz w:val="24"/>
                <w:highlight w:val="none"/>
              </w:rPr>
              <w:t>4、总谐波失真：≤0.1%@1kHz（正常工作条件下）；</w:t>
            </w:r>
          </w:p>
          <w:p w14:paraId="58F15F68">
            <w:pPr>
              <w:shd w:val="clear"/>
              <w:spacing w:line="400" w:lineRule="exact"/>
              <w:jc w:val="left"/>
              <w:rPr>
                <w:rFonts w:hAnsi="宋体" w:cs="宋体"/>
                <w:color w:val="auto"/>
                <w:sz w:val="24"/>
                <w:highlight w:val="none"/>
              </w:rPr>
            </w:pPr>
            <w:r>
              <w:rPr>
                <w:rFonts w:hint="eastAsia" w:hAnsi="宋体" w:cs="宋体"/>
                <w:color w:val="auto"/>
                <w:sz w:val="24"/>
                <w:highlight w:val="none"/>
              </w:rPr>
              <w:t>5、▲信号通道：模拟≥3进≥6出；</w:t>
            </w:r>
            <w:r>
              <w:rPr>
                <w:rFonts w:hint="eastAsia" w:hAnsi="宋体" w:cs="宋体"/>
                <w:b/>
                <w:bCs/>
                <w:color w:val="auto"/>
                <w:sz w:val="24"/>
                <w:highlight w:val="none"/>
              </w:rPr>
              <w:t>(提供国家认可的第三方检测报告，并加盖投标人鲜章)</w:t>
            </w:r>
          </w:p>
        </w:tc>
      </w:tr>
      <w:tr w14:paraId="145E8A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5" w:type="dxa"/>
            <w:vAlign w:val="center"/>
          </w:tcPr>
          <w:p w14:paraId="2AB6ABE6">
            <w:pPr>
              <w:shd w:val="clear"/>
              <w:spacing w:line="400" w:lineRule="exact"/>
              <w:jc w:val="center"/>
              <w:rPr>
                <w:rFonts w:ascii="宋体" w:hAnsi="宋体" w:eastAsia="宋体" w:cs="宋体"/>
                <w:color w:val="auto"/>
                <w:sz w:val="24"/>
                <w:highlight w:val="none"/>
                <w:lang w:val="en-US" w:eastAsia="zh-CN" w:bidi="ar-SA"/>
              </w:rPr>
            </w:pPr>
            <w:r>
              <w:rPr>
                <w:rFonts w:hint="eastAsia" w:hAnsi="宋体" w:cs="宋体"/>
                <w:color w:val="auto"/>
                <w:sz w:val="24"/>
                <w:highlight w:val="none"/>
              </w:rPr>
              <w:t>29</w:t>
            </w:r>
          </w:p>
        </w:tc>
        <w:tc>
          <w:tcPr>
            <w:tcW w:w="1596" w:type="dxa"/>
            <w:vAlign w:val="center"/>
          </w:tcPr>
          <w:p w14:paraId="3B2E5750">
            <w:pPr>
              <w:shd w:val="clear"/>
              <w:spacing w:line="400" w:lineRule="exact"/>
              <w:jc w:val="center"/>
              <w:rPr>
                <w:rFonts w:hAnsi="宋体" w:cs="宋体"/>
                <w:color w:val="auto"/>
                <w:sz w:val="24"/>
                <w:highlight w:val="none"/>
              </w:rPr>
            </w:pPr>
            <w:r>
              <w:rPr>
                <w:rFonts w:hint="eastAsia" w:hAnsi="宋体" w:cs="宋体"/>
                <w:color w:val="auto"/>
                <w:sz w:val="24"/>
                <w:highlight w:val="none"/>
              </w:rPr>
              <w:t>一拖二无线麦克风（手持）</w:t>
            </w:r>
          </w:p>
        </w:tc>
        <w:tc>
          <w:tcPr>
            <w:tcW w:w="6748" w:type="dxa"/>
          </w:tcPr>
          <w:p w14:paraId="22B3CF84">
            <w:pPr>
              <w:shd w:val="clear"/>
              <w:spacing w:line="400" w:lineRule="exact"/>
              <w:jc w:val="left"/>
              <w:rPr>
                <w:rFonts w:hAnsi="宋体" w:cs="宋体"/>
                <w:color w:val="auto"/>
                <w:sz w:val="24"/>
                <w:highlight w:val="none"/>
              </w:rPr>
            </w:pPr>
            <w:r>
              <w:rPr>
                <w:rFonts w:hint="eastAsia" w:hAnsi="宋体" w:cs="宋体"/>
                <w:color w:val="auto"/>
                <w:sz w:val="24"/>
                <w:highlight w:val="none"/>
              </w:rPr>
              <w:t>1、双通道分集式，单机预设≥24个互不干扰频率，可提供≥2000频率自定义选择使用，天线接口采用50Ω/TNC，支持天线环路输出，支持≥8套同型产品射频级联，可以连接天线系统；</w:t>
            </w:r>
          </w:p>
          <w:p w14:paraId="0F1364EB">
            <w:pPr>
              <w:shd w:val="clear"/>
              <w:spacing w:line="400" w:lineRule="exact"/>
              <w:jc w:val="left"/>
              <w:rPr>
                <w:rFonts w:hAnsi="宋体" w:cs="宋体"/>
                <w:color w:val="auto"/>
                <w:sz w:val="24"/>
                <w:highlight w:val="none"/>
              </w:rPr>
            </w:pPr>
            <w:r>
              <w:rPr>
                <w:rFonts w:hint="eastAsia" w:hAnsi="宋体" w:cs="宋体"/>
                <w:color w:val="auto"/>
                <w:sz w:val="24"/>
                <w:highlight w:val="none"/>
              </w:rPr>
              <w:t>2、频率响应：60~15500Hz；</w:t>
            </w:r>
          </w:p>
          <w:p w14:paraId="7CEE6948">
            <w:pPr>
              <w:shd w:val="clear"/>
              <w:spacing w:line="400" w:lineRule="exact"/>
              <w:jc w:val="left"/>
              <w:rPr>
                <w:rFonts w:hAnsi="宋体" w:cs="宋体"/>
                <w:color w:val="auto"/>
                <w:sz w:val="24"/>
                <w:highlight w:val="none"/>
              </w:rPr>
            </w:pPr>
            <w:r>
              <w:rPr>
                <w:rFonts w:hint="eastAsia" w:hAnsi="宋体" w:cs="宋体"/>
                <w:color w:val="auto"/>
                <w:sz w:val="24"/>
                <w:highlight w:val="none"/>
              </w:rPr>
              <w:t>3、最大声压级：≥109dB；</w:t>
            </w:r>
          </w:p>
          <w:p w14:paraId="6CEC96D4">
            <w:pPr>
              <w:shd w:val="clear"/>
              <w:spacing w:line="400" w:lineRule="exact"/>
              <w:jc w:val="left"/>
              <w:rPr>
                <w:rFonts w:hAnsi="宋体" w:cs="宋体"/>
                <w:color w:val="auto"/>
                <w:sz w:val="24"/>
                <w:highlight w:val="none"/>
              </w:rPr>
            </w:pPr>
            <w:r>
              <w:rPr>
                <w:rFonts w:hint="eastAsia" w:hAnsi="宋体" w:cs="宋体"/>
                <w:color w:val="auto"/>
                <w:sz w:val="24"/>
                <w:highlight w:val="none"/>
              </w:rPr>
              <w:t>4、发射器载波频段：530.000~690.000MHz；</w:t>
            </w:r>
          </w:p>
          <w:p w14:paraId="6C87AE21">
            <w:pPr>
              <w:shd w:val="clear"/>
              <w:spacing w:line="400" w:lineRule="exact"/>
              <w:jc w:val="left"/>
              <w:rPr>
                <w:rFonts w:hAnsi="宋体" w:cs="宋体"/>
                <w:color w:val="auto"/>
                <w:sz w:val="24"/>
                <w:highlight w:val="none"/>
              </w:rPr>
            </w:pPr>
            <w:r>
              <w:rPr>
                <w:rFonts w:hint="eastAsia" w:hAnsi="宋体" w:cs="宋体"/>
                <w:color w:val="auto"/>
                <w:sz w:val="24"/>
                <w:highlight w:val="none"/>
              </w:rPr>
              <w:t>5、发射器频率间隔：25KHz；</w:t>
            </w:r>
          </w:p>
          <w:p w14:paraId="3425557A">
            <w:pPr>
              <w:shd w:val="clear"/>
              <w:spacing w:line="400" w:lineRule="exact"/>
              <w:jc w:val="left"/>
              <w:rPr>
                <w:rFonts w:hAnsi="宋体" w:cs="宋体"/>
                <w:color w:val="auto"/>
                <w:sz w:val="24"/>
                <w:highlight w:val="none"/>
              </w:rPr>
            </w:pPr>
            <w:r>
              <w:rPr>
                <w:rFonts w:hint="eastAsia" w:hAnsi="宋体" w:cs="宋体"/>
                <w:color w:val="auto"/>
                <w:sz w:val="24"/>
                <w:highlight w:val="none"/>
              </w:rPr>
              <w:t>6、发射器最大输出功率：≥30mw；</w:t>
            </w:r>
          </w:p>
        </w:tc>
      </w:tr>
      <w:tr w14:paraId="1E8C3F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5" w:type="dxa"/>
            <w:vAlign w:val="center"/>
          </w:tcPr>
          <w:p w14:paraId="174271FA">
            <w:pPr>
              <w:shd w:val="clear"/>
              <w:spacing w:line="400" w:lineRule="exact"/>
              <w:jc w:val="center"/>
              <w:rPr>
                <w:rFonts w:ascii="宋体" w:hAnsi="宋体" w:eastAsia="宋体" w:cs="宋体"/>
                <w:color w:val="auto"/>
                <w:sz w:val="24"/>
                <w:highlight w:val="none"/>
                <w:lang w:val="en-US" w:eastAsia="zh-CN" w:bidi="ar-SA"/>
              </w:rPr>
            </w:pPr>
            <w:r>
              <w:rPr>
                <w:rFonts w:hint="eastAsia" w:hAnsi="宋体" w:cs="宋体"/>
                <w:color w:val="auto"/>
                <w:sz w:val="24"/>
                <w:highlight w:val="none"/>
              </w:rPr>
              <w:t>30</w:t>
            </w:r>
          </w:p>
        </w:tc>
        <w:tc>
          <w:tcPr>
            <w:tcW w:w="1596" w:type="dxa"/>
            <w:vAlign w:val="center"/>
          </w:tcPr>
          <w:p w14:paraId="4A8FEB38">
            <w:pPr>
              <w:shd w:val="clear"/>
              <w:spacing w:line="400" w:lineRule="exact"/>
              <w:jc w:val="center"/>
              <w:rPr>
                <w:rFonts w:hAnsi="宋体" w:cs="宋体"/>
                <w:color w:val="auto"/>
                <w:sz w:val="24"/>
                <w:highlight w:val="none"/>
              </w:rPr>
            </w:pPr>
            <w:r>
              <w:rPr>
                <w:rFonts w:hint="eastAsia" w:hAnsi="宋体" w:cs="宋体"/>
                <w:color w:val="auto"/>
                <w:sz w:val="24"/>
                <w:highlight w:val="none"/>
              </w:rPr>
              <w:t>一拖二无线麦克风（领夹）</w:t>
            </w:r>
          </w:p>
        </w:tc>
        <w:tc>
          <w:tcPr>
            <w:tcW w:w="6748" w:type="dxa"/>
          </w:tcPr>
          <w:p w14:paraId="7CC5FCD4">
            <w:pPr>
              <w:shd w:val="clear"/>
              <w:spacing w:line="400" w:lineRule="exact"/>
              <w:jc w:val="left"/>
              <w:rPr>
                <w:rFonts w:hAnsi="宋体" w:cs="宋体"/>
                <w:color w:val="auto"/>
                <w:sz w:val="24"/>
                <w:highlight w:val="none"/>
              </w:rPr>
            </w:pPr>
            <w:r>
              <w:rPr>
                <w:rFonts w:hint="eastAsia" w:hAnsi="宋体" w:cs="宋体"/>
                <w:color w:val="auto"/>
                <w:sz w:val="24"/>
                <w:highlight w:val="none"/>
              </w:rPr>
              <w:t>1、双通道分集式，单机预设≥24个互不干扰频率，可提供≥2000频率自定义选择使用，天线接口采用50Ω/TNC，支持天线环路输出，支持≥8套同型产品射频级联，可以连接天线系统；</w:t>
            </w:r>
          </w:p>
          <w:p w14:paraId="12885965">
            <w:pPr>
              <w:shd w:val="clear"/>
              <w:spacing w:line="400" w:lineRule="exact"/>
              <w:jc w:val="left"/>
              <w:rPr>
                <w:rFonts w:hAnsi="宋体" w:cs="宋体"/>
                <w:color w:val="auto"/>
                <w:sz w:val="24"/>
                <w:highlight w:val="none"/>
              </w:rPr>
            </w:pPr>
            <w:r>
              <w:rPr>
                <w:rFonts w:hint="eastAsia" w:hAnsi="宋体" w:cs="宋体"/>
                <w:color w:val="auto"/>
                <w:sz w:val="24"/>
                <w:highlight w:val="none"/>
              </w:rPr>
              <w:t>2、频率响应：60~15500Hz；</w:t>
            </w:r>
          </w:p>
          <w:p w14:paraId="1A90522B">
            <w:pPr>
              <w:shd w:val="clear"/>
              <w:spacing w:line="400" w:lineRule="exact"/>
              <w:jc w:val="left"/>
              <w:rPr>
                <w:rFonts w:hAnsi="宋体" w:cs="宋体"/>
                <w:color w:val="auto"/>
                <w:sz w:val="24"/>
                <w:highlight w:val="none"/>
              </w:rPr>
            </w:pPr>
            <w:r>
              <w:rPr>
                <w:rFonts w:hint="eastAsia" w:hAnsi="宋体" w:cs="宋体"/>
                <w:color w:val="auto"/>
                <w:sz w:val="24"/>
                <w:highlight w:val="none"/>
              </w:rPr>
              <w:t>3、最大声压级：≥109dB；</w:t>
            </w:r>
          </w:p>
          <w:p w14:paraId="18BE725B">
            <w:pPr>
              <w:shd w:val="clear"/>
              <w:spacing w:line="400" w:lineRule="exact"/>
              <w:jc w:val="left"/>
              <w:rPr>
                <w:rFonts w:hAnsi="宋体" w:cs="宋体"/>
                <w:color w:val="auto"/>
                <w:sz w:val="24"/>
                <w:highlight w:val="none"/>
              </w:rPr>
            </w:pPr>
            <w:r>
              <w:rPr>
                <w:rFonts w:hint="eastAsia" w:hAnsi="宋体" w:cs="宋体"/>
                <w:color w:val="auto"/>
                <w:sz w:val="24"/>
                <w:highlight w:val="none"/>
              </w:rPr>
              <w:t>4、发射器载波频段：530.000~690.000MHz；</w:t>
            </w:r>
          </w:p>
          <w:p w14:paraId="7E9C7EA5">
            <w:pPr>
              <w:shd w:val="clear"/>
              <w:spacing w:line="400" w:lineRule="exact"/>
              <w:jc w:val="left"/>
              <w:rPr>
                <w:rFonts w:hAnsi="宋体" w:cs="宋体"/>
                <w:color w:val="auto"/>
                <w:sz w:val="24"/>
                <w:highlight w:val="none"/>
              </w:rPr>
            </w:pPr>
            <w:r>
              <w:rPr>
                <w:rFonts w:hint="eastAsia" w:hAnsi="宋体" w:cs="宋体"/>
                <w:color w:val="auto"/>
                <w:sz w:val="24"/>
                <w:highlight w:val="none"/>
              </w:rPr>
              <w:t>5、发射器频率间隔：25KHz；</w:t>
            </w:r>
          </w:p>
          <w:p w14:paraId="0763310D">
            <w:pPr>
              <w:shd w:val="clear"/>
              <w:spacing w:line="400" w:lineRule="exact"/>
              <w:jc w:val="left"/>
              <w:rPr>
                <w:rFonts w:hAnsi="宋体" w:cs="宋体"/>
                <w:color w:val="auto"/>
                <w:sz w:val="24"/>
                <w:highlight w:val="none"/>
              </w:rPr>
            </w:pPr>
            <w:r>
              <w:rPr>
                <w:rFonts w:hint="eastAsia" w:hAnsi="宋体" w:cs="宋体"/>
                <w:color w:val="auto"/>
                <w:sz w:val="24"/>
                <w:highlight w:val="none"/>
              </w:rPr>
              <w:t>6、发射器最大输出功率：≥30mw；</w:t>
            </w:r>
          </w:p>
        </w:tc>
      </w:tr>
      <w:tr w14:paraId="7DD683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5" w:type="dxa"/>
            <w:vAlign w:val="center"/>
          </w:tcPr>
          <w:p w14:paraId="1F00399A">
            <w:pPr>
              <w:shd w:val="clear"/>
              <w:spacing w:line="400" w:lineRule="exact"/>
              <w:jc w:val="center"/>
              <w:rPr>
                <w:rFonts w:ascii="宋体" w:hAnsi="宋体" w:eastAsia="宋体" w:cs="宋体"/>
                <w:color w:val="auto"/>
                <w:sz w:val="24"/>
                <w:highlight w:val="none"/>
                <w:lang w:val="en-US" w:eastAsia="zh-CN" w:bidi="ar-SA"/>
              </w:rPr>
            </w:pPr>
            <w:r>
              <w:rPr>
                <w:rFonts w:hint="eastAsia" w:hAnsi="宋体" w:cs="宋体"/>
                <w:color w:val="auto"/>
                <w:sz w:val="24"/>
                <w:highlight w:val="none"/>
              </w:rPr>
              <w:t>31</w:t>
            </w:r>
          </w:p>
        </w:tc>
        <w:tc>
          <w:tcPr>
            <w:tcW w:w="1596" w:type="dxa"/>
            <w:vAlign w:val="center"/>
          </w:tcPr>
          <w:p w14:paraId="7FC4A49F">
            <w:pPr>
              <w:shd w:val="clear"/>
              <w:spacing w:line="400" w:lineRule="exact"/>
              <w:jc w:val="center"/>
              <w:rPr>
                <w:rFonts w:hAnsi="宋体" w:cs="宋体"/>
                <w:color w:val="auto"/>
                <w:sz w:val="24"/>
                <w:highlight w:val="none"/>
              </w:rPr>
            </w:pPr>
            <w:r>
              <w:rPr>
                <w:rFonts w:hint="eastAsia" w:hAnsi="宋体" w:cs="宋体"/>
                <w:color w:val="auto"/>
                <w:sz w:val="24"/>
                <w:highlight w:val="none"/>
              </w:rPr>
              <w:t>电源时序器</w:t>
            </w:r>
          </w:p>
        </w:tc>
        <w:tc>
          <w:tcPr>
            <w:tcW w:w="6748" w:type="dxa"/>
          </w:tcPr>
          <w:p w14:paraId="06AAA9AD">
            <w:pPr>
              <w:shd w:val="clear"/>
              <w:spacing w:line="400" w:lineRule="exact"/>
              <w:jc w:val="left"/>
              <w:rPr>
                <w:rFonts w:hAnsi="宋体" w:cs="宋体"/>
                <w:color w:val="auto"/>
                <w:sz w:val="24"/>
                <w:highlight w:val="none"/>
              </w:rPr>
            </w:pPr>
            <w:r>
              <w:rPr>
                <w:rFonts w:hint="eastAsia" w:hAnsi="宋体" w:cs="宋体"/>
                <w:color w:val="auto"/>
                <w:sz w:val="24"/>
                <w:highlight w:val="none"/>
              </w:rPr>
              <w:t>1、低温贮存试验：试验温度：-10C±2°C，试验时间：2h，试验后样品外观无变化；</w:t>
            </w:r>
          </w:p>
          <w:p w14:paraId="63D8459A">
            <w:pPr>
              <w:shd w:val="clear"/>
              <w:spacing w:line="400" w:lineRule="exact"/>
              <w:jc w:val="left"/>
              <w:rPr>
                <w:rFonts w:hAnsi="宋体" w:cs="宋体"/>
                <w:color w:val="auto"/>
                <w:sz w:val="24"/>
                <w:highlight w:val="none"/>
              </w:rPr>
            </w:pPr>
            <w:r>
              <w:rPr>
                <w:rFonts w:hint="eastAsia" w:hAnsi="宋体" w:cs="宋体"/>
                <w:color w:val="auto"/>
                <w:sz w:val="24"/>
                <w:highlight w:val="none"/>
              </w:rPr>
              <w:t>2、高温贮存试验：试验温度：45°C±2C，试验时间：2h，试验后样品外观无变化；</w:t>
            </w:r>
          </w:p>
          <w:p w14:paraId="1F458204">
            <w:pPr>
              <w:shd w:val="clear"/>
              <w:spacing w:line="400" w:lineRule="exact"/>
              <w:jc w:val="left"/>
              <w:rPr>
                <w:rFonts w:hAnsi="宋体" w:cs="宋体"/>
                <w:b/>
                <w:bCs/>
                <w:color w:val="auto"/>
                <w:sz w:val="24"/>
                <w:highlight w:val="none"/>
              </w:rPr>
            </w:pPr>
            <w:r>
              <w:rPr>
                <w:rFonts w:hint="eastAsia" w:hAnsi="宋体" w:cs="宋体"/>
                <w:color w:val="auto"/>
                <w:sz w:val="24"/>
                <w:highlight w:val="none"/>
              </w:rPr>
              <w:t>3、▲耐压测试：在高压1.5KV（10mA）下冲击60s无损坏；</w:t>
            </w:r>
            <w:r>
              <w:rPr>
                <w:rFonts w:hint="eastAsia" w:hAnsi="宋体" w:cs="宋体"/>
                <w:b/>
                <w:bCs/>
                <w:color w:val="auto"/>
                <w:sz w:val="24"/>
                <w:highlight w:val="none"/>
              </w:rPr>
              <w:t>(提供国家认可的第三方检测报告，并加盖投标人鲜章)</w:t>
            </w:r>
          </w:p>
          <w:p w14:paraId="1E3C3FE0">
            <w:pPr>
              <w:shd w:val="clear"/>
              <w:spacing w:line="400" w:lineRule="exact"/>
              <w:jc w:val="left"/>
              <w:rPr>
                <w:rFonts w:hAnsi="宋体" w:cs="宋体"/>
                <w:color w:val="auto"/>
                <w:sz w:val="24"/>
                <w:highlight w:val="none"/>
              </w:rPr>
            </w:pPr>
            <w:r>
              <w:rPr>
                <w:rFonts w:hint="eastAsia" w:hAnsi="宋体" w:cs="宋体"/>
                <w:color w:val="auto"/>
                <w:sz w:val="24"/>
                <w:highlight w:val="none"/>
              </w:rPr>
              <w:t>4、工作电压：AC180V～240V，50Hz/60Hz；额定输出电压：AC220V；</w:t>
            </w:r>
          </w:p>
          <w:p w14:paraId="29CB0077">
            <w:pPr>
              <w:shd w:val="clear"/>
              <w:spacing w:line="400" w:lineRule="exact"/>
              <w:jc w:val="left"/>
              <w:rPr>
                <w:rFonts w:hAnsi="宋体" w:cs="宋体"/>
                <w:color w:val="auto"/>
                <w:sz w:val="24"/>
                <w:highlight w:val="none"/>
              </w:rPr>
            </w:pPr>
            <w:r>
              <w:rPr>
                <w:rFonts w:hint="eastAsia" w:hAnsi="宋体" w:cs="宋体"/>
                <w:color w:val="auto"/>
                <w:sz w:val="24"/>
                <w:highlight w:val="none"/>
              </w:rPr>
              <w:t>5、可控电源路数：≥8路；每路可控时间：0～999秒（可编辑）；</w:t>
            </w:r>
          </w:p>
          <w:p w14:paraId="1D7CEDA3">
            <w:pPr>
              <w:shd w:val="clear"/>
              <w:spacing w:line="400" w:lineRule="exact"/>
              <w:jc w:val="left"/>
              <w:rPr>
                <w:rFonts w:hAnsi="宋体" w:cs="宋体"/>
                <w:color w:val="auto"/>
                <w:sz w:val="24"/>
                <w:highlight w:val="none"/>
              </w:rPr>
            </w:pPr>
            <w:r>
              <w:rPr>
                <w:rFonts w:hint="eastAsia" w:hAnsi="宋体" w:cs="宋体"/>
                <w:color w:val="auto"/>
                <w:sz w:val="24"/>
                <w:highlight w:val="none"/>
              </w:rPr>
              <w:t>6、显示方式：≥2英寸彩色液晶屏，显示当前电压，时间，通道状态；</w:t>
            </w:r>
          </w:p>
          <w:p w14:paraId="1669D294">
            <w:pPr>
              <w:shd w:val="clear"/>
              <w:spacing w:line="400" w:lineRule="exact"/>
              <w:jc w:val="left"/>
              <w:rPr>
                <w:rFonts w:hAnsi="宋体" w:cs="宋体"/>
                <w:b/>
                <w:bCs/>
                <w:color w:val="auto"/>
                <w:sz w:val="24"/>
                <w:highlight w:val="none"/>
              </w:rPr>
            </w:pPr>
            <w:r>
              <w:rPr>
                <w:rFonts w:hint="eastAsia" w:hAnsi="宋体" w:cs="宋体"/>
                <w:color w:val="auto"/>
                <w:sz w:val="24"/>
                <w:highlight w:val="none"/>
              </w:rPr>
              <w:t>7、▲存储模式：≥8组；调用模式：≥9组；波特率：≥6组（可编辑）；机器ID：≥255组（可编辑）；</w:t>
            </w:r>
            <w:r>
              <w:rPr>
                <w:rFonts w:hint="eastAsia" w:hAnsi="宋体" w:cs="宋体"/>
                <w:b/>
                <w:bCs/>
                <w:color w:val="auto"/>
                <w:sz w:val="24"/>
                <w:highlight w:val="none"/>
              </w:rPr>
              <w:t>(提供国家认可的第三方检测报告，并加盖投标人鲜章)</w:t>
            </w:r>
          </w:p>
          <w:p w14:paraId="27F990DE">
            <w:pPr>
              <w:shd w:val="clear"/>
              <w:spacing w:line="400" w:lineRule="exact"/>
              <w:jc w:val="left"/>
              <w:rPr>
                <w:rFonts w:hAnsi="宋体" w:cs="宋体"/>
                <w:color w:val="auto"/>
                <w:sz w:val="24"/>
                <w:highlight w:val="none"/>
              </w:rPr>
            </w:pPr>
            <w:r>
              <w:rPr>
                <w:rFonts w:hint="eastAsia" w:hAnsi="宋体" w:cs="宋体"/>
                <w:color w:val="auto"/>
                <w:sz w:val="24"/>
                <w:highlight w:val="none"/>
                <w:lang w:val="en-US" w:eastAsia="zh-CN"/>
              </w:rPr>
              <w:t>8</w:t>
            </w:r>
            <w:r>
              <w:rPr>
                <w:rFonts w:hint="eastAsia" w:hAnsi="宋体" w:cs="宋体"/>
                <w:color w:val="auto"/>
                <w:sz w:val="24"/>
                <w:highlight w:val="none"/>
              </w:rPr>
              <w:t>、串口：RS-232*≥1；线控接口3.5-2P凤凰端子*≥1；输出插座：≥10个国标五孔插座；级联插座：两芯6.35mm插口输入*1，两芯6.35mm插口输出*1；USB照明灯插座：USB*≥1（DC5V输出）；</w:t>
            </w:r>
          </w:p>
          <w:p w14:paraId="57165744">
            <w:pPr>
              <w:shd w:val="clear"/>
              <w:spacing w:line="400" w:lineRule="exact"/>
              <w:jc w:val="left"/>
              <w:rPr>
                <w:rFonts w:hAnsi="宋体" w:cs="宋体"/>
                <w:color w:val="auto"/>
                <w:sz w:val="24"/>
                <w:highlight w:val="none"/>
              </w:rPr>
            </w:pPr>
            <w:r>
              <w:rPr>
                <w:rFonts w:hint="eastAsia" w:hAnsi="宋体" w:cs="宋体"/>
                <w:color w:val="auto"/>
                <w:sz w:val="24"/>
                <w:highlight w:val="none"/>
                <w:lang w:val="en-US" w:eastAsia="zh-CN"/>
              </w:rPr>
              <w:t>9</w:t>
            </w:r>
            <w:r>
              <w:rPr>
                <w:rFonts w:hint="eastAsia" w:hAnsi="宋体" w:cs="宋体"/>
                <w:color w:val="auto"/>
                <w:sz w:val="24"/>
                <w:highlight w:val="none"/>
              </w:rPr>
              <w:t>、额定总输出电流：≥30A；可控通道额定输出电流：1～4路≥10A，5～8路≥16A；辅助通道额定输出电流：≥10A（前面板2路为辅助通道，不受时序控制）；</w:t>
            </w:r>
          </w:p>
        </w:tc>
      </w:tr>
      <w:tr w14:paraId="707E29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5" w:type="dxa"/>
            <w:vAlign w:val="center"/>
          </w:tcPr>
          <w:p w14:paraId="4F078655">
            <w:pPr>
              <w:shd w:val="clear"/>
              <w:spacing w:line="400" w:lineRule="exact"/>
              <w:jc w:val="center"/>
              <w:rPr>
                <w:rFonts w:ascii="宋体" w:hAnsi="宋体" w:eastAsia="宋体" w:cs="宋体"/>
                <w:color w:val="auto"/>
                <w:sz w:val="24"/>
                <w:highlight w:val="none"/>
                <w:lang w:val="en-US" w:eastAsia="zh-CN" w:bidi="ar-SA"/>
              </w:rPr>
            </w:pPr>
            <w:r>
              <w:rPr>
                <w:rFonts w:hint="eastAsia" w:hAnsi="宋体" w:cs="宋体"/>
                <w:color w:val="auto"/>
                <w:sz w:val="24"/>
                <w:highlight w:val="none"/>
              </w:rPr>
              <w:t>32</w:t>
            </w:r>
          </w:p>
        </w:tc>
        <w:tc>
          <w:tcPr>
            <w:tcW w:w="1596" w:type="dxa"/>
            <w:vAlign w:val="center"/>
          </w:tcPr>
          <w:p w14:paraId="6A9BCC10">
            <w:pPr>
              <w:shd w:val="clear"/>
              <w:spacing w:line="400" w:lineRule="exact"/>
              <w:jc w:val="center"/>
              <w:rPr>
                <w:rFonts w:hAnsi="宋体" w:cs="宋体"/>
                <w:color w:val="auto"/>
                <w:sz w:val="24"/>
                <w:highlight w:val="none"/>
              </w:rPr>
            </w:pPr>
            <w:r>
              <w:rPr>
                <w:rFonts w:hint="eastAsia" w:hAnsi="宋体" w:cs="宋体"/>
                <w:color w:val="auto"/>
                <w:sz w:val="24"/>
                <w:highlight w:val="none"/>
              </w:rPr>
              <w:t>控制柜</w:t>
            </w:r>
          </w:p>
        </w:tc>
        <w:tc>
          <w:tcPr>
            <w:tcW w:w="6748" w:type="dxa"/>
          </w:tcPr>
          <w:p w14:paraId="4C9FC992">
            <w:pPr>
              <w:shd w:val="clear"/>
              <w:spacing w:line="400" w:lineRule="exact"/>
              <w:jc w:val="left"/>
              <w:rPr>
                <w:rFonts w:hAnsi="宋体" w:cs="宋体"/>
                <w:color w:val="auto"/>
                <w:sz w:val="24"/>
                <w:highlight w:val="none"/>
              </w:rPr>
            </w:pPr>
            <w:r>
              <w:rPr>
                <w:rFonts w:hint="eastAsia" w:hAnsi="宋体" w:cs="宋体"/>
                <w:color w:val="auto"/>
                <w:sz w:val="24"/>
                <w:highlight w:val="none"/>
              </w:rPr>
              <w:t>1、一体式设计，对扩音设备集中控制管理，含电源控制模块、网络模块；外观：全框架结构,配可调节支撑行走脚轮4只；</w:t>
            </w:r>
          </w:p>
          <w:p w14:paraId="726AE94C">
            <w:pPr>
              <w:shd w:val="clear"/>
              <w:spacing w:line="400" w:lineRule="exact"/>
              <w:jc w:val="left"/>
              <w:rPr>
                <w:rFonts w:hAnsi="宋体" w:cs="宋体"/>
                <w:color w:val="auto"/>
                <w:sz w:val="24"/>
                <w:highlight w:val="none"/>
              </w:rPr>
            </w:pPr>
            <w:r>
              <w:rPr>
                <w:rFonts w:hint="eastAsia" w:hAnsi="宋体" w:cs="宋体"/>
                <w:color w:val="auto"/>
                <w:sz w:val="24"/>
                <w:highlight w:val="none"/>
              </w:rPr>
              <w:t>2、散热：旋转式散热风口，符合19英寸标准；</w:t>
            </w:r>
          </w:p>
          <w:p w14:paraId="7543600A">
            <w:pPr>
              <w:shd w:val="clear"/>
              <w:spacing w:line="400" w:lineRule="exact"/>
              <w:jc w:val="left"/>
              <w:rPr>
                <w:rFonts w:hAnsi="宋体" w:cs="宋体"/>
                <w:color w:val="auto"/>
                <w:sz w:val="24"/>
                <w:highlight w:val="none"/>
              </w:rPr>
            </w:pPr>
            <w:r>
              <w:rPr>
                <w:rFonts w:hint="eastAsia" w:hAnsi="宋体" w:cs="宋体"/>
                <w:color w:val="auto"/>
                <w:sz w:val="24"/>
                <w:highlight w:val="none"/>
              </w:rPr>
              <w:t>3、规格：≥1200mm*600mm*1000mm；</w:t>
            </w:r>
          </w:p>
        </w:tc>
      </w:tr>
      <w:tr w14:paraId="7D88D8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5" w:type="dxa"/>
            <w:vAlign w:val="center"/>
          </w:tcPr>
          <w:p w14:paraId="4C451248">
            <w:pPr>
              <w:shd w:val="clear"/>
              <w:spacing w:line="400" w:lineRule="exact"/>
              <w:jc w:val="center"/>
              <w:rPr>
                <w:rFonts w:ascii="宋体" w:hAnsi="宋体" w:eastAsia="宋体" w:cs="宋体"/>
                <w:color w:val="auto"/>
                <w:sz w:val="24"/>
                <w:highlight w:val="none"/>
                <w:lang w:val="en-US" w:eastAsia="zh-CN" w:bidi="ar-SA"/>
              </w:rPr>
            </w:pPr>
            <w:r>
              <w:rPr>
                <w:rFonts w:hint="eastAsia" w:hAnsi="宋体" w:cs="宋体"/>
                <w:color w:val="auto"/>
                <w:sz w:val="24"/>
                <w:highlight w:val="none"/>
              </w:rPr>
              <w:t>33</w:t>
            </w:r>
          </w:p>
        </w:tc>
        <w:tc>
          <w:tcPr>
            <w:tcW w:w="1596" w:type="dxa"/>
            <w:vAlign w:val="center"/>
          </w:tcPr>
          <w:p w14:paraId="1CDF16E9">
            <w:pPr>
              <w:shd w:val="clear"/>
              <w:spacing w:line="400" w:lineRule="exact"/>
              <w:jc w:val="center"/>
              <w:rPr>
                <w:rFonts w:hAnsi="宋体" w:cs="宋体"/>
                <w:color w:val="auto"/>
                <w:sz w:val="24"/>
                <w:highlight w:val="none"/>
              </w:rPr>
            </w:pPr>
            <w:r>
              <w:rPr>
                <w:rFonts w:hint="eastAsia" w:hAnsi="宋体" w:cs="宋体"/>
                <w:color w:val="auto"/>
                <w:sz w:val="24"/>
                <w:highlight w:val="none"/>
              </w:rPr>
              <w:t>主播话筒</w:t>
            </w:r>
          </w:p>
        </w:tc>
        <w:tc>
          <w:tcPr>
            <w:tcW w:w="6748" w:type="dxa"/>
          </w:tcPr>
          <w:p w14:paraId="216011E3">
            <w:pPr>
              <w:shd w:val="clear"/>
              <w:spacing w:line="400" w:lineRule="exact"/>
              <w:jc w:val="left"/>
              <w:rPr>
                <w:rFonts w:hAnsi="宋体" w:cs="宋体"/>
                <w:color w:val="auto"/>
                <w:sz w:val="24"/>
                <w:highlight w:val="none"/>
              </w:rPr>
            </w:pPr>
            <w:r>
              <w:rPr>
                <w:rFonts w:hint="eastAsia" w:hAnsi="宋体" w:cs="宋体"/>
                <w:color w:val="auto"/>
                <w:sz w:val="24"/>
                <w:highlight w:val="none"/>
              </w:rPr>
              <w:t>1、频率范围：20-20000Hz；</w:t>
            </w:r>
          </w:p>
          <w:p w14:paraId="323C0DBB">
            <w:pPr>
              <w:shd w:val="clear"/>
              <w:spacing w:line="400" w:lineRule="exact"/>
              <w:jc w:val="left"/>
              <w:rPr>
                <w:rFonts w:hAnsi="宋体" w:cs="宋体"/>
                <w:color w:val="auto"/>
                <w:sz w:val="24"/>
                <w:highlight w:val="none"/>
              </w:rPr>
            </w:pPr>
            <w:r>
              <w:rPr>
                <w:rFonts w:hint="eastAsia" w:hAnsi="宋体" w:cs="宋体"/>
                <w:color w:val="auto"/>
                <w:sz w:val="24"/>
                <w:highlight w:val="none"/>
              </w:rPr>
              <w:t>2、指向性：超心型；</w:t>
            </w:r>
          </w:p>
          <w:p w14:paraId="3FB4B90B">
            <w:pPr>
              <w:shd w:val="clear"/>
              <w:spacing w:line="400" w:lineRule="exact"/>
              <w:jc w:val="left"/>
              <w:rPr>
                <w:rFonts w:hAnsi="宋体" w:cs="宋体"/>
                <w:color w:val="auto"/>
                <w:sz w:val="24"/>
                <w:highlight w:val="none"/>
              </w:rPr>
            </w:pPr>
            <w:r>
              <w:rPr>
                <w:rFonts w:hint="eastAsia" w:hAnsi="宋体" w:cs="宋体"/>
                <w:color w:val="auto"/>
                <w:sz w:val="24"/>
                <w:highlight w:val="none"/>
              </w:rPr>
              <w:t>3、拾音角度≥120°；</w:t>
            </w:r>
          </w:p>
          <w:p w14:paraId="149F07CE">
            <w:pPr>
              <w:shd w:val="clear"/>
              <w:spacing w:line="400" w:lineRule="exact"/>
              <w:jc w:val="left"/>
              <w:rPr>
                <w:rFonts w:hAnsi="宋体" w:cs="宋体"/>
                <w:color w:val="auto"/>
                <w:sz w:val="24"/>
                <w:highlight w:val="none"/>
              </w:rPr>
            </w:pPr>
            <w:r>
              <w:rPr>
                <w:rFonts w:hint="eastAsia" w:hAnsi="宋体" w:cs="宋体"/>
                <w:color w:val="auto"/>
                <w:sz w:val="24"/>
                <w:highlight w:val="none"/>
              </w:rPr>
              <w:t>4、最大声压级≥138dB；</w:t>
            </w:r>
          </w:p>
          <w:p w14:paraId="1C63FED2">
            <w:pPr>
              <w:shd w:val="clear"/>
              <w:spacing w:line="400" w:lineRule="exact"/>
              <w:jc w:val="left"/>
              <w:rPr>
                <w:rFonts w:hAnsi="宋体" w:cs="宋体"/>
                <w:color w:val="auto"/>
                <w:sz w:val="24"/>
                <w:highlight w:val="none"/>
              </w:rPr>
            </w:pPr>
            <w:r>
              <w:rPr>
                <w:rFonts w:hint="eastAsia" w:hAnsi="宋体" w:cs="宋体"/>
                <w:color w:val="auto"/>
                <w:sz w:val="24"/>
                <w:highlight w:val="none"/>
              </w:rPr>
              <w:t>5、灵敏度：-30dB（20mV/Pa）；</w:t>
            </w:r>
          </w:p>
          <w:p w14:paraId="0E2111A9">
            <w:pPr>
              <w:shd w:val="clear"/>
              <w:spacing w:line="400" w:lineRule="exact"/>
              <w:jc w:val="left"/>
              <w:rPr>
                <w:rFonts w:hAnsi="宋体" w:cs="宋体"/>
                <w:color w:val="auto"/>
                <w:sz w:val="24"/>
                <w:highlight w:val="none"/>
              </w:rPr>
            </w:pPr>
            <w:r>
              <w:rPr>
                <w:rFonts w:hint="eastAsia" w:hAnsi="宋体" w:cs="宋体"/>
                <w:color w:val="auto"/>
                <w:sz w:val="24"/>
                <w:highlight w:val="none"/>
              </w:rPr>
              <w:t>6、信噪比≥78dB；</w:t>
            </w:r>
          </w:p>
        </w:tc>
      </w:tr>
      <w:tr w14:paraId="723A68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5" w:type="dxa"/>
            <w:vAlign w:val="center"/>
          </w:tcPr>
          <w:p w14:paraId="2177C171">
            <w:pPr>
              <w:shd w:val="clear"/>
              <w:spacing w:line="400" w:lineRule="exact"/>
              <w:jc w:val="center"/>
              <w:rPr>
                <w:rFonts w:ascii="宋体" w:hAnsi="宋体" w:eastAsia="宋体" w:cs="宋体"/>
                <w:color w:val="auto"/>
                <w:sz w:val="24"/>
                <w:highlight w:val="none"/>
                <w:lang w:val="en-US" w:eastAsia="zh-CN" w:bidi="ar-SA"/>
              </w:rPr>
            </w:pPr>
            <w:r>
              <w:rPr>
                <w:rFonts w:hint="eastAsia" w:hAnsi="宋体" w:cs="宋体"/>
                <w:color w:val="auto"/>
                <w:sz w:val="24"/>
                <w:highlight w:val="none"/>
              </w:rPr>
              <w:t>34</w:t>
            </w:r>
          </w:p>
        </w:tc>
        <w:tc>
          <w:tcPr>
            <w:tcW w:w="1596" w:type="dxa"/>
            <w:vAlign w:val="center"/>
          </w:tcPr>
          <w:p w14:paraId="22AF3A2B">
            <w:pPr>
              <w:shd w:val="clear"/>
              <w:spacing w:line="400" w:lineRule="exact"/>
              <w:jc w:val="center"/>
              <w:rPr>
                <w:rFonts w:ascii="宋体" w:hAnsi="宋体" w:eastAsia="宋体" w:cs="宋体"/>
                <w:color w:val="auto"/>
                <w:sz w:val="24"/>
                <w:highlight w:val="none"/>
                <w:lang w:val="en-US" w:eastAsia="zh-CN" w:bidi="ar-SA"/>
              </w:rPr>
            </w:pPr>
            <w:r>
              <w:rPr>
                <w:rFonts w:hint="eastAsia" w:hAnsi="宋体" w:cs="宋体"/>
                <w:color w:val="auto"/>
                <w:sz w:val="24"/>
                <w:highlight w:val="none"/>
              </w:rPr>
              <w:t>音响系统集成(含线材、接插件)</w:t>
            </w:r>
          </w:p>
        </w:tc>
        <w:tc>
          <w:tcPr>
            <w:tcW w:w="6748" w:type="dxa"/>
            <w:vAlign w:val="top"/>
          </w:tcPr>
          <w:p w14:paraId="18DFAB52">
            <w:pPr>
              <w:shd w:val="clear"/>
              <w:spacing w:line="400" w:lineRule="exact"/>
              <w:jc w:val="left"/>
              <w:rPr>
                <w:rFonts w:hAnsi="宋体" w:cs="宋体"/>
                <w:color w:val="auto"/>
                <w:sz w:val="24"/>
                <w:highlight w:val="none"/>
              </w:rPr>
            </w:pPr>
            <w:r>
              <w:rPr>
                <w:rFonts w:hint="eastAsia" w:hAnsi="宋体" w:cs="宋体"/>
                <w:color w:val="auto"/>
                <w:sz w:val="24"/>
                <w:highlight w:val="none"/>
              </w:rPr>
              <w:t>1、所有灯光系统设备的运输、安装、调试、培训以及维保服务（包括线材、管材、辅材、耗材及人工）；</w:t>
            </w:r>
          </w:p>
          <w:p w14:paraId="3E125AB0">
            <w:pPr>
              <w:shd w:val="clear"/>
              <w:spacing w:line="400" w:lineRule="exact"/>
              <w:jc w:val="left"/>
              <w:rPr>
                <w:rFonts w:ascii="宋体" w:hAnsi="宋体" w:eastAsia="宋体" w:cs="宋体"/>
                <w:color w:val="auto"/>
                <w:sz w:val="24"/>
                <w:highlight w:val="none"/>
                <w:lang w:val="en-US" w:eastAsia="zh-CN" w:bidi="ar-SA"/>
              </w:rPr>
            </w:pPr>
            <w:r>
              <w:rPr>
                <w:rFonts w:hint="eastAsia" w:hAnsi="宋体" w:cs="宋体"/>
                <w:color w:val="auto"/>
                <w:sz w:val="24"/>
                <w:highlight w:val="none"/>
              </w:rPr>
              <w:t>2、要求完全按照招标要求和使用单位实际需求进行集成实施，留有足够的冗余；</w:t>
            </w:r>
          </w:p>
        </w:tc>
      </w:tr>
      <w:tr w14:paraId="32A14D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5" w:type="dxa"/>
            <w:vAlign w:val="center"/>
          </w:tcPr>
          <w:p w14:paraId="247E5956">
            <w:pPr>
              <w:shd w:val="clear"/>
              <w:spacing w:line="400" w:lineRule="exact"/>
              <w:jc w:val="center"/>
              <w:rPr>
                <w:rFonts w:ascii="宋体" w:hAnsi="宋体" w:eastAsia="宋体" w:cs="宋体"/>
                <w:color w:val="auto"/>
                <w:sz w:val="24"/>
                <w:highlight w:val="none"/>
                <w:lang w:val="en-US" w:eastAsia="zh-CN" w:bidi="ar-SA"/>
              </w:rPr>
            </w:pPr>
            <w:r>
              <w:rPr>
                <w:rFonts w:hint="eastAsia" w:hAnsi="宋体" w:cs="宋体"/>
                <w:color w:val="auto"/>
                <w:sz w:val="24"/>
                <w:highlight w:val="none"/>
              </w:rPr>
              <w:t>35</w:t>
            </w:r>
          </w:p>
        </w:tc>
        <w:tc>
          <w:tcPr>
            <w:tcW w:w="1596" w:type="dxa"/>
            <w:vAlign w:val="center"/>
          </w:tcPr>
          <w:p w14:paraId="285F1B5C">
            <w:pPr>
              <w:shd w:val="clear"/>
              <w:spacing w:line="400" w:lineRule="exact"/>
              <w:jc w:val="center"/>
              <w:rPr>
                <w:rFonts w:ascii="宋体" w:hAnsi="宋体" w:eastAsia="宋体" w:cs="宋体"/>
                <w:color w:val="auto"/>
                <w:sz w:val="24"/>
                <w:highlight w:val="none"/>
                <w:lang w:val="en-US" w:eastAsia="zh-CN" w:bidi="ar-SA"/>
              </w:rPr>
            </w:pPr>
            <w:r>
              <w:rPr>
                <w:rFonts w:hint="eastAsia" w:hAnsi="宋体" w:cs="宋体"/>
                <w:color w:val="auto"/>
                <w:sz w:val="24"/>
                <w:highlight w:val="none"/>
              </w:rPr>
              <w:t>录音室桌</w:t>
            </w:r>
          </w:p>
        </w:tc>
        <w:tc>
          <w:tcPr>
            <w:tcW w:w="6748" w:type="dxa"/>
            <w:vAlign w:val="top"/>
          </w:tcPr>
          <w:p w14:paraId="3B2A62AB">
            <w:pPr>
              <w:shd w:val="clear"/>
              <w:spacing w:line="400" w:lineRule="exact"/>
              <w:jc w:val="left"/>
              <w:rPr>
                <w:rFonts w:hAnsi="宋体" w:cs="宋体"/>
                <w:color w:val="auto"/>
                <w:sz w:val="24"/>
                <w:highlight w:val="none"/>
              </w:rPr>
            </w:pPr>
            <w:r>
              <w:rPr>
                <w:rFonts w:hint="eastAsia" w:hAnsi="宋体" w:cs="宋体"/>
                <w:color w:val="auto"/>
                <w:sz w:val="24"/>
                <w:highlight w:val="none"/>
              </w:rPr>
              <w:t>1、规格≥1200mm*700mm*750mm(长*宽*高）；</w:t>
            </w:r>
          </w:p>
          <w:p w14:paraId="2420F274">
            <w:pPr>
              <w:shd w:val="clear"/>
              <w:spacing w:line="400" w:lineRule="exact"/>
              <w:jc w:val="left"/>
              <w:rPr>
                <w:rFonts w:hAnsi="宋体" w:cs="宋体"/>
                <w:color w:val="auto"/>
                <w:sz w:val="24"/>
                <w:highlight w:val="none"/>
              </w:rPr>
            </w:pPr>
            <w:r>
              <w:rPr>
                <w:rFonts w:hint="eastAsia" w:hAnsi="宋体" w:cs="宋体"/>
                <w:color w:val="auto"/>
                <w:sz w:val="24"/>
                <w:highlight w:val="none"/>
              </w:rPr>
              <w:t>2、采用优质冷轧钢板；表面静电喷塑、耐酸碱、抗腐蚀、防静电；</w:t>
            </w:r>
          </w:p>
          <w:p w14:paraId="35644290">
            <w:pPr>
              <w:shd w:val="clear"/>
              <w:spacing w:line="400" w:lineRule="exact"/>
              <w:jc w:val="left"/>
              <w:rPr>
                <w:rFonts w:hAnsi="宋体" w:cs="宋体"/>
                <w:color w:val="auto"/>
                <w:sz w:val="24"/>
                <w:highlight w:val="none"/>
              </w:rPr>
            </w:pPr>
            <w:r>
              <w:rPr>
                <w:rFonts w:hint="eastAsia" w:hAnsi="宋体" w:cs="宋体"/>
                <w:color w:val="auto"/>
                <w:sz w:val="24"/>
                <w:highlight w:val="none"/>
              </w:rPr>
              <w:t>3、类型：落地式；材质：主体冷轧钢板；装饰木纹密度板实木拼接；</w:t>
            </w:r>
          </w:p>
          <w:p w14:paraId="2D73C333">
            <w:pPr>
              <w:shd w:val="clear"/>
              <w:spacing w:line="400" w:lineRule="exact"/>
              <w:jc w:val="left"/>
              <w:rPr>
                <w:rFonts w:hAnsi="宋体" w:cs="宋体"/>
                <w:color w:val="auto"/>
                <w:sz w:val="24"/>
                <w:highlight w:val="none"/>
              </w:rPr>
            </w:pPr>
            <w:r>
              <w:rPr>
                <w:rFonts w:hint="eastAsia" w:hAnsi="宋体" w:cs="宋体"/>
                <w:color w:val="auto"/>
                <w:sz w:val="24"/>
                <w:highlight w:val="none"/>
              </w:rPr>
              <w:t>4、标准19英寸机架兼容设备使用；</w:t>
            </w:r>
          </w:p>
          <w:p w14:paraId="1F58CE4A">
            <w:pPr>
              <w:shd w:val="clear"/>
              <w:spacing w:line="400" w:lineRule="exact"/>
              <w:jc w:val="left"/>
              <w:rPr>
                <w:rFonts w:hAnsi="宋体" w:cs="宋体"/>
                <w:color w:val="auto"/>
                <w:sz w:val="24"/>
                <w:highlight w:val="none"/>
              </w:rPr>
            </w:pPr>
            <w:r>
              <w:rPr>
                <w:rFonts w:hint="eastAsia" w:hAnsi="宋体" w:cs="宋体"/>
                <w:color w:val="auto"/>
                <w:sz w:val="24"/>
                <w:highlight w:val="none"/>
              </w:rPr>
              <w:t>5、背部散热孔；边缘圆润；可升降调节显示器托盘；</w:t>
            </w:r>
          </w:p>
          <w:p w14:paraId="173006A1">
            <w:pPr>
              <w:shd w:val="clear"/>
              <w:spacing w:line="400" w:lineRule="exact"/>
              <w:jc w:val="left"/>
              <w:rPr>
                <w:rFonts w:ascii="宋体" w:hAnsi="宋体" w:eastAsia="宋体" w:cs="宋体"/>
                <w:color w:val="auto"/>
                <w:sz w:val="24"/>
                <w:highlight w:val="none"/>
                <w:lang w:val="en-US" w:eastAsia="zh-CN" w:bidi="ar-SA"/>
              </w:rPr>
            </w:pPr>
            <w:r>
              <w:rPr>
                <w:rFonts w:hint="eastAsia" w:hAnsi="宋体" w:cs="宋体"/>
                <w:color w:val="auto"/>
                <w:sz w:val="24"/>
                <w:highlight w:val="none"/>
              </w:rPr>
              <w:t>6、配置2把皮质座椅，要求符合人体工程学；</w:t>
            </w:r>
          </w:p>
        </w:tc>
      </w:tr>
      <w:tr w14:paraId="43019D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65" w:type="dxa"/>
            <w:vAlign w:val="center"/>
          </w:tcPr>
          <w:p w14:paraId="1F44672D">
            <w:pPr>
              <w:shd w:val="clear"/>
              <w:spacing w:line="400" w:lineRule="exact"/>
              <w:jc w:val="center"/>
              <w:rPr>
                <w:rFonts w:hint="default" w:hAnsi="宋体" w:eastAsia="宋体" w:cs="宋体"/>
                <w:color w:val="auto"/>
                <w:sz w:val="24"/>
                <w:highlight w:val="none"/>
                <w:lang w:val="en-US" w:eastAsia="zh-CN"/>
              </w:rPr>
            </w:pPr>
            <w:r>
              <w:rPr>
                <w:rFonts w:hint="eastAsia" w:hAnsi="宋体" w:cs="宋体"/>
                <w:color w:val="auto"/>
                <w:sz w:val="24"/>
                <w:highlight w:val="none"/>
                <w:lang w:val="en-US" w:eastAsia="zh-CN"/>
              </w:rPr>
              <w:t>36</w:t>
            </w:r>
          </w:p>
        </w:tc>
        <w:tc>
          <w:tcPr>
            <w:tcW w:w="1596" w:type="dxa"/>
            <w:vAlign w:val="center"/>
          </w:tcPr>
          <w:p w14:paraId="3BDDA1B2">
            <w:pPr>
              <w:shd w:val="clear"/>
              <w:spacing w:line="400" w:lineRule="exact"/>
              <w:jc w:val="center"/>
              <w:rPr>
                <w:rFonts w:ascii="宋体" w:hAnsi="宋体" w:eastAsia="宋体" w:cs="宋体"/>
                <w:color w:val="auto"/>
                <w:sz w:val="24"/>
                <w:highlight w:val="none"/>
                <w:lang w:val="en-US" w:eastAsia="zh-CN" w:bidi="ar-SA"/>
              </w:rPr>
            </w:pPr>
            <w:r>
              <w:rPr>
                <w:rFonts w:hint="eastAsia" w:hAnsi="宋体" w:cs="宋体"/>
                <w:color w:val="auto"/>
                <w:sz w:val="24"/>
                <w:highlight w:val="none"/>
              </w:rPr>
              <w:t>虚拟蓝箱（含舞美置景）</w:t>
            </w:r>
          </w:p>
        </w:tc>
        <w:tc>
          <w:tcPr>
            <w:tcW w:w="6748" w:type="dxa"/>
            <w:vAlign w:val="top"/>
          </w:tcPr>
          <w:p w14:paraId="68771807">
            <w:pPr>
              <w:shd w:val="clear"/>
              <w:spacing w:line="400" w:lineRule="exact"/>
              <w:jc w:val="left"/>
              <w:rPr>
                <w:rFonts w:hAnsi="宋体" w:cs="宋体"/>
                <w:color w:val="auto"/>
                <w:sz w:val="24"/>
                <w:highlight w:val="none"/>
              </w:rPr>
            </w:pPr>
            <w:r>
              <w:rPr>
                <w:rFonts w:hint="eastAsia" w:hAnsi="宋体" w:cs="宋体"/>
                <w:color w:val="auto"/>
                <w:sz w:val="24"/>
                <w:highlight w:val="none"/>
              </w:rPr>
              <w:t>1、▲虚拟抠像蓝箱尺寸≥ 6</w:t>
            </w:r>
            <w:r>
              <w:rPr>
                <w:rFonts w:hint="eastAsia" w:hAnsi="宋体" w:cs="宋体"/>
                <w:color w:val="auto"/>
                <w:sz w:val="24"/>
                <w:highlight w:val="none"/>
                <w:lang w:val="en-US" w:eastAsia="zh-CN"/>
              </w:rPr>
              <w:t>m</w:t>
            </w:r>
            <w:r>
              <w:rPr>
                <w:rFonts w:hint="eastAsia" w:hAnsi="宋体" w:cs="宋体"/>
                <w:color w:val="auto"/>
                <w:sz w:val="24"/>
                <w:highlight w:val="none"/>
              </w:rPr>
              <w:t>×3</w:t>
            </w:r>
            <w:r>
              <w:rPr>
                <w:rFonts w:hint="eastAsia" w:hAnsi="宋体" w:cs="宋体"/>
                <w:color w:val="auto"/>
                <w:sz w:val="24"/>
                <w:highlight w:val="none"/>
                <w:lang w:val="en-US" w:eastAsia="zh-CN"/>
              </w:rPr>
              <w:t>m</w:t>
            </w:r>
            <w:r>
              <w:rPr>
                <w:rFonts w:hint="eastAsia" w:hAnsi="宋体" w:cs="宋体"/>
                <w:color w:val="auto"/>
                <w:sz w:val="24"/>
                <w:highlight w:val="none"/>
              </w:rPr>
              <w:t>×3m；</w:t>
            </w:r>
          </w:p>
          <w:p w14:paraId="12BBD272">
            <w:pPr>
              <w:shd w:val="clear"/>
              <w:spacing w:line="400" w:lineRule="exact"/>
              <w:jc w:val="left"/>
              <w:rPr>
                <w:rFonts w:hAnsi="宋体" w:cs="宋体"/>
                <w:color w:val="auto"/>
                <w:sz w:val="24"/>
                <w:highlight w:val="none"/>
              </w:rPr>
            </w:pPr>
            <w:r>
              <w:rPr>
                <w:rFonts w:hint="eastAsia" w:hAnsi="宋体" w:cs="宋体"/>
                <w:color w:val="auto"/>
                <w:sz w:val="24"/>
                <w:highlight w:val="none"/>
              </w:rPr>
              <w:t>2、基层钢木结构，防锈处理；双基层板，防火处理；</w:t>
            </w:r>
          </w:p>
          <w:p w14:paraId="2239AE5C">
            <w:pPr>
              <w:shd w:val="clear"/>
              <w:spacing w:line="400" w:lineRule="exact"/>
              <w:jc w:val="left"/>
              <w:rPr>
                <w:rFonts w:hAnsi="宋体" w:cs="宋体"/>
                <w:color w:val="auto"/>
                <w:sz w:val="24"/>
                <w:highlight w:val="none"/>
              </w:rPr>
            </w:pPr>
            <w:r>
              <w:rPr>
                <w:rFonts w:hint="eastAsia" w:hAnsi="宋体" w:cs="宋体"/>
                <w:color w:val="auto"/>
                <w:sz w:val="24"/>
                <w:highlight w:val="none"/>
              </w:rPr>
              <w:t>3、薄壁面板，找补打磨；封闭底漆，打磨擦色；成活底漆；打磨找补；面漆满涂、打磨；</w:t>
            </w:r>
          </w:p>
          <w:p w14:paraId="048A9868">
            <w:pPr>
              <w:shd w:val="clear"/>
              <w:spacing w:line="400" w:lineRule="exact"/>
              <w:jc w:val="left"/>
              <w:rPr>
                <w:rFonts w:hAnsi="宋体" w:cs="宋体"/>
                <w:color w:val="auto"/>
                <w:sz w:val="24"/>
                <w:highlight w:val="none"/>
              </w:rPr>
            </w:pPr>
            <w:r>
              <w:rPr>
                <w:rFonts w:hint="eastAsia" w:hAnsi="宋体" w:cs="宋体"/>
                <w:color w:val="auto"/>
                <w:sz w:val="24"/>
                <w:highlight w:val="none"/>
              </w:rPr>
              <w:t>4、▲表面广播级影视抠像蓝漆；地面配套专用抠像地胶，广播级标准绿蓝双色；</w:t>
            </w:r>
          </w:p>
          <w:p w14:paraId="1A11C3F7">
            <w:pPr>
              <w:shd w:val="clear"/>
              <w:spacing w:line="400" w:lineRule="exact"/>
              <w:jc w:val="left"/>
              <w:rPr>
                <w:rFonts w:hAnsi="宋体" w:cs="宋体"/>
                <w:color w:val="auto"/>
                <w:sz w:val="24"/>
                <w:highlight w:val="none"/>
              </w:rPr>
            </w:pPr>
            <w:r>
              <w:rPr>
                <w:rFonts w:hint="eastAsia" w:hAnsi="宋体" w:cs="宋体"/>
                <w:color w:val="auto"/>
                <w:sz w:val="24"/>
                <w:highlight w:val="none"/>
              </w:rPr>
              <w:t>5、墙面与地面之间使用凹型弧面铺设结构，在墙角使用凹型球面铺设结构；</w:t>
            </w:r>
          </w:p>
          <w:p w14:paraId="29AF52DF">
            <w:pPr>
              <w:shd w:val="clear"/>
              <w:spacing w:line="400" w:lineRule="exact"/>
              <w:jc w:val="left"/>
              <w:rPr>
                <w:rFonts w:hAnsi="宋体" w:cs="宋体"/>
                <w:color w:val="auto"/>
                <w:sz w:val="24"/>
                <w:highlight w:val="none"/>
              </w:rPr>
            </w:pPr>
            <w:r>
              <w:rPr>
                <w:rFonts w:hint="eastAsia" w:hAnsi="宋体" w:cs="宋体"/>
                <w:color w:val="auto"/>
                <w:sz w:val="24"/>
                <w:highlight w:val="none"/>
              </w:rPr>
              <w:t>6、各表面光源照射一致,无阴暗色域；</w:t>
            </w:r>
          </w:p>
          <w:p w14:paraId="70BE6092">
            <w:pPr>
              <w:shd w:val="clear"/>
              <w:spacing w:line="400" w:lineRule="exact"/>
              <w:jc w:val="left"/>
              <w:rPr>
                <w:rFonts w:hAnsi="宋体" w:cs="宋体"/>
                <w:color w:val="auto"/>
                <w:sz w:val="24"/>
                <w:highlight w:val="none"/>
              </w:rPr>
            </w:pPr>
            <w:r>
              <w:rPr>
                <w:rFonts w:hint="eastAsia" w:hAnsi="宋体" w:cs="宋体"/>
                <w:color w:val="auto"/>
                <w:sz w:val="24"/>
                <w:highlight w:val="none"/>
              </w:rPr>
              <w:t>7、▲主播区、访谈区、站播区置景制作面积≥40平方米；</w:t>
            </w:r>
          </w:p>
          <w:p w14:paraId="72924B38">
            <w:pPr>
              <w:shd w:val="clear"/>
              <w:spacing w:line="400" w:lineRule="exact"/>
              <w:jc w:val="left"/>
              <w:rPr>
                <w:rFonts w:hAnsi="宋体" w:cs="宋体"/>
                <w:color w:val="auto"/>
                <w:sz w:val="24"/>
                <w:highlight w:val="none"/>
              </w:rPr>
            </w:pPr>
            <w:r>
              <w:rPr>
                <w:rFonts w:hint="eastAsia" w:hAnsi="宋体" w:cs="宋体"/>
                <w:color w:val="auto"/>
                <w:sz w:val="24"/>
                <w:highlight w:val="none"/>
              </w:rPr>
              <w:t>8、舞美制景材料材质、色彩、处理等要符合专业电视演播室舞美效果要求和电视节目的直播和录播拍摄要求；</w:t>
            </w:r>
          </w:p>
          <w:p w14:paraId="3ABC8723">
            <w:pPr>
              <w:shd w:val="clear"/>
              <w:spacing w:line="400" w:lineRule="exact"/>
              <w:jc w:val="left"/>
              <w:rPr>
                <w:rFonts w:hAnsi="宋体" w:cs="宋体"/>
                <w:color w:val="auto"/>
                <w:sz w:val="24"/>
                <w:highlight w:val="none"/>
              </w:rPr>
            </w:pPr>
            <w:r>
              <w:rPr>
                <w:rFonts w:hint="eastAsia" w:hAnsi="宋体" w:cs="宋体"/>
                <w:color w:val="auto"/>
                <w:sz w:val="24"/>
                <w:highlight w:val="none"/>
              </w:rPr>
              <w:t>9、舞美制景材料禁止使用聚笨板类、发泡类产品。舞美制景制作材料包括不限于竹炭木金属板、UV 软膜灯箱、嵌入式硅胶装饰灯、亚克力板、漫反射光源、PVC 板等；</w:t>
            </w:r>
          </w:p>
          <w:p w14:paraId="0F0860DD">
            <w:pPr>
              <w:shd w:val="clear"/>
              <w:spacing w:line="400" w:lineRule="exact"/>
              <w:jc w:val="left"/>
              <w:rPr>
                <w:rFonts w:hAnsi="宋体" w:cs="宋体"/>
                <w:color w:val="auto"/>
                <w:sz w:val="24"/>
                <w:highlight w:val="none"/>
              </w:rPr>
            </w:pPr>
            <w:r>
              <w:rPr>
                <w:rFonts w:hint="eastAsia" w:hAnsi="宋体" w:cs="宋体"/>
                <w:color w:val="auto"/>
                <w:sz w:val="24"/>
                <w:highlight w:val="none"/>
              </w:rPr>
              <w:t>10、舞美制景电路应符合国家相关电气安全标准，电路要求分区控制，结合舞美制景结构安装，并保证音视频、网络线路以及演播室内其他信号不受干扰；</w:t>
            </w:r>
          </w:p>
          <w:p w14:paraId="038ECBFA">
            <w:pPr>
              <w:shd w:val="clear"/>
              <w:spacing w:line="400" w:lineRule="exact"/>
              <w:jc w:val="left"/>
              <w:rPr>
                <w:rFonts w:ascii="宋体" w:hAnsi="宋体" w:eastAsia="宋体" w:cs="宋体"/>
                <w:color w:val="auto"/>
                <w:sz w:val="24"/>
                <w:highlight w:val="none"/>
                <w:lang w:val="en-US" w:eastAsia="zh-CN" w:bidi="ar-SA"/>
              </w:rPr>
            </w:pPr>
            <w:r>
              <w:rPr>
                <w:rFonts w:hint="eastAsia" w:hAnsi="宋体" w:cs="宋体"/>
                <w:color w:val="auto"/>
                <w:sz w:val="24"/>
                <w:highlight w:val="none"/>
              </w:rPr>
              <w:t>11、舞美制景制作内容应根据使用方要求，包含不限于各立面造型、多媒体终端安装基础、氛围灯光、LOGO及标识标语的安装及调试；</w:t>
            </w:r>
          </w:p>
        </w:tc>
      </w:tr>
    </w:tbl>
    <w:p w14:paraId="1324681A">
      <w:pPr>
        <w:shd w:val="clear"/>
        <w:spacing w:line="360" w:lineRule="auto"/>
        <w:ind w:firstLine="480" w:firstLineChars="200"/>
        <w:rPr>
          <w:rFonts w:hAnsi="宋体" w:cs="宋体"/>
          <w:color w:val="auto"/>
          <w:sz w:val="24"/>
          <w:szCs w:val="24"/>
          <w:highlight w:val="none"/>
        </w:rPr>
      </w:pPr>
      <w:r>
        <w:rPr>
          <w:rFonts w:hint="eastAsia" w:hAnsi="宋体" w:cs="宋体"/>
          <w:color w:val="auto"/>
          <w:sz w:val="24"/>
          <w:szCs w:val="24"/>
          <w:highlight w:val="none"/>
        </w:rPr>
        <w:t>注：</w:t>
      </w:r>
      <w:r>
        <w:rPr>
          <w:rFonts w:hint="eastAsia" w:hAnsi="宋体" w:cs="宋体"/>
          <w:color w:val="auto"/>
          <w:sz w:val="24"/>
          <w:highlight w:val="none"/>
        </w:rPr>
        <w:t>本项目设备参数一共</w:t>
      </w:r>
      <w:r>
        <w:rPr>
          <w:rFonts w:hint="default" w:ascii="Times New Roman" w:hAnsi="Times New Roman" w:cs="Times New Roman"/>
          <w:color w:val="auto"/>
          <w:sz w:val="24"/>
          <w:highlight w:val="none"/>
        </w:rPr>
        <w:t>20</w:t>
      </w:r>
      <w:r>
        <w:rPr>
          <w:rFonts w:hint="default" w:ascii="Times New Roman" w:hAnsi="Times New Roman" w:cs="Times New Roman"/>
          <w:color w:val="auto"/>
          <w:sz w:val="24"/>
          <w:highlight w:val="none"/>
          <w:lang w:val="en-US" w:eastAsia="zh-CN"/>
        </w:rPr>
        <w:t>4</w:t>
      </w:r>
      <w:r>
        <w:rPr>
          <w:rFonts w:hint="eastAsia" w:hAnsi="宋体" w:cs="宋体"/>
          <w:color w:val="auto"/>
          <w:sz w:val="24"/>
          <w:highlight w:val="none"/>
        </w:rPr>
        <w:t>条，</w:t>
      </w:r>
      <w:r>
        <w:rPr>
          <w:rFonts w:hint="eastAsia" w:hAnsi="宋体" w:cs="宋体"/>
          <w:color w:val="auto"/>
          <w:sz w:val="24"/>
          <w:highlight w:val="none"/>
          <w:lang w:val="en-US" w:eastAsia="zh-CN"/>
        </w:rPr>
        <w:t>其中，</w:t>
      </w:r>
      <w:r>
        <w:rPr>
          <w:rFonts w:hint="eastAsia" w:hAnsi="宋体" w:cs="宋体"/>
          <w:color w:val="auto"/>
          <w:sz w:val="24"/>
          <w:highlight w:val="none"/>
        </w:rPr>
        <w:t>带“▲”号参数共</w:t>
      </w:r>
      <w:r>
        <w:rPr>
          <w:rFonts w:hint="default" w:ascii="Times New Roman" w:hAnsi="Times New Roman" w:cs="Times New Roman"/>
          <w:color w:val="auto"/>
          <w:sz w:val="24"/>
          <w:highlight w:val="none"/>
        </w:rPr>
        <w:t>2</w:t>
      </w:r>
      <w:r>
        <w:rPr>
          <w:rFonts w:hint="default" w:ascii="Times New Roman" w:hAnsi="Times New Roman" w:cs="Times New Roman"/>
          <w:color w:val="auto"/>
          <w:sz w:val="24"/>
          <w:highlight w:val="none"/>
          <w:lang w:val="en-US" w:eastAsia="zh-CN"/>
        </w:rPr>
        <w:t>2</w:t>
      </w:r>
      <w:r>
        <w:rPr>
          <w:rFonts w:hint="eastAsia" w:hAnsi="宋体" w:cs="宋体"/>
          <w:color w:val="auto"/>
          <w:sz w:val="24"/>
          <w:highlight w:val="none"/>
        </w:rPr>
        <w:t>条，为本项目重要参数</w:t>
      </w:r>
      <w:r>
        <w:rPr>
          <w:rFonts w:hint="eastAsia" w:hAnsi="宋体" w:cs="宋体"/>
          <w:color w:val="auto"/>
          <w:sz w:val="24"/>
          <w:highlight w:val="none"/>
          <w:lang w:eastAsia="zh-CN"/>
        </w:rPr>
        <w:t>；</w:t>
      </w:r>
      <w:r>
        <w:rPr>
          <w:rFonts w:hint="eastAsia" w:hAnsi="宋体" w:cs="宋体"/>
          <w:color w:val="auto"/>
          <w:sz w:val="24"/>
          <w:highlight w:val="none"/>
        </w:rPr>
        <w:t>未标注符号的参数为一般参数</w:t>
      </w:r>
      <w:r>
        <w:rPr>
          <w:rFonts w:hint="eastAsia" w:hAnsi="宋体" w:cs="宋体"/>
          <w:color w:val="auto"/>
          <w:sz w:val="24"/>
          <w:highlight w:val="none"/>
          <w:lang w:eastAsia="zh-CN"/>
        </w:rPr>
        <w:t>，</w:t>
      </w:r>
      <w:r>
        <w:rPr>
          <w:rFonts w:hint="eastAsia" w:hAnsi="宋体" w:cs="宋体"/>
          <w:color w:val="auto"/>
          <w:sz w:val="24"/>
          <w:highlight w:val="none"/>
        </w:rPr>
        <w:t>共</w:t>
      </w:r>
      <w:r>
        <w:rPr>
          <w:rFonts w:hint="default" w:ascii="Times New Roman" w:hAnsi="Times New Roman" w:cs="Times New Roman"/>
          <w:color w:val="auto"/>
          <w:sz w:val="24"/>
          <w:highlight w:val="none"/>
        </w:rPr>
        <w:t>1</w:t>
      </w:r>
      <w:r>
        <w:rPr>
          <w:rFonts w:hint="default" w:ascii="Times New Roman" w:hAnsi="Times New Roman" w:cs="Times New Roman"/>
          <w:color w:val="auto"/>
          <w:sz w:val="24"/>
          <w:highlight w:val="none"/>
          <w:lang w:val="en-US" w:eastAsia="zh-CN"/>
        </w:rPr>
        <w:t>82</w:t>
      </w:r>
      <w:r>
        <w:rPr>
          <w:rFonts w:hint="eastAsia" w:hAnsi="宋体" w:cs="宋体"/>
          <w:color w:val="auto"/>
          <w:sz w:val="24"/>
          <w:highlight w:val="none"/>
        </w:rPr>
        <w:t>条。带“▲”号参数</w:t>
      </w:r>
      <w:r>
        <w:rPr>
          <w:rFonts w:hint="eastAsia" w:hAnsi="宋体" w:cs="宋体"/>
          <w:color w:val="auto"/>
          <w:sz w:val="24"/>
          <w:highlight w:val="none"/>
          <w:lang w:val="en-US" w:eastAsia="zh-CN"/>
        </w:rPr>
        <w:t>和未</w:t>
      </w:r>
      <w:r>
        <w:rPr>
          <w:rFonts w:hint="eastAsia" w:hAnsi="宋体" w:cs="宋体"/>
          <w:color w:val="auto"/>
          <w:sz w:val="24"/>
          <w:highlight w:val="none"/>
        </w:rPr>
        <w:t>带“▲”号参数存在负偏离</w:t>
      </w:r>
      <w:r>
        <w:rPr>
          <w:rFonts w:hint="eastAsia" w:hAnsi="宋体" w:cs="宋体"/>
          <w:color w:val="auto"/>
          <w:sz w:val="24"/>
          <w:highlight w:val="none"/>
          <w:lang w:val="en-US" w:eastAsia="zh-CN"/>
        </w:rPr>
        <w:t>的，</w:t>
      </w:r>
      <w:r>
        <w:rPr>
          <w:rFonts w:hint="eastAsia" w:hAnsi="宋体" w:cs="宋体"/>
          <w:color w:val="auto"/>
          <w:sz w:val="24"/>
          <w:highlight w:val="none"/>
        </w:rPr>
        <w:t>按照综合评分明细表进行扣除。</w:t>
      </w:r>
    </w:p>
    <w:p w14:paraId="326707D8">
      <w:pPr>
        <w:pStyle w:val="2"/>
        <w:shd w:val="clear"/>
        <w:spacing w:afterLines="50" w:line="480" w:lineRule="exact"/>
        <w:rPr>
          <w:rFonts w:hAnsi="宋体" w:cs="宋体"/>
          <w:b/>
          <w:bCs/>
          <w:color w:val="auto"/>
          <w:sz w:val="24"/>
          <w:szCs w:val="24"/>
          <w:highlight w:val="none"/>
        </w:rPr>
      </w:pPr>
      <w:r>
        <w:rPr>
          <w:rFonts w:hint="eastAsia" w:hAnsi="宋体" w:cs="宋体"/>
          <w:b/>
          <w:bCs/>
          <w:color w:val="auto"/>
          <w:sz w:val="24"/>
          <w:szCs w:val="24"/>
          <w:highlight w:val="none"/>
        </w:rPr>
        <w:t>（三）</w:t>
      </w:r>
      <w:r>
        <w:rPr>
          <w:rFonts w:hint="eastAsia" w:hAnsi="宋体" w:cs="宋体"/>
          <w:b/>
          <w:color w:val="auto"/>
          <w:sz w:val="24"/>
          <w:highlight w:val="none"/>
        </w:rPr>
        <w:t>技术服务要求（</w:t>
      </w:r>
      <w:r>
        <w:rPr>
          <w:rFonts w:hint="eastAsia" w:ascii="黑体" w:hAnsi="黑体" w:eastAsia="黑体" w:cs="黑体"/>
          <w:b/>
          <w:color w:val="auto"/>
          <w:sz w:val="24"/>
          <w:highlight w:val="none"/>
        </w:rPr>
        <w:t>★</w:t>
      </w:r>
      <w:r>
        <w:rPr>
          <w:rFonts w:hint="eastAsia" w:hAnsi="宋体" w:cs="宋体"/>
          <w:b/>
          <w:color w:val="auto"/>
          <w:sz w:val="24"/>
          <w:highlight w:val="none"/>
        </w:rPr>
        <w:t>实质性要求）</w:t>
      </w:r>
    </w:p>
    <w:p w14:paraId="47777D35">
      <w:pPr>
        <w:shd w:val="clear"/>
        <w:spacing w:line="360" w:lineRule="auto"/>
        <w:ind w:firstLine="480" w:firstLineChars="200"/>
        <w:rPr>
          <w:rFonts w:hAnsi="宋体" w:cs="宋体"/>
          <w:b/>
          <w:bCs/>
          <w:color w:val="auto"/>
          <w:sz w:val="24"/>
          <w:highlight w:val="none"/>
        </w:rPr>
      </w:pPr>
      <w:bookmarkStart w:id="137" w:name="_Toc14280"/>
      <w:r>
        <w:rPr>
          <w:rFonts w:hint="eastAsia" w:hAnsi="宋体" w:cs="宋体"/>
          <w:color w:val="auto"/>
          <w:sz w:val="24"/>
          <w:highlight w:val="none"/>
        </w:rPr>
        <w:t>1、</w:t>
      </w:r>
      <w:r>
        <w:rPr>
          <w:rFonts w:hint="eastAsia" w:hAnsi="宋体" w:cs="宋体"/>
          <w:color w:val="auto"/>
          <w:sz w:val="24"/>
          <w:highlight w:val="none"/>
          <w:lang w:val="en-US" w:eastAsia="zh-CN"/>
        </w:rPr>
        <w:t>供应商</w:t>
      </w:r>
      <w:r>
        <w:rPr>
          <w:rFonts w:hint="eastAsia" w:hAnsi="宋体" w:cs="宋体"/>
          <w:color w:val="auto"/>
          <w:sz w:val="24"/>
          <w:highlight w:val="none"/>
        </w:rPr>
        <w:t>中标后</w:t>
      </w:r>
      <w:r>
        <w:rPr>
          <w:rFonts w:hint="eastAsia" w:hAnsi="宋体" w:cs="宋体"/>
          <w:color w:val="auto"/>
          <w:sz w:val="24"/>
          <w:highlight w:val="none"/>
          <w:lang w:val="en-US" w:eastAsia="zh-CN"/>
        </w:rPr>
        <w:t>须</w:t>
      </w:r>
      <w:r>
        <w:rPr>
          <w:rFonts w:hint="eastAsia" w:hAnsi="宋体" w:cs="宋体"/>
          <w:color w:val="auto"/>
          <w:sz w:val="24"/>
          <w:highlight w:val="none"/>
        </w:rPr>
        <w:t>提供</w:t>
      </w:r>
      <w:r>
        <w:rPr>
          <w:rFonts w:hint="eastAsia" w:hAnsi="宋体" w:cs="宋体"/>
          <w:color w:val="auto"/>
          <w:sz w:val="24"/>
          <w:highlight w:val="none"/>
          <w:lang w:val="en-US" w:eastAsia="zh-CN"/>
        </w:rPr>
        <w:t>与本项目涉及的灯</w:t>
      </w:r>
      <w:r>
        <w:rPr>
          <w:rFonts w:hint="eastAsia" w:hAnsi="宋体" w:cs="宋体"/>
          <w:color w:val="auto"/>
          <w:sz w:val="24"/>
          <w:highlight w:val="none"/>
        </w:rPr>
        <w:t>光系统、机械吊挂系统、舞美置景预装</w:t>
      </w:r>
      <w:r>
        <w:rPr>
          <w:rFonts w:hint="eastAsia" w:hAnsi="宋体" w:cs="宋体"/>
          <w:color w:val="auto"/>
          <w:sz w:val="24"/>
          <w:highlight w:val="none"/>
          <w:lang w:val="en-US" w:eastAsia="zh-CN"/>
        </w:rPr>
        <w:t>的</w:t>
      </w:r>
      <w:r>
        <w:rPr>
          <w:rFonts w:hint="eastAsia" w:hAnsi="宋体" w:cs="宋体"/>
          <w:color w:val="auto"/>
          <w:sz w:val="24"/>
          <w:highlight w:val="none"/>
        </w:rPr>
        <w:t>展示图、效果图</w:t>
      </w:r>
      <w:r>
        <w:rPr>
          <w:rFonts w:hint="eastAsia" w:hAnsi="宋体" w:cs="宋体"/>
          <w:b/>
          <w:bCs/>
          <w:color w:val="auto"/>
          <w:sz w:val="24"/>
          <w:highlight w:val="none"/>
        </w:rPr>
        <w:t>（投标</w:t>
      </w:r>
      <w:r>
        <w:rPr>
          <w:rFonts w:hint="eastAsia" w:hAnsi="宋体" w:cs="宋体"/>
          <w:b/>
          <w:bCs/>
          <w:color w:val="auto"/>
          <w:sz w:val="24"/>
          <w:highlight w:val="none"/>
          <w:lang w:val="en-US" w:eastAsia="zh-CN"/>
        </w:rPr>
        <w:t>响应</w:t>
      </w:r>
      <w:r>
        <w:rPr>
          <w:rFonts w:hint="eastAsia" w:hAnsi="宋体" w:cs="宋体"/>
          <w:b/>
          <w:bCs/>
          <w:color w:val="auto"/>
          <w:sz w:val="24"/>
          <w:highlight w:val="none"/>
        </w:rPr>
        <w:t>时</w:t>
      </w:r>
      <w:r>
        <w:rPr>
          <w:rFonts w:hint="eastAsia" w:hAnsi="宋体" w:cs="宋体"/>
          <w:b/>
          <w:bCs/>
          <w:color w:val="auto"/>
          <w:sz w:val="24"/>
          <w:highlight w:val="none"/>
          <w:lang w:val="en-US" w:eastAsia="zh-CN"/>
        </w:rPr>
        <w:t>须</w:t>
      </w:r>
      <w:r>
        <w:rPr>
          <w:rFonts w:hint="eastAsia" w:hAnsi="宋体" w:cs="宋体"/>
          <w:b/>
          <w:bCs/>
          <w:color w:val="auto"/>
          <w:sz w:val="24"/>
          <w:highlight w:val="none"/>
        </w:rPr>
        <w:t>提供承诺函</w:t>
      </w:r>
      <w:r>
        <w:rPr>
          <w:rFonts w:hint="eastAsia" w:hAnsi="宋体" w:cs="宋体"/>
          <w:b/>
          <w:bCs/>
          <w:color w:val="auto"/>
          <w:sz w:val="24"/>
          <w:highlight w:val="none"/>
          <w:lang w:eastAsia="zh-CN"/>
        </w:rPr>
        <w:t>，</w:t>
      </w:r>
      <w:r>
        <w:rPr>
          <w:rFonts w:hint="eastAsia" w:hAnsi="宋体" w:cs="宋体"/>
          <w:b/>
          <w:bCs/>
          <w:color w:val="auto"/>
          <w:sz w:val="24"/>
          <w:highlight w:val="none"/>
          <w:lang w:val="en-US" w:eastAsia="zh-CN"/>
        </w:rPr>
        <w:t>格式自拟</w:t>
      </w:r>
      <w:r>
        <w:rPr>
          <w:rFonts w:hint="eastAsia" w:hAnsi="宋体" w:cs="宋体"/>
          <w:b/>
          <w:bCs/>
          <w:color w:val="auto"/>
          <w:sz w:val="24"/>
          <w:highlight w:val="none"/>
        </w:rPr>
        <w:t>）</w:t>
      </w:r>
      <w:r>
        <w:rPr>
          <w:rFonts w:hint="eastAsia" w:hAnsi="宋体" w:cs="宋体"/>
          <w:color w:val="auto"/>
          <w:sz w:val="24"/>
          <w:highlight w:val="none"/>
        </w:rPr>
        <w:t>；</w:t>
      </w:r>
    </w:p>
    <w:p w14:paraId="0767DC14">
      <w:pPr>
        <w:shd w:val="clear"/>
        <w:spacing w:line="360" w:lineRule="auto"/>
        <w:ind w:firstLine="480" w:firstLineChars="200"/>
        <w:rPr>
          <w:rFonts w:hAnsi="宋体" w:cs="宋体"/>
          <w:b/>
          <w:bCs/>
          <w:color w:val="auto"/>
          <w:sz w:val="24"/>
          <w:highlight w:val="none"/>
        </w:rPr>
      </w:pPr>
      <w:r>
        <w:rPr>
          <w:rFonts w:hint="eastAsia" w:hAnsi="宋体" w:cs="宋体"/>
          <w:color w:val="auto"/>
          <w:sz w:val="24"/>
          <w:highlight w:val="none"/>
        </w:rPr>
        <w:t>2、</w:t>
      </w:r>
      <w:r>
        <w:rPr>
          <w:rFonts w:hint="eastAsia" w:hAnsi="宋体" w:cs="宋体"/>
          <w:color w:val="auto"/>
          <w:sz w:val="24"/>
          <w:highlight w:val="none"/>
          <w:lang w:val="en-US" w:eastAsia="zh-CN"/>
        </w:rPr>
        <w:t>供应商</w:t>
      </w:r>
      <w:r>
        <w:rPr>
          <w:rFonts w:hint="eastAsia" w:hAnsi="宋体" w:cs="宋体"/>
          <w:color w:val="auto"/>
          <w:sz w:val="24"/>
          <w:highlight w:val="none"/>
        </w:rPr>
        <w:t>中标后</w:t>
      </w:r>
      <w:r>
        <w:rPr>
          <w:rFonts w:hint="eastAsia" w:hAnsi="宋体" w:cs="宋体"/>
          <w:color w:val="auto"/>
          <w:sz w:val="24"/>
          <w:highlight w:val="none"/>
          <w:lang w:val="en-US" w:eastAsia="zh-CN"/>
        </w:rPr>
        <w:t>须</w:t>
      </w:r>
      <w:r>
        <w:rPr>
          <w:rFonts w:hint="eastAsia" w:hAnsi="宋体" w:cs="宋体"/>
          <w:color w:val="auto"/>
          <w:sz w:val="24"/>
          <w:highlight w:val="none"/>
        </w:rPr>
        <w:t>提供本项目涉及的声光电系统设备联动调试服务</w:t>
      </w:r>
      <w:r>
        <w:rPr>
          <w:rFonts w:hint="eastAsia" w:hAnsi="宋体" w:cs="宋体"/>
          <w:b/>
          <w:bCs/>
          <w:color w:val="auto"/>
          <w:sz w:val="24"/>
          <w:highlight w:val="none"/>
        </w:rPr>
        <w:t>（投标</w:t>
      </w:r>
      <w:r>
        <w:rPr>
          <w:rFonts w:hint="eastAsia" w:hAnsi="宋体" w:cs="宋体"/>
          <w:b/>
          <w:bCs/>
          <w:color w:val="auto"/>
          <w:sz w:val="24"/>
          <w:highlight w:val="none"/>
          <w:lang w:val="en-US" w:eastAsia="zh-CN"/>
        </w:rPr>
        <w:t>响应</w:t>
      </w:r>
      <w:r>
        <w:rPr>
          <w:rFonts w:hint="eastAsia" w:hAnsi="宋体" w:cs="宋体"/>
          <w:b/>
          <w:bCs/>
          <w:color w:val="auto"/>
          <w:sz w:val="24"/>
          <w:highlight w:val="none"/>
        </w:rPr>
        <w:t>时</w:t>
      </w:r>
      <w:r>
        <w:rPr>
          <w:rFonts w:hint="eastAsia" w:hAnsi="宋体" w:cs="宋体"/>
          <w:b/>
          <w:bCs/>
          <w:color w:val="auto"/>
          <w:sz w:val="24"/>
          <w:highlight w:val="none"/>
          <w:lang w:val="en-US" w:eastAsia="zh-CN"/>
        </w:rPr>
        <w:t>须</w:t>
      </w:r>
      <w:r>
        <w:rPr>
          <w:rFonts w:hint="eastAsia" w:hAnsi="宋体" w:cs="宋体"/>
          <w:b/>
          <w:bCs/>
          <w:color w:val="auto"/>
          <w:sz w:val="24"/>
          <w:highlight w:val="none"/>
        </w:rPr>
        <w:t>提供承诺函</w:t>
      </w:r>
      <w:r>
        <w:rPr>
          <w:rFonts w:hint="eastAsia" w:hAnsi="宋体" w:cs="宋体"/>
          <w:b/>
          <w:bCs/>
          <w:color w:val="auto"/>
          <w:sz w:val="24"/>
          <w:highlight w:val="none"/>
          <w:lang w:eastAsia="zh-CN"/>
        </w:rPr>
        <w:t>，</w:t>
      </w:r>
      <w:r>
        <w:rPr>
          <w:rFonts w:hint="eastAsia" w:hAnsi="宋体" w:cs="宋体"/>
          <w:b/>
          <w:bCs/>
          <w:color w:val="auto"/>
          <w:sz w:val="24"/>
          <w:highlight w:val="none"/>
          <w:lang w:val="en-US" w:eastAsia="zh-CN"/>
        </w:rPr>
        <w:t>格式自拟</w:t>
      </w:r>
      <w:r>
        <w:rPr>
          <w:rFonts w:hint="eastAsia" w:hAnsi="宋体" w:cs="宋体"/>
          <w:b/>
          <w:bCs/>
          <w:color w:val="auto"/>
          <w:sz w:val="24"/>
          <w:highlight w:val="none"/>
        </w:rPr>
        <w:t>）</w:t>
      </w:r>
      <w:r>
        <w:rPr>
          <w:rFonts w:hint="eastAsia" w:hAnsi="宋体" w:cs="宋体"/>
          <w:color w:val="auto"/>
          <w:sz w:val="24"/>
          <w:highlight w:val="none"/>
        </w:rPr>
        <w:t>；</w:t>
      </w:r>
    </w:p>
    <w:p w14:paraId="12B1769C">
      <w:pPr>
        <w:shd w:val="clear"/>
        <w:spacing w:afterLines="50" w:line="480" w:lineRule="exact"/>
        <w:outlineLvl w:val="1"/>
        <w:rPr>
          <w:rFonts w:hAnsi="宋体" w:cs="宋体"/>
          <w:b/>
          <w:color w:val="auto"/>
          <w:sz w:val="24"/>
          <w:highlight w:val="none"/>
        </w:rPr>
      </w:pPr>
      <w:r>
        <w:rPr>
          <w:rFonts w:hint="eastAsia" w:hAnsi="宋体" w:cs="宋体"/>
          <w:b/>
          <w:bCs/>
          <w:color w:val="auto"/>
          <w:sz w:val="28"/>
          <w:szCs w:val="28"/>
          <w:highlight w:val="none"/>
        </w:rPr>
        <w:t>三、商务要求：（</w:t>
      </w:r>
      <w:r>
        <w:rPr>
          <w:rFonts w:hint="eastAsia" w:ascii="黑体" w:hAnsi="黑体" w:eastAsia="黑体" w:cs="黑体"/>
          <w:b/>
          <w:bCs/>
          <w:color w:val="auto"/>
          <w:sz w:val="28"/>
          <w:szCs w:val="28"/>
          <w:highlight w:val="none"/>
        </w:rPr>
        <w:t>★</w:t>
      </w:r>
      <w:r>
        <w:rPr>
          <w:rFonts w:hint="eastAsia" w:hAnsi="宋体" w:cs="宋体"/>
          <w:b/>
          <w:bCs/>
          <w:color w:val="auto"/>
          <w:sz w:val="28"/>
          <w:szCs w:val="28"/>
          <w:highlight w:val="none"/>
        </w:rPr>
        <w:t>实质性要求</w:t>
      </w:r>
      <w:r>
        <w:rPr>
          <w:rFonts w:hint="eastAsia" w:hAnsi="宋体" w:cs="宋体"/>
          <w:b/>
          <w:bCs/>
          <w:color w:val="auto"/>
          <w:sz w:val="24"/>
          <w:highlight w:val="none"/>
        </w:rPr>
        <w:t>）</w:t>
      </w:r>
    </w:p>
    <w:p w14:paraId="27B5EDBD">
      <w:pPr>
        <w:shd w:val="clear"/>
        <w:spacing w:line="360" w:lineRule="auto"/>
        <w:ind w:firstLine="480" w:firstLineChars="200"/>
        <w:rPr>
          <w:rFonts w:hAnsi="宋体" w:cs="宋体"/>
          <w:color w:val="auto"/>
          <w:sz w:val="24"/>
          <w:szCs w:val="24"/>
          <w:highlight w:val="none"/>
        </w:rPr>
      </w:pPr>
      <w:r>
        <w:rPr>
          <w:rFonts w:hint="eastAsia" w:ascii="黑体" w:hAnsi="黑体" w:eastAsia="黑体" w:cs="黑体"/>
          <w:color w:val="auto"/>
          <w:sz w:val="24"/>
          <w:szCs w:val="24"/>
          <w:highlight w:val="none"/>
        </w:rPr>
        <w:t>★</w:t>
      </w:r>
      <w:r>
        <w:rPr>
          <w:rFonts w:hint="eastAsia" w:hAnsi="宋体" w:cs="宋体"/>
          <w:color w:val="auto"/>
          <w:sz w:val="24"/>
          <w:szCs w:val="24"/>
          <w:highlight w:val="none"/>
        </w:rPr>
        <w:t>1、交货时间</w:t>
      </w:r>
      <w:r>
        <w:rPr>
          <w:rFonts w:hint="eastAsia" w:hAnsi="宋体" w:cs="宋体"/>
          <w:color w:val="auto"/>
          <w:sz w:val="24"/>
          <w:szCs w:val="24"/>
          <w:highlight w:val="none"/>
          <w:lang w:eastAsia="zh-CN"/>
        </w:rPr>
        <w:t>：</w:t>
      </w:r>
      <w:r>
        <w:rPr>
          <w:rFonts w:hint="eastAsia" w:hAnsi="宋体" w:cs="宋体"/>
          <w:bCs/>
          <w:color w:val="auto"/>
          <w:spacing w:val="8"/>
          <w:sz w:val="24"/>
          <w:highlight w:val="none"/>
        </w:rPr>
        <w:t>在合同签订生效之日起</w:t>
      </w:r>
      <w:r>
        <w:rPr>
          <w:rFonts w:hint="eastAsia" w:hAnsi="宋体" w:cs="宋体"/>
          <w:bCs/>
          <w:color w:val="auto"/>
          <w:spacing w:val="8"/>
          <w:sz w:val="24"/>
          <w:highlight w:val="none"/>
          <w:lang w:val="en-US" w:eastAsia="zh-CN"/>
        </w:rPr>
        <w:t>60</w:t>
      </w:r>
      <w:r>
        <w:rPr>
          <w:rFonts w:hint="eastAsia" w:hAnsi="宋体" w:cs="宋体"/>
          <w:bCs/>
          <w:color w:val="auto"/>
          <w:spacing w:val="8"/>
          <w:sz w:val="24"/>
          <w:highlight w:val="none"/>
        </w:rPr>
        <w:t>日（具体</w:t>
      </w:r>
      <w:r>
        <w:rPr>
          <w:rFonts w:hint="eastAsia" w:hAnsi="宋体" w:cs="宋体"/>
          <w:bCs/>
          <w:color w:val="auto"/>
          <w:spacing w:val="8"/>
          <w:sz w:val="24"/>
          <w:highlight w:val="none"/>
          <w:lang w:val="en-US" w:eastAsia="zh-CN"/>
        </w:rPr>
        <w:t>日期</w:t>
      </w:r>
      <w:r>
        <w:rPr>
          <w:rFonts w:hint="eastAsia" w:hAnsi="宋体" w:cs="宋体"/>
          <w:bCs/>
          <w:color w:val="auto"/>
          <w:spacing w:val="8"/>
          <w:sz w:val="24"/>
          <w:highlight w:val="none"/>
        </w:rPr>
        <w:t>以合同为准）内完成全部供货、安装、调试、检测、试运行直至所投设备（货物）全部正常运行。</w:t>
      </w:r>
    </w:p>
    <w:p w14:paraId="2F060E68">
      <w:pPr>
        <w:widowControl/>
        <w:shd w:val="clear"/>
        <w:spacing w:line="360" w:lineRule="auto"/>
        <w:ind w:firstLine="480" w:firstLineChars="200"/>
        <w:jc w:val="left"/>
        <w:rPr>
          <w:rFonts w:hAnsi="宋体" w:cs="宋体"/>
          <w:color w:val="auto"/>
          <w:sz w:val="24"/>
          <w:szCs w:val="24"/>
          <w:highlight w:val="none"/>
        </w:rPr>
      </w:pPr>
      <w:r>
        <w:rPr>
          <w:rFonts w:hint="eastAsia" w:ascii="黑体" w:hAnsi="黑体" w:eastAsia="黑体" w:cs="黑体"/>
          <w:color w:val="auto"/>
          <w:sz w:val="24"/>
          <w:szCs w:val="24"/>
          <w:highlight w:val="none"/>
        </w:rPr>
        <w:t>★</w:t>
      </w:r>
      <w:r>
        <w:rPr>
          <w:rFonts w:hint="eastAsia" w:hAnsi="宋体" w:cs="宋体"/>
          <w:color w:val="auto"/>
          <w:sz w:val="24"/>
          <w:szCs w:val="24"/>
          <w:highlight w:val="none"/>
        </w:rPr>
        <w:t>2、交货地点</w:t>
      </w:r>
      <w:r>
        <w:rPr>
          <w:rFonts w:hint="eastAsia" w:hAnsi="宋体" w:cs="宋体"/>
          <w:color w:val="auto"/>
          <w:sz w:val="24"/>
          <w:szCs w:val="24"/>
          <w:highlight w:val="none"/>
          <w:lang w:eastAsia="zh-CN"/>
        </w:rPr>
        <w:t>：</w:t>
      </w:r>
      <w:r>
        <w:rPr>
          <w:rFonts w:hint="eastAsia" w:hAnsi="宋体" w:cs="宋体"/>
          <w:color w:val="auto"/>
          <w:sz w:val="24"/>
          <w:highlight w:val="none"/>
        </w:rPr>
        <w:t>西南科技大学校内指定地点。</w:t>
      </w:r>
    </w:p>
    <w:p w14:paraId="447BC7C1">
      <w:pPr>
        <w:widowControl/>
        <w:shd w:val="clear"/>
        <w:spacing w:line="360" w:lineRule="auto"/>
        <w:ind w:firstLine="480" w:firstLineChars="200"/>
        <w:jc w:val="left"/>
        <w:rPr>
          <w:rFonts w:hint="eastAsia" w:hAnsi="宋体" w:cs="宋体"/>
          <w:color w:val="auto"/>
          <w:sz w:val="24"/>
          <w:szCs w:val="24"/>
          <w:highlight w:val="none"/>
          <w:lang w:eastAsia="zh-CN"/>
        </w:rPr>
      </w:pPr>
      <w:r>
        <w:rPr>
          <w:rFonts w:hint="eastAsia" w:ascii="黑体" w:hAnsi="黑体" w:eastAsia="黑体" w:cs="黑体"/>
          <w:color w:val="auto"/>
          <w:sz w:val="24"/>
          <w:szCs w:val="24"/>
          <w:highlight w:val="none"/>
        </w:rPr>
        <w:t>★</w:t>
      </w:r>
      <w:r>
        <w:rPr>
          <w:rFonts w:hint="eastAsia" w:hAnsi="宋体" w:cs="宋体"/>
          <w:color w:val="auto"/>
          <w:sz w:val="24"/>
          <w:szCs w:val="24"/>
          <w:highlight w:val="none"/>
        </w:rPr>
        <w:t>3、付款方式</w:t>
      </w:r>
      <w:r>
        <w:rPr>
          <w:rFonts w:hint="eastAsia" w:hAnsi="宋体" w:cs="宋体"/>
          <w:color w:val="auto"/>
          <w:sz w:val="24"/>
          <w:szCs w:val="24"/>
          <w:highlight w:val="none"/>
          <w:lang w:eastAsia="zh-CN"/>
        </w:rPr>
        <w:t>、</w:t>
      </w:r>
      <w:r>
        <w:rPr>
          <w:rFonts w:hint="eastAsia" w:hAnsi="宋体" w:cs="宋体"/>
          <w:color w:val="auto"/>
          <w:sz w:val="24"/>
          <w:szCs w:val="24"/>
          <w:highlight w:val="none"/>
          <w:lang w:val="en-US" w:eastAsia="zh-CN"/>
        </w:rPr>
        <w:t>进度</w:t>
      </w:r>
      <w:r>
        <w:rPr>
          <w:rFonts w:hint="eastAsia" w:hAnsi="宋体" w:cs="宋体"/>
          <w:color w:val="auto"/>
          <w:sz w:val="24"/>
          <w:szCs w:val="24"/>
          <w:highlight w:val="none"/>
          <w:lang w:eastAsia="zh-CN"/>
        </w:rPr>
        <w:t>：</w:t>
      </w:r>
    </w:p>
    <w:p w14:paraId="546C60D8">
      <w:pPr>
        <w:widowControl/>
        <w:shd w:val="clear"/>
        <w:spacing w:line="360" w:lineRule="auto"/>
        <w:ind w:firstLine="480" w:firstLineChars="200"/>
        <w:jc w:val="left"/>
        <w:rPr>
          <w:rFonts w:hint="eastAsia" w:hAnsi="宋体" w:cs="宋体"/>
          <w:color w:val="auto"/>
          <w:sz w:val="24"/>
          <w:szCs w:val="24"/>
          <w:highlight w:val="none"/>
          <w:lang w:eastAsia="zh-CN"/>
        </w:rPr>
      </w:pPr>
      <w:r>
        <w:rPr>
          <w:rFonts w:hint="eastAsia" w:hAnsi="宋体" w:cs="宋体"/>
          <w:color w:val="auto"/>
          <w:sz w:val="24"/>
          <w:szCs w:val="24"/>
          <w:highlight w:val="none"/>
          <w:lang w:eastAsia="zh-CN"/>
        </w:rPr>
        <w:t>第一，经采购人组织履约验收合格且中标人协助采购人完成本项目涉及采购标的物资产入库后，中标人须及时向采购人提供真实有效的增值税专用发票。采购人在收到中标人提供的增值税专用发票后1</w:t>
      </w:r>
      <w:r>
        <w:rPr>
          <w:rFonts w:hint="eastAsia" w:hAnsi="宋体" w:cs="宋体"/>
          <w:color w:val="auto"/>
          <w:sz w:val="24"/>
          <w:szCs w:val="24"/>
          <w:highlight w:val="none"/>
          <w:lang w:val="en-US" w:eastAsia="zh-CN"/>
        </w:rPr>
        <w:t>0</w:t>
      </w:r>
      <w:r>
        <w:rPr>
          <w:rFonts w:hint="eastAsia" w:hAnsi="宋体" w:cs="宋体"/>
          <w:color w:val="auto"/>
          <w:sz w:val="24"/>
          <w:szCs w:val="24"/>
          <w:highlight w:val="none"/>
          <w:lang w:eastAsia="zh-CN"/>
        </w:rPr>
        <w:t>个工作日内，采购人依据合同金额向中标人支付全额货款。</w:t>
      </w:r>
    </w:p>
    <w:p w14:paraId="60C54FD1">
      <w:pPr>
        <w:widowControl/>
        <w:shd w:val="clear"/>
        <w:spacing w:line="360" w:lineRule="auto"/>
        <w:ind w:firstLine="480" w:firstLineChars="200"/>
        <w:jc w:val="left"/>
        <w:rPr>
          <w:rFonts w:hint="eastAsia" w:hAnsi="宋体" w:cs="宋体"/>
          <w:color w:val="auto"/>
          <w:sz w:val="24"/>
          <w:szCs w:val="24"/>
          <w:highlight w:val="none"/>
          <w:lang w:eastAsia="zh-CN"/>
        </w:rPr>
      </w:pPr>
      <w:r>
        <w:rPr>
          <w:rFonts w:hint="eastAsia" w:hAnsi="宋体" w:cs="宋体"/>
          <w:color w:val="auto"/>
          <w:sz w:val="24"/>
          <w:szCs w:val="24"/>
          <w:highlight w:val="none"/>
          <w:lang w:eastAsia="zh-CN"/>
        </w:rPr>
        <w:t>第二，若结算时双方存在款项争议，待争议解决后再支付货款，付款手续按采购人财务相关规定进行。中标人未提供符合规定的发票及货物验收单等资料或资料不齐全、不符合约定的，采购人有权拒绝付款，因此导致迟延付款的责任及造成的采购人损失由中标人自行承担，且中标人不得因此拒绝履行合同，否则应按合同约定承担违约责任。</w:t>
      </w:r>
    </w:p>
    <w:p w14:paraId="15200BDE">
      <w:pPr>
        <w:widowControl/>
        <w:shd w:val="clear"/>
        <w:spacing w:line="360" w:lineRule="auto"/>
        <w:ind w:firstLine="480" w:firstLineChars="200"/>
        <w:jc w:val="left"/>
        <w:rPr>
          <w:rFonts w:hint="eastAsia" w:hAnsi="宋体" w:cs="宋体"/>
          <w:color w:val="auto"/>
          <w:sz w:val="24"/>
          <w:szCs w:val="24"/>
          <w:highlight w:val="none"/>
          <w:lang w:eastAsia="zh-CN"/>
        </w:rPr>
      </w:pPr>
      <w:r>
        <w:rPr>
          <w:rFonts w:hint="eastAsia" w:hAnsi="宋体" w:cs="宋体"/>
          <w:color w:val="auto"/>
          <w:sz w:val="24"/>
          <w:szCs w:val="24"/>
          <w:highlight w:val="none"/>
          <w:lang w:eastAsia="zh-CN"/>
        </w:rPr>
        <w:t>第三，若当年年底按照约定不能支付的，采购人应及时告知中标人，并顺延至次年上级财政预算下达后继续支付全额货款。</w:t>
      </w:r>
    </w:p>
    <w:p w14:paraId="0635117E">
      <w:pPr>
        <w:widowControl/>
        <w:shd w:val="clear"/>
        <w:spacing w:line="360" w:lineRule="auto"/>
        <w:ind w:firstLine="480" w:firstLineChars="200"/>
        <w:jc w:val="left"/>
        <w:rPr>
          <w:rFonts w:hint="eastAsia" w:hAnsi="宋体" w:cs="宋体"/>
          <w:color w:val="auto"/>
          <w:sz w:val="24"/>
          <w:szCs w:val="24"/>
          <w:highlight w:val="none"/>
        </w:rPr>
      </w:pPr>
      <w:r>
        <w:rPr>
          <w:rFonts w:hint="eastAsia" w:ascii="黑体" w:hAnsi="黑体" w:eastAsia="黑体" w:cs="黑体"/>
          <w:color w:val="auto"/>
          <w:sz w:val="24"/>
          <w:szCs w:val="24"/>
          <w:highlight w:val="none"/>
        </w:rPr>
        <w:t>★</w:t>
      </w:r>
      <w:r>
        <w:rPr>
          <w:rFonts w:hint="eastAsia" w:hAnsi="宋体" w:cs="宋体"/>
          <w:color w:val="auto"/>
          <w:sz w:val="24"/>
          <w:szCs w:val="24"/>
          <w:highlight w:val="none"/>
        </w:rPr>
        <w:t>4、履约保证金:</w:t>
      </w:r>
    </w:p>
    <w:p w14:paraId="12922A5F">
      <w:pPr>
        <w:widowControl/>
        <w:shd w:val="clear"/>
        <w:spacing w:line="360" w:lineRule="auto"/>
        <w:ind w:firstLine="480" w:firstLineChars="200"/>
        <w:jc w:val="left"/>
        <w:rPr>
          <w:rFonts w:hint="eastAsia" w:hAnsi="宋体" w:cs="宋体"/>
          <w:color w:val="auto"/>
          <w:sz w:val="24"/>
          <w:szCs w:val="24"/>
          <w:highlight w:val="none"/>
        </w:rPr>
      </w:pPr>
      <w:r>
        <w:rPr>
          <w:rFonts w:hint="eastAsia" w:hAnsi="宋体" w:cs="宋体"/>
          <w:color w:val="auto"/>
          <w:sz w:val="24"/>
          <w:szCs w:val="24"/>
          <w:highlight w:val="none"/>
          <w:lang w:val="en-US" w:eastAsia="zh-CN"/>
        </w:rPr>
        <w:t>第一，</w:t>
      </w:r>
      <w:r>
        <w:rPr>
          <w:rFonts w:hint="eastAsia" w:hAnsi="宋体" w:cs="宋体"/>
          <w:color w:val="auto"/>
          <w:sz w:val="24"/>
          <w:szCs w:val="24"/>
          <w:highlight w:val="none"/>
        </w:rPr>
        <w:t>金额：合同金额（即中标金额）的5%。</w:t>
      </w:r>
    </w:p>
    <w:p w14:paraId="25FF9B1E">
      <w:pPr>
        <w:widowControl/>
        <w:shd w:val="clear"/>
        <w:spacing w:line="360" w:lineRule="auto"/>
        <w:ind w:firstLine="480" w:firstLineChars="200"/>
        <w:jc w:val="left"/>
        <w:rPr>
          <w:rFonts w:hint="eastAsia" w:hAnsi="宋体" w:cs="宋体"/>
          <w:color w:val="auto"/>
          <w:sz w:val="24"/>
          <w:szCs w:val="24"/>
          <w:highlight w:val="none"/>
        </w:rPr>
      </w:pPr>
      <w:r>
        <w:rPr>
          <w:rFonts w:hint="eastAsia" w:hAnsi="宋体" w:cs="宋体"/>
          <w:color w:val="auto"/>
          <w:sz w:val="24"/>
          <w:szCs w:val="24"/>
          <w:highlight w:val="none"/>
          <w:lang w:val="en-US" w:eastAsia="zh-CN"/>
        </w:rPr>
        <w:t>第二，</w:t>
      </w:r>
      <w:r>
        <w:rPr>
          <w:rFonts w:hint="eastAsia" w:hAnsi="宋体" w:cs="宋体"/>
          <w:color w:val="auto"/>
          <w:sz w:val="24"/>
          <w:szCs w:val="24"/>
          <w:highlight w:val="none"/>
        </w:rPr>
        <w:t>交款方式：网银转账、支票、汇票、本票、金融机构或担保机构出具的保函等非现金方式缴纳至采购人。</w:t>
      </w:r>
    </w:p>
    <w:p w14:paraId="36B4C4D3">
      <w:pPr>
        <w:widowControl/>
        <w:shd w:val="clear"/>
        <w:spacing w:line="360" w:lineRule="auto"/>
        <w:ind w:firstLine="480" w:firstLineChars="200"/>
        <w:jc w:val="left"/>
        <w:rPr>
          <w:rFonts w:hint="eastAsia" w:hAnsi="宋体" w:cs="宋体"/>
          <w:color w:val="auto"/>
          <w:sz w:val="24"/>
          <w:szCs w:val="24"/>
          <w:highlight w:val="none"/>
        </w:rPr>
      </w:pPr>
      <w:r>
        <w:rPr>
          <w:rFonts w:hint="eastAsia" w:hAnsi="宋体" w:cs="宋体"/>
          <w:color w:val="auto"/>
          <w:sz w:val="24"/>
          <w:szCs w:val="24"/>
          <w:highlight w:val="none"/>
          <w:lang w:val="en-US" w:eastAsia="zh-CN"/>
        </w:rPr>
        <w:t>第三，</w:t>
      </w:r>
      <w:r>
        <w:rPr>
          <w:rFonts w:hint="eastAsia" w:hAnsi="宋体" w:cs="宋体"/>
          <w:color w:val="auto"/>
          <w:sz w:val="24"/>
          <w:szCs w:val="24"/>
          <w:highlight w:val="none"/>
        </w:rPr>
        <w:t>收款单位：西南科技大学。</w:t>
      </w:r>
    </w:p>
    <w:p w14:paraId="37915BDB">
      <w:pPr>
        <w:widowControl/>
        <w:shd w:val="clear"/>
        <w:spacing w:line="360" w:lineRule="auto"/>
        <w:ind w:firstLine="1200" w:firstLineChars="500"/>
        <w:jc w:val="left"/>
        <w:rPr>
          <w:rFonts w:hint="eastAsia" w:hAnsi="宋体" w:cs="宋体"/>
          <w:color w:val="auto"/>
          <w:sz w:val="24"/>
          <w:szCs w:val="24"/>
          <w:highlight w:val="none"/>
        </w:rPr>
      </w:pPr>
      <w:r>
        <w:rPr>
          <w:rFonts w:hint="eastAsia" w:hAnsi="宋体" w:cs="宋体"/>
          <w:color w:val="auto"/>
          <w:sz w:val="24"/>
          <w:szCs w:val="24"/>
          <w:highlight w:val="none"/>
        </w:rPr>
        <w:t>开户银行：中国农业银行绵阳西南科技大学支行</w:t>
      </w:r>
    </w:p>
    <w:p w14:paraId="7E9E2C9E">
      <w:pPr>
        <w:widowControl/>
        <w:shd w:val="clear"/>
        <w:spacing w:line="360" w:lineRule="auto"/>
        <w:ind w:firstLine="1200" w:firstLineChars="500"/>
        <w:jc w:val="left"/>
        <w:rPr>
          <w:rFonts w:hint="eastAsia" w:hAnsi="宋体" w:cs="宋体"/>
          <w:color w:val="auto"/>
          <w:sz w:val="24"/>
          <w:szCs w:val="24"/>
          <w:highlight w:val="none"/>
        </w:rPr>
      </w:pPr>
      <w:r>
        <w:rPr>
          <w:rFonts w:hint="eastAsia" w:hAnsi="宋体" w:cs="宋体"/>
          <w:color w:val="auto"/>
          <w:sz w:val="24"/>
          <w:szCs w:val="24"/>
          <w:highlight w:val="none"/>
        </w:rPr>
        <w:t>账号：22-240901040000456</w:t>
      </w:r>
    </w:p>
    <w:p w14:paraId="5D9C2B3E">
      <w:pPr>
        <w:widowControl/>
        <w:shd w:val="clear"/>
        <w:spacing w:line="360" w:lineRule="auto"/>
        <w:ind w:firstLine="480" w:firstLineChars="200"/>
        <w:jc w:val="left"/>
        <w:rPr>
          <w:rFonts w:hint="eastAsia" w:hAnsi="宋体" w:cs="宋体"/>
          <w:color w:val="auto"/>
          <w:sz w:val="24"/>
          <w:szCs w:val="24"/>
          <w:highlight w:val="none"/>
        </w:rPr>
      </w:pPr>
      <w:r>
        <w:rPr>
          <w:rFonts w:hint="eastAsia" w:hAnsi="宋体" w:cs="宋体"/>
          <w:color w:val="auto"/>
          <w:sz w:val="24"/>
          <w:szCs w:val="24"/>
          <w:highlight w:val="none"/>
          <w:lang w:val="en-US" w:eastAsia="zh-CN"/>
        </w:rPr>
        <w:t>第四，</w:t>
      </w:r>
      <w:r>
        <w:rPr>
          <w:rFonts w:hint="eastAsia" w:hAnsi="宋体" w:cs="宋体"/>
          <w:color w:val="auto"/>
          <w:sz w:val="24"/>
          <w:szCs w:val="24"/>
          <w:highlight w:val="none"/>
        </w:rPr>
        <w:t>交款时间：中标通知书发放后，采购合同签订前。</w:t>
      </w:r>
    </w:p>
    <w:p w14:paraId="3E139062">
      <w:pPr>
        <w:widowControl/>
        <w:shd w:val="clear"/>
        <w:spacing w:line="360" w:lineRule="auto"/>
        <w:ind w:firstLine="480" w:firstLineChars="200"/>
        <w:jc w:val="left"/>
        <w:rPr>
          <w:rFonts w:hint="eastAsia" w:hAnsi="宋体" w:cs="宋体"/>
          <w:color w:val="auto"/>
          <w:sz w:val="24"/>
          <w:szCs w:val="24"/>
          <w:highlight w:val="none"/>
        </w:rPr>
      </w:pPr>
      <w:r>
        <w:rPr>
          <w:rFonts w:hint="eastAsia" w:hAnsi="宋体" w:cs="宋体"/>
          <w:color w:val="auto"/>
          <w:sz w:val="24"/>
          <w:szCs w:val="24"/>
          <w:highlight w:val="none"/>
          <w:lang w:val="en-US" w:eastAsia="zh-CN"/>
        </w:rPr>
        <w:t>第五，</w:t>
      </w:r>
      <w:r>
        <w:rPr>
          <w:rFonts w:hint="eastAsia" w:hAnsi="宋体" w:cs="宋体"/>
          <w:color w:val="auto"/>
          <w:sz w:val="24"/>
          <w:szCs w:val="24"/>
          <w:highlight w:val="none"/>
        </w:rPr>
        <w:t>退款时间和方式：本项目履约保证金自采购人自行验收合格之日起1年后，由中标人向采购人提出申请，采购人根据中标人实际履约情况（无息）退还。履约保证金不予退还情形应包括履约验收结果不合格或中标人未按合同履约或其他违反国家相关法律法规的情形。履约保证金不予退还的，将按照有关规定上缴同级财政部门。</w:t>
      </w:r>
    </w:p>
    <w:p w14:paraId="011B9D67">
      <w:pPr>
        <w:widowControl/>
        <w:shd w:val="clear"/>
        <w:spacing w:line="360" w:lineRule="auto"/>
        <w:ind w:firstLine="480" w:firstLineChars="200"/>
        <w:jc w:val="left"/>
        <w:rPr>
          <w:rFonts w:hint="eastAsia" w:hAnsi="宋体" w:cs="宋体"/>
          <w:color w:val="auto"/>
          <w:sz w:val="24"/>
          <w:szCs w:val="24"/>
          <w:highlight w:val="none"/>
        </w:rPr>
      </w:pPr>
      <w:r>
        <w:rPr>
          <w:rFonts w:hint="eastAsia" w:hAnsi="宋体" w:cs="宋体"/>
          <w:color w:val="auto"/>
          <w:sz w:val="24"/>
          <w:szCs w:val="24"/>
          <w:highlight w:val="none"/>
        </w:rPr>
        <w:t>注：提供保函的的担保机构必须是依法成立的具有相关资质和偿付能力的担保机构。保函是银行等金融机构出具的，保函必须要在中国人民银行征信系统能够进行查询，否则视为</w:t>
      </w:r>
      <w:r>
        <w:rPr>
          <w:rFonts w:hint="eastAsia" w:hAnsi="宋体" w:cs="宋体"/>
          <w:color w:val="auto"/>
          <w:sz w:val="24"/>
          <w:szCs w:val="24"/>
          <w:highlight w:val="none"/>
          <w:lang w:eastAsia="zh-CN"/>
        </w:rPr>
        <w:t>中标人</w:t>
      </w:r>
      <w:r>
        <w:rPr>
          <w:rFonts w:hint="eastAsia" w:hAnsi="宋体" w:cs="宋体"/>
          <w:color w:val="auto"/>
          <w:sz w:val="24"/>
          <w:szCs w:val="24"/>
          <w:highlight w:val="none"/>
        </w:rPr>
        <w:t>未有效缴纳履约保证金；若</w:t>
      </w:r>
      <w:r>
        <w:rPr>
          <w:rFonts w:hint="eastAsia" w:hAnsi="宋体" w:cs="宋体"/>
          <w:color w:val="auto"/>
          <w:sz w:val="24"/>
          <w:szCs w:val="24"/>
          <w:highlight w:val="none"/>
          <w:lang w:eastAsia="zh-CN"/>
        </w:rPr>
        <w:t>中标人</w:t>
      </w:r>
      <w:r>
        <w:rPr>
          <w:rFonts w:hint="eastAsia" w:hAnsi="宋体" w:cs="宋体"/>
          <w:color w:val="auto"/>
          <w:sz w:val="24"/>
          <w:szCs w:val="24"/>
          <w:highlight w:val="none"/>
        </w:rPr>
        <w:t>逾期仍未有效缴纳履约保证金的，将视</w:t>
      </w:r>
      <w:r>
        <w:rPr>
          <w:rFonts w:hint="eastAsia" w:hAnsi="宋体" w:cs="宋体"/>
          <w:color w:val="auto"/>
          <w:sz w:val="24"/>
          <w:szCs w:val="24"/>
          <w:highlight w:val="none"/>
          <w:lang w:eastAsia="zh-CN"/>
        </w:rPr>
        <w:t>中标人</w:t>
      </w:r>
      <w:r>
        <w:rPr>
          <w:rFonts w:hint="eastAsia" w:hAnsi="宋体" w:cs="宋体"/>
          <w:color w:val="auto"/>
          <w:sz w:val="24"/>
          <w:szCs w:val="24"/>
          <w:highlight w:val="none"/>
        </w:rPr>
        <w:t>放弃中标资格，采购人将重新确定</w:t>
      </w:r>
      <w:r>
        <w:rPr>
          <w:rFonts w:hint="eastAsia" w:hAnsi="宋体" w:cs="宋体"/>
          <w:color w:val="auto"/>
          <w:sz w:val="24"/>
          <w:szCs w:val="24"/>
          <w:highlight w:val="none"/>
          <w:lang w:eastAsia="zh-CN"/>
        </w:rPr>
        <w:t>中标人</w:t>
      </w:r>
      <w:r>
        <w:rPr>
          <w:rFonts w:hint="eastAsia" w:hAnsi="宋体" w:cs="宋体"/>
          <w:color w:val="auto"/>
          <w:sz w:val="24"/>
          <w:szCs w:val="24"/>
          <w:highlight w:val="none"/>
        </w:rPr>
        <w:t>。</w:t>
      </w:r>
    </w:p>
    <w:p w14:paraId="03DE69CE">
      <w:pPr>
        <w:pStyle w:val="8"/>
        <w:shd w:val="clear"/>
        <w:spacing w:line="360" w:lineRule="auto"/>
        <w:ind w:firstLineChars="175"/>
        <w:rPr>
          <w:rFonts w:hint="eastAsia" w:hAnsi="宋体" w:eastAsia="宋体" w:cs="宋体"/>
          <w:color w:val="auto"/>
          <w:sz w:val="24"/>
          <w:highlight w:val="none"/>
          <w:lang w:eastAsia="zh-CN"/>
        </w:rPr>
      </w:pPr>
      <w:r>
        <w:rPr>
          <w:rFonts w:hint="eastAsia" w:ascii="黑体" w:hAnsi="黑体" w:eastAsia="黑体" w:cs="黑体"/>
          <w:color w:val="auto"/>
          <w:sz w:val="24"/>
          <w:highlight w:val="none"/>
        </w:rPr>
        <w:t>★</w:t>
      </w:r>
      <w:r>
        <w:rPr>
          <w:rFonts w:hint="eastAsia" w:hAnsi="宋体" w:cs="宋体"/>
          <w:color w:val="auto"/>
          <w:sz w:val="24"/>
          <w:highlight w:val="none"/>
        </w:rPr>
        <w:t>5、</w:t>
      </w:r>
      <w:r>
        <w:rPr>
          <w:rFonts w:hint="eastAsia" w:hAnsi="宋体" w:cs="宋体"/>
          <w:color w:val="auto"/>
          <w:sz w:val="24"/>
          <w:highlight w:val="none"/>
          <w:lang w:val="en-US" w:eastAsia="zh-CN"/>
        </w:rPr>
        <w:t>履约</w:t>
      </w:r>
      <w:r>
        <w:rPr>
          <w:rFonts w:hint="eastAsia" w:hAnsi="宋体" w:cs="宋体"/>
          <w:color w:val="auto"/>
          <w:sz w:val="24"/>
          <w:highlight w:val="none"/>
        </w:rPr>
        <w:t>验收</w:t>
      </w:r>
      <w:r>
        <w:rPr>
          <w:rFonts w:hint="eastAsia" w:hAnsi="宋体" w:cs="宋体"/>
          <w:color w:val="auto"/>
          <w:sz w:val="24"/>
          <w:highlight w:val="none"/>
          <w:lang w:val="en-US" w:eastAsia="zh-CN"/>
        </w:rPr>
        <w:t>标准与程序</w:t>
      </w:r>
      <w:r>
        <w:rPr>
          <w:rFonts w:hint="eastAsia" w:hAnsi="宋体" w:cs="宋体"/>
          <w:color w:val="auto"/>
          <w:sz w:val="24"/>
          <w:highlight w:val="none"/>
          <w:lang w:eastAsia="zh-CN"/>
        </w:rPr>
        <w:t>：</w:t>
      </w:r>
    </w:p>
    <w:p w14:paraId="4111D07E">
      <w:pPr>
        <w:shd w:val="clear"/>
        <w:adjustRightInd w:val="0"/>
        <w:spacing w:line="360" w:lineRule="auto"/>
        <w:ind w:firstLine="480"/>
        <w:jc w:val="left"/>
        <w:rPr>
          <w:rFonts w:hAnsi="宋体" w:cs="宋体"/>
          <w:color w:val="auto"/>
          <w:sz w:val="24"/>
          <w:highlight w:val="none"/>
          <w:lang w:val="zh-CN"/>
        </w:rPr>
      </w:pPr>
      <w:r>
        <w:rPr>
          <w:rFonts w:hint="eastAsia" w:hAnsi="宋体" w:cs="宋体"/>
          <w:color w:val="auto"/>
          <w:sz w:val="24"/>
          <w:highlight w:val="none"/>
          <w:lang w:val="zh-CN"/>
        </w:rPr>
        <w:t>（1）履约验收标准：</w:t>
      </w:r>
    </w:p>
    <w:p w14:paraId="610ECEFB">
      <w:pPr>
        <w:shd w:val="clear"/>
        <w:adjustRightInd w:val="0"/>
        <w:spacing w:line="360" w:lineRule="auto"/>
        <w:ind w:firstLine="480"/>
        <w:jc w:val="left"/>
        <w:rPr>
          <w:rFonts w:hAnsi="宋体" w:cs="宋体"/>
          <w:color w:val="auto"/>
          <w:sz w:val="24"/>
          <w:highlight w:val="none"/>
          <w:lang w:val="zh-CN"/>
        </w:rPr>
      </w:pPr>
      <w:r>
        <w:rPr>
          <w:rFonts w:hint="eastAsia" w:hAnsi="宋体" w:cs="宋体"/>
          <w:color w:val="auto"/>
          <w:sz w:val="24"/>
          <w:highlight w:val="none"/>
          <w:lang w:val="zh-CN"/>
        </w:rPr>
        <w:t>第一，本项目履约验收工作由采购人依据《财政部关于进一步加强政府采购需求和履约验收管理的指导意见》（财库〔2016〕205号）、《绵阳市财政局关于进一步做好政府采购项目履约验收工作的通知》(绵财采〔2021〕15号)、</w:t>
      </w:r>
      <w:r>
        <w:rPr>
          <w:rFonts w:hint="eastAsia" w:ascii="宋体" w:hAnsi="宋体" w:cs="宋体"/>
          <w:color w:val="auto"/>
          <w:sz w:val="24"/>
          <w:highlight w:val="none"/>
        </w:rPr>
        <w:t>《西南科技大学货物、服务采购项目履约验收管理办法》（西南科大资实字〔2018〕10号）</w:t>
      </w:r>
      <w:r>
        <w:rPr>
          <w:rFonts w:hint="eastAsia" w:ascii="宋体" w:hAnsi="宋体" w:cs="宋体"/>
          <w:color w:val="auto"/>
          <w:sz w:val="24"/>
          <w:highlight w:val="none"/>
          <w:lang w:eastAsia="zh-CN"/>
        </w:rPr>
        <w:t>、</w:t>
      </w:r>
      <w:r>
        <w:rPr>
          <w:rFonts w:hint="default" w:ascii="Times New Roman" w:hAnsi="Times New Roman" w:eastAsia="宋体" w:cs="Times New Roman"/>
          <w:color w:val="auto"/>
          <w:kern w:val="0"/>
          <w:sz w:val="24"/>
          <w:highlight w:val="none"/>
          <w:lang w:val="zh-CN"/>
        </w:rPr>
        <w:t>《关于进一步加强履约验收管理的通知》（西南科大资实字〔2021〕3号）</w:t>
      </w:r>
      <w:r>
        <w:rPr>
          <w:rFonts w:hint="eastAsia" w:ascii="宋体" w:hAnsi="宋体" w:cs="宋体"/>
          <w:color w:val="auto"/>
          <w:sz w:val="24"/>
          <w:highlight w:val="none"/>
        </w:rPr>
        <w:t>的有关要求</w:t>
      </w:r>
      <w:r>
        <w:rPr>
          <w:rFonts w:hint="eastAsia" w:hAnsi="宋体" w:cs="宋体"/>
          <w:color w:val="auto"/>
          <w:sz w:val="24"/>
          <w:highlight w:val="none"/>
          <w:lang w:val="zh-CN"/>
        </w:rPr>
        <w:t>执行。</w:t>
      </w:r>
    </w:p>
    <w:p w14:paraId="1AB299B8">
      <w:pPr>
        <w:shd w:val="clear"/>
        <w:adjustRightInd w:val="0"/>
        <w:spacing w:line="360" w:lineRule="auto"/>
        <w:ind w:firstLine="480"/>
        <w:jc w:val="left"/>
        <w:rPr>
          <w:rFonts w:hAnsi="宋体" w:cs="宋体"/>
          <w:color w:val="auto"/>
          <w:sz w:val="24"/>
          <w:highlight w:val="none"/>
          <w:lang w:val="zh-CN"/>
        </w:rPr>
      </w:pPr>
      <w:r>
        <w:rPr>
          <w:rFonts w:hint="eastAsia" w:hAnsi="宋体" w:cs="宋体"/>
          <w:color w:val="auto"/>
          <w:sz w:val="24"/>
          <w:highlight w:val="none"/>
          <w:lang w:val="zh-CN"/>
        </w:rPr>
        <w:t>第二，采购人将依据合同条款、</w:t>
      </w:r>
      <w:r>
        <w:rPr>
          <w:rFonts w:hint="eastAsia" w:hAnsi="宋体" w:cs="宋体"/>
          <w:color w:val="auto"/>
          <w:sz w:val="24"/>
          <w:highlight w:val="none"/>
        </w:rPr>
        <w:t>招标文件</w:t>
      </w:r>
      <w:r>
        <w:rPr>
          <w:rFonts w:hint="eastAsia" w:hAnsi="宋体" w:cs="宋体"/>
          <w:color w:val="auto"/>
          <w:sz w:val="24"/>
          <w:highlight w:val="none"/>
          <w:lang w:val="zh-CN"/>
        </w:rPr>
        <w:t>要求、商务要求以及投标人文件响应及承诺内容进行验收。</w:t>
      </w:r>
    </w:p>
    <w:p w14:paraId="6A7C8D62">
      <w:pPr>
        <w:shd w:val="clear"/>
        <w:adjustRightInd w:val="0"/>
        <w:spacing w:line="360" w:lineRule="auto"/>
        <w:ind w:firstLine="480"/>
        <w:jc w:val="left"/>
        <w:rPr>
          <w:rFonts w:hAnsi="宋体" w:cs="宋体"/>
          <w:color w:val="auto"/>
          <w:sz w:val="24"/>
          <w:highlight w:val="none"/>
          <w:lang w:val="zh-CN"/>
        </w:rPr>
      </w:pPr>
      <w:r>
        <w:rPr>
          <w:rFonts w:hint="eastAsia" w:hAnsi="宋体" w:cs="宋体"/>
          <w:color w:val="auto"/>
          <w:sz w:val="24"/>
          <w:highlight w:val="none"/>
          <w:lang w:val="zh-CN"/>
        </w:rPr>
        <w:t>（2）履约验收程序与要求：</w:t>
      </w:r>
    </w:p>
    <w:p w14:paraId="4785A308">
      <w:pPr>
        <w:pStyle w:val="8"/>
        <w:shd w:val="clear"/>
        <w:spacing w:line="360" w:lineRule="auto"/>
        <w:ind w:firstLineChars="175"/>
        <w:rPr>
          <w:rFonts w:hint="eastAsia" w:hAnsi="宋体" w:cs="宋体"/>
          <w:color w:val="auto"/>
          <w:sz w:val="24"/>
          <w:highlight w:val="none"/>
          <w:lang w:val="zh-CN"/>
        </w:rPr>
      </w:pPr>
      <w:r>
        <w:rPr>
          <w:rFonts w:hint="eastAsia" w:hAnsi="宋体" w:cs="宋体"/>
          <w:color w:val="auto"/>
          <w:sz w:val="24"/>
          <w:highlight w:val="none"/>
          <w:lang w:val="zh-CN"/>
        </w:rPr>
        <w:t>第一，中标人须依据本项目合同条款、技术服务协议全部供货且安装、调试、检测直至所投设备（货物）全部正常运行完成后，向采购人提出履约验收申请，采购人在收到中标人提出的履约验收申请后</w:t>
      </w:r>
      <w:r>
        <w:rPr>
          <w:rFonts w:hint="eastAsia" w:hAnsi="宋体" w:cs="宋体"/>
          <w:color w:val="auto"/>
          <w:sz w:val="24"/>
          <w:highlight w:val="none"/>
          <w:lang w:val="en-US" w:eastAsia="zh-CN"/>
        </w:rPr>
        <w:t>20</w:t>
      </w:r>
      <w:r>
        <w:rPr>
          <w:rFonts w:hint="eastAsia" w:hAnsi="宋体" w:cs="宋体"/>
          <w:color w:val="auto"/>
          <w:sz w:val="24"/>
          <w:highlight w:val="none"/>
          <w:lang w:val="zh-CN"/>
        </w:rPr>
        <w:t>日内自行组织验收（中标人须配合采购人的验收工作）。若因故推迟验收的，采购人应及时通知中标人变更后的具体时间，原则上不超过中标人向采购人提出履约验收申请后30日内完成首次履约验收。</w:t>
      </w:r>
    </w:p>
    <w:p w14:paraId="1F9BDA9F">
      <w:pPr>
        <w:pStyle w:val="8"/>
        <w:shd w:val="clear"/>
        <w:spacing w:line="360" w:lineRule="auto"/>
        <w:ind w:firstLineChars="175"/>
        <w:rPr>
          <w:rFonts w:hint="eastAsia" w:hAnsi="宋体" w:cs="宋体"/>
          <w:color w:val="auto"/>
          <w:sz w:val="24"/>
          <w:highlight w:val="none"/>
          <w:lang w:val="zh-CN"/>
        </w:rPr>
      </w:pPr>
      <w:r>
        <w:rPr>
          <w:rFonts w:hint="eastAsia" w:hAnsi="宋体" w:cs="宋体"/>
          <w:color w:val="auto"/>
          <w:sz w:val="24"/>
          <w:highlight w:val="none"/>
          <w:lang w:val="en-US" w:eastAsia="zh-CN"/>
        </w:rPr>
        <w:t>第二，</w:t>
      </w:r>
      <w:r>
        <w:rPr>
          <w:rFonts w:hint="eastAsia" w:hAnsi="宋体" w:cs="宋体"/>
          <w:color w:val="auto"/>
          <w:sz w:val="24"/>
          <w:highlight w:val="none"/>
          <w:lang w:val="zh-CN"/>
        </w:rPr>
        <w:t>经采购人验收合格后，中标人、采购人分别签字确认，采购人向中标人出具《采购项目履约验收报告》。</w:t>
      </w:r>
    </w:p>
    <w:p w14:paraId="17F11B54">
      <w:pPr>
        <w:pStyle w:val="8"/>
        <w:shd w:val="clear"/>
        <w:spacing w:line="360" w:lineRule="auto"/>
        <w:ind w:firstLineChars="175"/>
        <w:rPr>
          <w:rFonts w:hint="eastAsia" w:hAnsi="宋体" w:cs="宋体"/>
          <w:color w:val="auto"/>
          <w:sz w:val="24"/>
          <w:highlight w:val="none"/>
          <w:lang w:val="zh-CN"/>
        </w:rPr>
      </w:pPr>
      <w:r>
        <w:rPr>
          <w:rFonts w:hint="eastAsia" w:hAnsi="宋体" w:cs="宋体"/>
          <w:color w:val="auto"/>
          <w:sz w:val="24"/>
          <w:highlight w:val="none"/>
          <w:lang w:val="en-US" w:eastAsia="zh-CN"/>
        </w:rPr>
        <w:t>第三，</w:t>
      </w:r>
      <w:r>
        <w:rPr>
          <w:rFonts w:hint="eastAsia" w:hAnsi="宋体" w:cs="宋体"/>
          <w:color w:val="auto"/>
          <w:sz w:val="24"/>
          <w:highlight w:val="none"/>
          <w:lang w:val="zh-CN"/>
        </w:rPr>
        <w:t>经采购人验收不合格的设备（货物），中标人应重新供货，并按要求重新提出验收申请，直至所有设备（货物）履约验收合格为止。如</w:t>
      </w:r>
      <w:r>
        <w:rPr>
          <w:rFonts w:hint="eastAsia" w:hAnsi="宋体" w:cs="宋体"/>
          <w:color w:val="auto"/>
          <w:sz w:val="24"/>
          <w:highlight w:val="none"/>
          <w:lang w:val="en-US" w:eastAsia="zh-CN"/>
        </w:rPr>
        <w:t>任一</w:t>
      </w:r>
      <w:r>
        <w:rPr>
          <w:rFonts w:hint="eastAsia" w:hAnsi="宋体" w:cs="宋体"/>
          <w:color w:val="auto"/>
          <w:sz w:val="24"/>
          <w:highlight w:val="none"/>
          <w:lang w:val="zh-CN"/>
        </w:rPr>
        <w:t>设备（货物）经中标人连续2次（针对首次供货首次验收不合格的情形，中标人再次供货与首次供货间隔时间不得超过</w:t>
      </w:r>
      <w:r>
        <w:rPr>
          <w:rFonts w:hint="eastAsia" w:hAnsi="宋体" w:cs="宋体"/>
          <w:color w:val="auto"/>
          <w:sz w:val="24"/>
          <w:highlight w:val="none"/>
          <w:lang w:val="en-US" w:eastAsia="zh-CN"/>
        </w:rPr>
        <w:t>6</w:t>
      </w:r>
      <w:r>
        <w:rPr>
          <w:rFonts w:hint="eastAsia" w:hAnsi="宋体" w:cs="宋体"/>
          <w:color w:val="auto"/>
          <w:sz w:val="24"/>
          <w:highlight w:val="none"/>
          <w:lang w:val="zh-CN"/>
        </w:rPr>
        <w:t>0日）重新供货更换全新的设备（货物）后，仍不能达到采购合同和技术服务协议约定的质量标准，采购人可依法追究中标人承担的全部违约责任，不予向中标人支付本项目采购资金，并视中标人履约验收结果不合格，不予退还中标人履约保证金。还可能会报本项目同级财政部门按照政府采购法律法规及《四川省公共资源交易领域严重失信联合惩戒实施办法》（川发改信用规〔2019〕405号）等有关规定给予行政处罚或者以失信行为记入诚信档案。</w:t>
      </w:r>
    </w:p>
    <w:p w14:paraId="77D28F63">
      <w:pPr>
        <w:widowControl/>
        <w:shd w:val="clear"/>
        <w:spacing w:line="360" w:lineRule="auto"/>
        <w:ind w:firstLine="480" w:firstLineChars="200"/>
        <w:jc w:val="left"/>
        <w:rPr>
          <w:rFonts w:hAnsi="宋体" w:cs="宋体"/>
          <w:color w:val="auto"/>
          <w:sz w:val="24"/>
          <w:szCs w:val="24"/>
          <w:highlight w:val="none"/>
        </w:rPr>
      </w:pPr>
      <w:r>
        <w:rPr>
          <w:rFonts w:hint="eastAsia" w:ascii="黑体" w:hAnsi="黑体" w:eastAsia="黑体" w:cs="黑体"/>
          <w:color w:val="auto"/>
          <w:sz w:val="24"/>
          <w:szCs w:val="24"/>
          <w:highlight w:val="none"/>
        </w:rPr>
        <w:t>★</w:t>
      </w:r>
      <w:r>
        <w:rPr>
          <w:rFonts w:hint="eastAsia" w:hAnsi="宋体" w:cs="宋体"/>
          <w:color w:val="auto"/>
          <w:sz w:val="24"/>
          <w:szCs w:val="24"/>
          <w:highlight w:val="none"/>
        </w:rPr>
        <w:t>6、质保及售后服务要求：</w:t>
      </w:r>
    </w:p>
    <w:p w14:paraId="369C02AB">
      <w:pPr>
        <w:pStyle w:val="2"/>
        <w:shd w:val="clear"/>
        <w:spacing w:line="360" w:lineRule="auto"/>
        <w:ind w:firstLine="480" w:firstLineChars="200"/>
        <w:rPr>
          <w:rFonts w:hint="eastAsia" w:ascii="宋体" w:hAnsi="宋体" w:eastAsia="宋体" w:cs="宋体"/>
          <w:color w:val="auto"/>
          <w:sz w:val="24"/>
          <w:highlight w:val="none"/>
          <w:lang w:val="zh-CN"/>
        </w:rPr>
      </w:pPr>
      <w:r>
        <w:rPr>
          <w:rFonts w:hint="eastAsia" w:ascii="宋体" w:hAnsi="宋体" w:eastAsia="宋体" w:cs="宋体"/>
          <w:color w:val="auto"/>
          <w:sz w:val="24"/>
          <w:highlight w:val="none"/>
          <w:lang w:val="en-US" w:eastAsia="zh-CN"/>
        </w:rPr>
        <w:t>第一，</w:t>
      </w:r>
      <w:r>
        <w:rPr>
          <w:rFonts w:hint="eastAsia" w:ascii="宋体" w:hAnsi="宋体" w:eastAsia="宋体" w:cs="宋体"/>
          <w:color w:val="auto"/>
          <w:sz w:val="24"/>
          <w:highlight w:val="none"/>
        </w:rPr>
        <w:t>本项目</w:t>
      </w:r>
      <w:r>
        <w:rPr>
          <w:rFonts w:hint="eastAsia" w:hAnsi="宋体" w:cs="宋体"/>
          <w:color w:val="auto"/>
          <w:sz w:val="24"/>
          <w:highlight w:val="none"/>
          <w:lang w:eastAsia="zh-CN"/>
        </w:rPr>
        <w:t>中标人</w:t>
      </w:r>
      <w:r>
        <w:rPr>
          <w:rFonts w:hint="eastAsia" w:ascii="宋体" w:hAnsi="宋体" w:eastAsia="宋体" w:cs="宋体"/>
          <w:color w:val="auto"/>
          <w:sz w:val="24"/>
          <w:highlight w:val="none"/>
        </w:rPr>
        <w:t>须提供所投设备（货物）原厂质保</w:t>
      </w:r>
      <w:r>
        <w:rPr>
          <w:rFonts w:hint="eastAsia" w:ascii="宋体" w:hAnsi="宋体" w:eastAsia="宋体" w:cs="宋体"/>
          <w:color w:val="auto"/>
          <w:sz w:val="24"/>
          <w:highlight w:val="none"/>
          <w:lang w:val="en-US" w:eastAsia="zh-CN"/>
        </w:rPr>
        <w:t>3</w:t>
      </w:r>
      <w:r>
        <w:rPr>
          <w:rFonts w:hint="eastAsia" w:ascii="宋体" w:hAnsi="宋体" w:eastAsia="宋体" w:cs="宋体"/>
          <w:color w:val="auto"/>
          <w:sz w:val="24"/>
          <w:highlight w:val="none"/>
        </w:rPr>
        <w:t>年，</w:t>
      </w:r>
      <w:r>
        <w:rPr>
          <w:rFonts w:hint="eastAsia" w:ascii="宋体" w:hAnsi="宋体" w:eastAsia="宋体" w:cs="宋体"/>
          <w:color w:val="auto"/>
          <w:sz w:val="24"/>
          <w:highlight w:val="none"/>
          <w:lang w:val="zh-CN"/>
        </w:rPr>
        <w:t>自</w:t>
      </w:r>
      <w:r>
        <w:rPr>
          <w:rFonts w:hint="eastAsia" w:ascii="宋体" w:hAnsi="宋体" w:eastAsia="宋体" w:cs="宋体"/>
          <w:color w:val="auto"/>
          <w:sz w:val="24"/>
          <w:highlight w:val="none"/>
        </w:rPr>
        <w:t>采购人自行组织的</w:t>
      </w:r>
      <w:r>
        <w:rPr>
          <w:rFonts w:hint="eastAsia" w:ascii="宋体" w:hAnsi="宋体" w:eastAsia="宋体" w:cs="宋体"/>
          <w:color w:val="auto"/>
          <w:sz w:val="24"/>
          <w:highlight w:val="none"/>
          <w:lang w:val="zh-CN"/>
        </w:rPr>
        <w:t>验收</w:t>
      </w:r>
      <w:r>
        <w:rPr>
          <w:rFonts w:hint="eastAsia" w:ascii="宋体" w:hAnsi="宋体" w:eastAsia="宋体" w:cs="宋体"/>
          <w:color w:val="auto"/>
          <w:sz w:val="24"/>
          <w:highlight w:val="none"/>
        </w:rPr>
        <w:t>合格之</w:t>
      </w:r>
      <w:r>
        <w:rPr>
          <w:rFonts w:hint="eastAsia" w:ascii="宋体" w:hAnsi="宋体" w:eastAsia="宋体" w:cs="宋体"/>
          <w:color w:val="auto"/>
          <w:sz w:val="24"/>
          <w:highlight w:val="none"/>
          <w:lang w:val="zh-CN"/>
        </w:rPr>
        <w:t>日算起。</w:t>
      </w:r>
      <w:r>
        <w:rPr>
          <w:rFonts w:hint="eastAsia" w:ascii="宋体" w:hAnsi="宋体" w:eastAsia="宋体" w:cs="宋体"/>
          <w:color w:val="auto"/>
          <w:sz w:val="24"/>
          <w:highlight w:val="none"/>
        </w:rPr>
        <w:t>在质保期内，本项目涉及采购标的物</w:t>
      </w:r>
      <w:r>
        <w:rPr>
          <w:rFonts w:hint="eastAsia" w:ascii="宋体" w:hAnsi="宋体" w:eastAsia="宋体" w:cs="宋体"/>
          <w:color w:val="auto"/>
          <w:sz w:val="24"/>
          <w:highlight w:val="none"/>
          <w:lang w:val="zh-CN"/>
        </w:rPr>
        <w:t>出现任何故障</w:t>
      </w:r>
      <w:r>
        <w:rPr>
          <w:rFonts w:hint="eastAsia" w:ascii="宋体" w:hAnsi="宋体" w:eastAsia="宋体" w:cs="宋体"/>
          <w:color w:val="auto"/>
          <w:sz w:val="24"/>
          <w:highlight w:val="none"/>
        </w:rPr>
        <w:t>质量</w:t>
      </w:r>
      <w:r>
        <w:rPr>
          <w:rFonts w:hint="eastAsia" w:ascii="宋体" w:hAnsi="宋体" w:eastAsia="宋体" w:cs="宋体"/>
          <w:color w:val="auto"/>
          <w:sz w:val="24"/>
          <w:highlight w:val="none"/>
          <w:lang w:val="zh-CN"/>
        </w:rPr>
        <w:t>问题，</w:t>
      </w:r>
      <w:r>
        <w:rPr>
          <w:rFonts w:hint="eastAsia" w:hAnsi="宋体" w:cs="宋体"/>
          <w:color w:val="auto"/>
          <w:sz w:val="24"/>
          <w:highlight w:val="none"/>
          <w:lang w:eastAsia="zh-CN"/>
        </w:rPr>
        <w:t>中标人</w:t>
      </w:r>
      <w:r>
        <w:rPr>
          <w:rFonts w:hint="eastAsia" w:ascii="宋体" w:hAnsi="宋体" w:eastAsia="宋体" w:cs="宋体"/>
          <w:color w:val="auto"/>
          <w:sz w:val="24"/>
          <w:highlight w:val="none"/>
          <w:lang w:val="zh-CN"/>
        </w:rPr>
        <w:t>应提供7×24小时的技术支持服务，</w:t>
      </w:r>
      <w:r>
        <w:rPr>
          <w:rFonts w:hint="eastAsia" w:ascii="宋体" w:hAnsi="宋体" w:eastAsia="宋体" w:cs="宋体"/>
          <w:color w:val="auto"/>
          <w:sz w:val="24"/>
          <w:highlight w:val="none"/>
        </w:rPr>
        <w:t>60</w:t>
      </w:r>
      <w:r>
        <w:rPr>
          <w:rFonts w:hint="eastAsia" w:ascii="宋体" w:hAnsi="宋体" w:eastAsia="宋体" w:cs="宋体"/>
          <w:color w:val="auto"/>
          <w:sz w:val="24"/>
          <w:highlight w:val="none"/>
          <w:lang w:val="zh-CN"/>
        </w:rPr>
        <w:t>分钟</w:t>
      </w:r>
      <w:r>
        <w:rPr>
          <w:rFonts w:hint="eastAsia" w:ascii="宋体" w:hAnsi="宋体" w:eastAsia="宋体" w:cs="宋体"/>
          <w:color w:val="auto"/>
          <w:sz w:val="24"/>
          <w:highlight w:val="none"/>
        </w:rPr>
        <w:t>内</w:t>
      </w:r>
      <w:r>
        <w:rPr>
          <w:rFonts w:hint="eastAsia" w:ascii="宋体" w:hAnsi="宋体" w:eastAsia="宋体" w:cs="宋体"/>
          <w:color w:val="auto"/>
          <w:sz w:val="24"/>
          <w:highlight w:val="none"/>
          <w:lang w:val="zh-CN"/>
        </w:rPr>
        <w:t>电话响应，一般性故障在8小时内提供解决方案，复杂性问题在24小时内提供解决方案。</w:t>
      </w:r>
    </w:p>
    <w:p w14:paraId="7D7466C6">
      <w:pPr>
        <w:pStyle w:val="2"/>
        <w:shd w:val="clear"/>
        <w:spacing w:line="360" w:lineRule="auto"/>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lang w:val="en-US" w:eastAsia="zh-CN"/>
        </w:rPr>
        <w:t>第二，</w:t>
      </w:r>
      <w:r>
        <w:rPr>
          <w:rFonts w:hint="eastAsia" w:ascii="宋体" w:hAnsi="宋体" w:eastAsia="宋体" w:cs="宋体"/>
          <w:color w:val="auto"/>
          <w:sz w:val="24"/>
          <w:highlight w:val="none"/>
        </w:rPr>
        <w:t>在质保期内，若采购人依据</w:t>
      </w:r>
      <w:r>
        <w:rPr>
          <w:rFonts w:hint="eastAsia" w:hAnsi="宋体" w:cs="宋体"/>
          <w:color w:val="auto"/>
          <w:sz w:val="24"/>
          <w:highlight w:val="none"/>
          <w:lang w:eastAsia="zh-CN"/>
        </w:rPr>
        <w:t>中标人</w:t>
      </w:r>
      <w:r>
        <w:rPr>
          <w:rFonts w:hint="eastAsia" w:ascii="宋体" w:hAnsi="宋体" w:eastAsia="宋体" w:cs="宋体"/>
          <w:color w:val="auto"/>
          <w:sz w:val="24"/>
          <w:highlight w:val="none"/>
        </w:rPr>
        <w:t>提供的解决方案无法解决故障质量问题的，</w:t>
      </w:r>
      <w:r>
        <w:rPr>
          <w:rFonts w:hint="eastAsia" w:hAnsi="宋体" w:cs="宋体"/>
          <w:color w:val="auto"/>
          <w:sz w:val="24"/>
          <w:highlight w:val="none"/>
          <w:lang w:eastAsia="zh-CN"/>
        </w:rPr>
        <w:t>中标人</w:t>
      </w:r>
      <w:r>
        <w:rPr>
          <w:rFonts w:hint="eastAsia" w:ascii="宋体" w:hAnsi="宋体" w:eastAsia="宋体" w:cs="宋体"/>
          <w:color w:val="auto"/>
          <w:sz w:val="24"/>
          <w:highlight w:val="none"/>
        </w:rPr>
        <w:t>须在收到采购人通知后24小时内及时</w:t>
      </w:r>
      <w:r>
        <w:rPr>
          <w:rFonts w:hint="eastAsia" w:ascii="宋体" w:hAnsi="宋体" w:eastAsia="宋体" w:cs="宋体"/>
          <w:color w:val="auto"/>
          <w:sz w:val="24"/>
          <w:highlight w:val="none"/>
          <w:lang w:val="zh-CN"/>
        </w:rPr>
        <w:t>指派专人至现场解决，</w:t>
      </w:r>
      <w:r>
        <w:rPr>
          <w:rFonts w:hint="eastAsia" w:ascii="宋体" w:hAnsi="宋体" w:eastAsia="宋体" w:cs="宋体"/>
          <w:color w:val="auto"/>
          <w:sz w:val="24"/>
          <w:highlight w:val="none"/>
        </w:rPr>
        <w:t>并承担由此发生的所有费用</w:t>
      </w:r>
      <w:r>
        <w:rPr>
          <w:rFonts w:hint="eastAsia" w:ascii="宋体" w:hAnsi="宋体" w:eastAsia="宋体" w:cs="宋体"/>
          <w:color w:val="auto"/>
          <w:sz w:val="24"/>
          <w:highlight w:val="none"/>
          <w:lang w:val="zh-CN"/>
        </w:rPr>
        <w:t>。</w:t>
      </w:r>
      <w:r>
        <w:rPr>
          <w:rFonts w:hint="eastAsia" w:ascii="宋体" w:hAnsi="宋体" w:eastAsia="宋体" w:cs="宋体"/>
          <w:color w:val="auto"/>
          <w:sz w:val="24"/>
          <w:highlight w:val="none"/>
        </w:rPr>
        <w:t>针对同一故障点</w:t>
      </w:r>
      <w:r>
        <w:rPr>
          <w:rFonts w:hint="eastAsia" w:hAnsi="宋体" w:cs="宋体"/>
          <w:color w:val="auto"/>
          <w:sz w:val="24"/>
          <w:highlight w:val="none"/>
          <w:lang w:eastAsia="zh-CN"/>
        </w:rPr>
        <w:t>中标人</w:t>
      </w:r>
      <w:r>
        <w:rPr>
          <w:rFonts w:hint="eastAsia" w:ascii="宋体" w:hAnsi="宋体" w:eastAsia="宋体" w:cs="宋体"/>
          <w:color w:val="auto"/>
          <w:sz w:val="24"/>
          <w:highlight w:val="none"/>
        </w:rPr>
        <w:t>委派专人赴现场第一次</w:t>
      </w:r>
      <w:r>
        <w:rPr>
          <w:rFonts w:hint="eastAsia" w:ascii="宋体" w:hAnsi="宋体" w:eastAsia="宋体" w:cs="宋体"/>
          <w:color w:val="auto"/>
          <w:sz w:val="24"/>
          <w:highlight w:val="none"/>
          <w:lang w:val="zh-CN"/>
        </w:rPr>
        <w:t>未能解决</w:t>
      </w:r>
      <w:r>
        <w:rPr>
          <w:rFonts w:hint="eastAsia" w:ascii="宋体" w:hAnsi="宋体" w:eastAsia="宋体" w:cs="宋体"/>
          <w:color w:val="auto"/>
          <w:sz w:val="24"/>
          <w:highlight w:val="none"/>
        </w:rPr>
        <w:t>的</w:t>
      </w:r>
      <w:r>
        <w:rPr>
          <w:rFonts w:hint="eastAsia" w:ascii="宋体" w:hAnsi="宋体" w:eastAsia="宋体" w:cs="宋体"/>
          <w:color w:val="auto"/>
          <w:sz w:val="24"/>
          <w:highlight w:val="none"/>
          <w:lang w:val="zh-CN"/>
        </w:rPr>
        <w:t>，</w:t>
      </w:r>
      <w:r>
        <w:rPr>
          <w:rFonts w:hint="eastAsia" w:hAnsi="宋体" w:cs="宋体"/>
          <w:color w:val="auto"/>
          <w:sz w:val="24"/>
          <w:highlight w:val="none"/>
          <w:lang w:val="zh-CN"/>
        </w:rPr>
        <w:t>中标人</w:t>
      </w:r>
      <w:r>
        <w:rPr>
          <w:rFonts w:hint="eastAsia" w:ascii="宋体" w:hAnsi="宋体" w:eastAsia="宋体" w:cs="宋体"/>
          <w:color w:val="auto"/>
          <w:sz w:val="24"/>
          <w:highlight w:val="none"/>
          <w:lang w:val="zh-CN"/>
        </w:rPr>
        <w:t>须</w:t>
      </w:r>
      <w:r>
        <w:rPr>
          <w:rFonts w:hint="eastAsia" w:ascii="宋体" w:hAnsi="宋体" w:eastAsia="宋体" w:cs="宋体"/>
          <w:color w:val="auto"/>
          <w:sz w:val="24"/>
          <w:highlight w:val="none"/>
        </w:rPr>
        <w:t>向采购人</w:t>
      </w:r>
      <w:r>
        <w:rPr>
          <w:rFonts w:hint="eastAsia" w:ascii="宋体" w:hAnsi="宋体" w:eastAsia="宋体" w:cs="宋体"/>
          <w:color w:val="auto"/>
          <w:sz w:val="24"/>
          <w:highlight w:val="none"/>
          <w:lang w:val="zh-CN"/>
        </w:rPr>
        <w:t>提供相同的设备（</w:t>
      </w:r>
      <w:r>
        <w:rPr>
          <w:rFonts w:hint="eastAsia" w:ascii="宋体" w:hAnsi="宋体" w:eastAsia="宋体" w:cs="宋体"/>
          <w:color w:val="auto"/>
          <w:sz w:val="24"/>
          <w:highlight w:val="none"/>
        </w:rPr>
        <w:t>货物</w:t>
      </w:r>
      <w:r>
        <w:rPr>
          <w:rFonts w:hint="eastAsia" w:ascii="宋体" w:hAnsi="宋体" w:eastAsia="宋体" w:cs="宋体"/>
          <w:color w:val="auto"/>
          <w:sz w:val="24"/>
          <w:highlight w:val="none"/>
          <w:lang w:val="zh-CN"/>
        </w:rPr>
        <w:t>）</w:t>
      </w:r>
      <w:r>
        <w:rPr>
          <w:rFonts w:hint="eastAsia" w:ascii="宋体" w:hAnsi="宋体" w:eastAsia="宋体" w:cs="宋体"/>
          <w:color w:val="auto"/>
          <w:sz w:val="24"/>
          <w:highlight w:val="none"/>
        </w:rPr>
        <w:t>给</w:t>
      </w:r>
      <w:r>
        <w:rPr>
          <w:rFonts w:hint="eastAsia" w:ascii="宋体" w:hAnsi="宋体" w:eastAsia="宋体" w:cs="宋体"/>
          <w:color w:val="auto"/>
          <w:sz w:val="24"/>
          <w:highlight w:val="none"/>
          <w:lang w:val="zh-CN"/>
        </w:rPr>
        <w:t>予采购人临时使用（</w:t>
      </w:r>
      <w:r>
        <w:rPr>
          <w:rFonts w:hint="eastAsia" w:ascii="宋体" w:hAnsi="宋体" w:eastAsia="宋体" w:cs="宋体"/>
          <w:color w:val="auto"/>
          <w:sz w:val="24"/>
          <w:highlight w:val="none"/>
        </w:rPr>
        <w:t>相关费用由</w:t>
      </w:r>
      <w:r>
        <w:rPr>
          <w:rFonts w:hint="eastAsia" w:hAnsi="宋体" w:cs="宋体"/>
          <w:color w:val="auto"/>
          <w:sz w:val="24"/>
          <w:highlight w:val="none"/>
          <w:lang w:eastAsia="zh-CN"/>
        </w:rPr>
        <w:t>中标人</w:t>
      </w:r>
      <w:r>
        <w:rPr>
          <w:rFonts w:hint="eastAsia" w:ascii="宋体" w:hAnsi="宋体" w:eastAsia="宋体" w:cs="宋体"/>
          <w:color w:val="auto"/>
          <w:sz w:val="24"/>
          <w:highlight w:val="none"/>
        </w:rPr>
        <w:t>自行承担</w:t>
      </w:r>
      <w:r>
        <w:rPr>
          <w:rFonts w:hint="eastAsia" w:ascii="宋体" w:hAnsi="宋体" w:eastAsia="宋体" w:cs="宋体"/>
          <w:color w:val="auto"/>
          <w:sz w:val="24"/>
          <w:highlight w:val="none"/>
          <w:lang w:val="zh-CN"/>
        </w:rPr>
        <w:t>）。</w:t>
      </w:r>
      <w:r>
        <w:rPr>
          <w:rFonts w:hint="eastAsia" w:ascii="宋体" w:hAnsi="宋体" w:eastAsia="宋体" w:cs="宋体"/>
          <w:color w:val="auto"/>
          <w:sz w:val="24"/>
          <w:highlight w:val="none"/>
        </w:rPr>
        <w:t>赴现场第二次解决时间由</w:t>
      </w:r>
      <w:r>
        <w:rPr>
          <w:rFonts w:hint="eastAsia" w:hAnsi="宋体" w:cs="宋体"/>
          <w:color w:val="auto"/>
          <w:sz w:val="24"/>
          <w:highlight w:val="none"/>
          <w:lang w:eastAsia="zh-CN"/>
        </w:rPr>
        <w:t>中标人</w:t>
      </w:r>
      <w:r>
        <w:rPr>
          <w:rFonts w:hint="eastAsia" w:ascii="宋体" w:hAnsi="宋体" w:eastAsia="宋体" w:cs="宋体"/>
          <w:color w:val="auto"/>
          <w:sz w:val="24"/>
          <w:highlight w:val="none"/>
        </w:rPr>
        <w:t>与采购人协商为准，但不得超过采购人向</w:t>
      </w:r>
      <w:r>
        <w:rPr>
          <w:rFonts w:hint="eastAsia" w:hAnsi="宋体" w:cs="宋体"/>
          <w:color w:val="auto"/>
          <w:sz w:val="24"/>
          <w:highlight w:val="none"/>
          <w:lang w:eastAsia="zh-CN"/>
        </w:rPr>
        <w:t>中标人</w:t>
      </w:r>
      <w:r>
        <w:rPr>
          <w:rFonts w:hint="eastAsia" w:ascii="宋体" w:hAnsi="宋体" w:eastAsia="宋体" w:cs="宋体"/>
          <w:color w:val="auto"/>
          <w:sz w:val="24"/>
          <w:highlight w:val="none"/>
        </w:rPr>
        <w:t>提出故障质量问题之日起30日。</w:t>
      </w:r>
    </w:p>
    <w:p w14:paraId="3B14CA3D">
      <w:pPr>
        <w:pStyle w:val="2"/>
        <w:shd w:val="clear"/>
        <w:spacing w:line="360" w:lineRule="auto"/>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lang w:val="en-US" w:eastAsia="zh-CN"/>
        </w:rPr>
        <w:t>第三，</w:t>
      </w:r>
      <w:r>
        <w:rPr>
          <w:rFonts w:hint="eastAsia" w:ascii="宋体" w:hAnsi="宋体" w:eastAsia="宋体" w:cs="宋体"/>
          <w:color w:val="auto"/>
          <w:sz w:val="24"/>
          <w:highlight w:val="none"/>
        </w:rPr>
        <w:t>在质保期内，如果针对同一故障点连续2次</w:t>
      </w:r>
      <w:r>
        <w:rPr>
          <w:rFonts w:hint="eastAsia" w:hAnsi="宋体" w:cs="宋体"/>
          <w:color w:val="auto"/>
          <w:sz w:val="24"/>
          <w:highlight w:val="none"/>
          <w:lang w:eastAsia="zh-CN"/>
        </w:rPr>
        <w:t>中标人</w:t>
      </w:r>
      <w:r>
        <w:rPr>
          <w:rFonts w:hint="eastAsia" w:ascii="宋体" w:hAnsi="宋体" w:eastAsia="宋体" w:cs="宋体"/>
          <w:color w:val="auto"/>
          <w:sz w:val="24"/>
          <w:highlight w:val="none"/>
        </w:rPr>
        <w:t>现场无法解决故障质量问题的，</w:t>
      </w:r>
      <w:r>
        <w:rPr>
          <w:rFonts w:hint="eastAsia" w:hAnsi="宋体" w:cs="宋体"/>
          <w:color w:val="auto"/>
          <w:sz w:val="24"/>
          <w:highlight w:val="none"/>
          <w:lang w:eastAsia="zh-CN"/>
        </w:rPr>
        <w:t>中标人</w:t>
      </w:r>
      <w:r>
        <w:rPr>
          <w:rFonts w:hint="eastAsia" w:ascii="宋体" w:hAnsi="宋体" w:eastAsia="宋体" w:cs="宋体"/>
          <w:color w:val="auto"/>
          <w:sz w:val="24"/>
          <w:highlight w:val="none"/>
        </w:rPr>
        <w:t>须进行重新供货更换全新的</w:t>
      </w:r>
      <w:r>
        <w:rPr>
          <w:rFonts w:hint="eastAsia" w:ascii="宋体" w:hAnsi="宋体" w:eastAsia="宋体" w:cs="宋体"/>
          <w:color w:val="auto"/>
          <w:sz w:val="24"/>
          <w:highlight w:val="none"/>
          <w:lang w:val="zh-CN"/>
        </w:rPr>
        <w:t>设备（货物）</w:t>
      </w:r>
      <w:r>
        <w:rPr>
          <w:rFonts w:hint="eastAsia" w:ascii="宋体" w:hAnsi="宋体" w:eastAsia="宋体" w:cs="宋体"/>
          <w:color w:val="auto"/>
          <w:sz w:val="24"/>
          <w:highlight w:val="none"/>
        </w:rPr>
        <w:t>，重新供货时间由</w:t>
      </w:r>
      <w:r>
        <w:rPr>
          <w:rFonts w:hint="eastAsia" w:hAnsi="宋体" w:cs="宋体"/>
          <w:color w:val="auto"/>
          <w:sz w:val="24"/>
          <w:highlight w:val="none"/>
          <w:lang w:eastAsia="zh-CN"/>
        </w:rPr>
        <w:t>中标人</w:t>
      </w:r>
      <w:r>
        <w:rPr>
          <w:rFonts w:hint="eastAsia" w:ascii="宋体" w:hAnsi="宋体" w:eastAsia="宋体" w:cs="宋体"/>
          <w:color w:val="auto"/>
          <w:sz w:val="24"/>
          <w:highlight w:val="none"/>
        </w:rPr>
        <w:t>与采购人协商为准，但不得超过同一故障点</w:t>
      </w:r>
      <w:r>
        <w:rPr>
          <w:rFonts w:hint="eastAsia" w:hAnsi="宋体" w:cs="宋体"/>
          <w:color w:val="auto"/>
          <w:sz w:val="24"/>
          <w:highlight w:val="none"/>
          <w:lang w:eastAsia="zh-CN"/>
        </w:rPr>
        <w:t>中标人</w:t>
      </w:r>
      <w:r>
        <w:rPr>
          <w:rFonts w:hint="eastAsia" w:ascii="宋体" w:hAnsi="宋体" w:eastAsia="宋体" w:cs="宋体"/>
          <w:color w:val="auto"/>
          <w:sz w:val="24"/>
          <w:highlight w:val="none"/>
        </w:rPr>
        <w:t>委派专人赴现场第二次</w:t>
      </w:r>
      <w:r>
        <w:rPr>
          <w:rFonts w:hint="eastAsia" w:ascii="宋体" w:hAnsi="宋体" w:eastAsia="宋体" w:cs="宋体"/>
          <w:color w:val="auto"/>
          <w:sz w:val="24"/>
          <w:highlight w:val="none"/>
          <w:lang w:val="zh-CN"/>
        </w:rPr>
        <w:t>解决</w:t>
      </w:r>
      <w:r>
        <w:rPr>
          <w:rFonts w:hint="eastAsia" w:ascii="宋体" w:hAnsi="宋体" w:eastAsia="宋体" w:cs="宋体"/>
          <w:color w:val="auto"/>
          <w:sz w:val="24"/>
          <w:highlight w:val="none"/>
        </w:rPr>
        <w:t>之日起30日。</w:t>
      </w:r>
      <w:r>
        <w:rPr>
          <w:rFonts w:hint="eastAsia" w:hAnsi="宋体" w:cs="宋体"/>
          <w:color w:val="auto"/>
          <w:sz w:val="24"/>
          <w:highlight w:val="none"/>
          <w:lang w:eastAsia="zh-CN"/>
        </w:rPr>
        <w:t>中标人</w:t>
      </w:r>
      <w:r>
        <w:rPr>
          <w:rFonts w:hint="eastAsia" w:ascii="宋体" w:hAnsi="宋体" w:eastAsia="宋体" w:cs="宋体"/>
          <w:color w:val="auto"/>
          <w:sz w:val="24"/>
          <w:highlight w:val="none"/>
        </w:rPr>
        <w:t>在约定的时间内重新供货更换全新的</w:t>
      </w:r>
      <w:r>
        <w:rPr>
          <w:rFonts w:hint="eastAsia" w:ascii="宋体" w:hAnsi="宋体" w:eastAsia="宋体" w:cs="宋体"/>
          <w:color w:val="auto"/>
          <w:sz w:val="24"/>
          <w:highlight w:val="none"/>
          <w:lang w:val="zh-CN"/>
        </w:rPr>
        <w:t>设备（货物）</w:t>
      </w:r>
      <w:r>
        <w:rPr>
          <w:rFonts w:hint="eastAsia" w:ascii="宋体" w:hAnsi="宋体" w:eastAsia="宋体" w:cs="宋体"/>
          <w:color w:val="auto"/>
          <w:sz w:val="24"/>
          <w:highlight w:val="none"/>
        </w:rPr>
        <w:t>后，还须提供相应的安装、调试、</w:t>
      </w:r>
      <w:r>
        <w:rPr>
          <w:rFonts w:hint="eastAsia" w:ascii="宋体" w:hAnsi="宋体" w:eastAsia="宋体" w:cs="宋体"/>
          <w:color w:val="auto"/>
          <w:sz w:val="24"/>
          <w:highlight w:val="none"/>
          <w:lang w:val="zh-CN"/>
        </w:rPr>
        <w:t>检测直至所投设备（货物）全部正常</w:t>
      </w:r>
      <w:r>
        <w:rPr>
          <w:rFonts w:hint="eastAsia" w:ascii="宋体" w:hAnsi="宋体" w:eastAsia="宋体" w:cs="宋体"/>
          <w:color w:val="auto"/>
          <w:sz w:val="24"/>
          <w:highlight w:val="none"/>
        </w:rPr>
        <w:t>运行，该</w:t>
      </w:r>
      <w:r>
        <w:rPr>
          <w:rFonts w:hint="eastAsia" w:ascii="宋体" w:hAnsi="宋体" w:eastAsia="宋体" w:cs="宋体"/>
          <w:color w:val="auto"/>
          <w:sz w:val="24"/>
          <w:highlight w:val="none"/>
          <w:lang w:val="zh-CN"/>
        </w:rPr>
        <w:t>设备（货物）</w:t>
      </w:r>
      <w:r>
        <w:rPr>
          <w:rFonts w:hint="eastAsia" w:ascii="宋体" w:hAnsi="宋体" w:eastAsia="宋体" w:cs="宋体"/>
          <w:color w:val="auto"/>
          <w:sz w:val="24"/>
          <w:highlight w:val="none"/>
        </w:rPr>
        <w:t>的质保期重新计算，质保期内</w:t>
      </w:r>
      <w:r>
        <w:rPr>
          <w:rFonts w:hint="eastAsia" w:hAnsi="宋体" w:cs="宋体"/>
          <w:color w:val="auto"/>
          <w:sz w:val="24"/>
          <w:highlight w:val="none"/>
          <w:lang w:eastAsia="zh-CN"/>
        </w:rPr>
        <w:t>中标人</w:t>
      </w:r>
      <w:r>
        <w:rPr>
          <w:rFonts w:hint="eastAsia" w:ascii="宋体" w:hAnsi="宋体" w:eastAsia="宋体" w:cs="宋体"/>
          <w:color w:val="auto"/>
          <w:sz w:val="24"/>
          <w:highlight w:val="none"/>
        </w:rPr>
        <w:t>的责任义务重新履行。</w:t>
      </w:r>
    </w:p>
    <w:p w14:paraId="333E9BDE">
      <w:pPr>
        <w:pStyle w:val="2"/>
        <w:shd w:val="clear"/>
        <w:spacing w:line="360" w:lineRule="auto"/>
        <w:ind w:firstLine="480" w:firstLineChars="200"/>
        <w:rPr>
          <w:rFonts w:ascii="宋体" w:hAnsi="宋体" w:eastAsia="宋体" w:cs="宋体"/>
          <w:color w:val="auto"/>
          <w:sz w:val="24"/>
          <w:highlight w:val="none"/>
        </w:rPr>
      </w:pPr>
      <w:r>
        <w:rPr>
          <w:rFonts w:hint="eastAsia" w:ascii="宋体" w:hAnsi="宋体" w:eastAsia="宋体" w:cs="宋体"/>
          <w:color w:val="auto"/>
          <w:sz w:val="24"/>
          <w:highlight w:val="none"/>
          <w:lang w:val="en-US" w:eastAsia="zh-CN"/>
        </w:rPr>
        <w:t>第四，</w:t>
      </w:r>
      <w:r>
        <w:rPr>
          <w:rFonts w:hint="eastAsia" w:ascii="宋体" w:hAnsi="宋体" w:eastAsia="宋体" w:cs="宋体"/>
          <w:color w:val="auto"/>
          <w:sz w:val="24"/>
          <w:highlight w:val="none"/>
        </w:rPr>
        <w:t>在质保期内，第一次重新供货更换全新的</w:t>
      </w:r>
      <w:r>
        <w:rPr>
          <w:rFonts w:hint="eastAsia" w:ascii="宋体" w:hAnsi="宋体" w:eastAsia="宋体" w:cs="宋体"/>
          <w:color w:val="auto"/>
          <w:sz w:val="24"/>
          <w:highlight w:val="none"/>
          <w:lang w:val="zh-CN"/>
        </w:rPr>
        <w:t>设备（货物）</w:t>
      </w:r>
      <w:r>
        <w:rPr>
          <w:rFonts w:hint="eastAsia" w:ascii="宋体" w:hAnsi="宋体" w:eastAsia="宋体" w:cs="宋体"/>
          <w:color w:val="auto"/>
          <w:sz w:val="24"/>
          <w:highlight w:val="none"/>
        </w:rPr>
        <w:t>在新的质保期内再次出现任何质量问题的，</w:t>
      </w:r>
      <w:r>
        <w:rPr>
          <w:rFonts w:hint="eastAsia" w:hAnsi="宋体" w:cs="宋体"/>
          <w:color w:val="auto"/>
          <w:sz w:val="24"/>
          <w:highlight w:val="none"/>
          <w:lang w:eastAsia="zh-CN"/>
        </w:rPr>
        <w:t>中标人</w:t>
      </w:r>
      <w:r>
        <w:rPr>
          <w:rFonts w:hint="eastAsia" w:ascii="宋体" w:hAnsi="宋体" w:eastAsia="宋体" w:cs="宋体"/>
          <w:color w:val="auto"/>
          <w:sz w:val="24"/>
          <w:highlight w:val="none"/>
        </w:rPr>
        <w:t>须在收到采购人通知后30日内第二次重新供货更换全新的</w:t>
      </w:r>
      <w:r>
        <w:rPr>
          <w:rFonts w:hint="eastAsia" w:ascii="宋体" w:hAnsi="宋体" w:eastAsia="宋体" w:cs="宋体"/>
          <w:color w:val="auto"/>
          <w:sz w:val="24"/>
          <w:highlight w:val="none"/>
          <w:lang w:val="zh-CN"/>
        </w:rPr>
        <w:t>设备（货物），</w:t>
      </w:r>
      <w:r>
        <w:rPr>
          <w:rFonts w:hint="eastAsia" w:ascii="宋体" w:hAnsi="宋体" w:eastAsia="宋体" w:cs="宋体"/>
          <w:color w:val="auto"/>
          <w:sz w:val="24"/>
          <w:highlight w:val="none"/>
        </w:rPr>
        <w:t>还须提供相应的安装、调试、</w:t>
      </w:r>
      <w:r>
        <w:rPr>
          <w:rFonts w:hint="eastAsia" w:ascii="宋体" w:hAnsi="宋体" w:eastAsia="宋体" w:cs="宋体"/>
          <w:color w:val="auto"/>
          <w:sz w:val="24"/>
          <w:highlight w:val="none"/>
          <w:lang w:val="zh-CN"/>
        </w:rPr>
        <w:t>检测直至所投设备（货物）全部正常</w:t>
      </w:r>
      <w:r>
        <w:rPr>
          <w:rFonts w:hint="eastAsia" w:ascii="宋体" w:hAnsi="宋体" w:eastAsia="宋体" w:cs="宋体"/>
          <w:color w:val="auto"/>
          <w:sz w:val="24"/>
          <w:highlight w:val="none"/>
        </w:rPr>
        <w:t>运行，该</w:t>
      </w:r>
      <w:r>
        <w:rPr>
          <w:rFonts w:hint="eastAsia" w:ascii="宋体" w:hAnsi="宋体" w:eastAsia="宋体" w:cs="宋体"/>
          <w:color w:val="auto"/>
          <w:sz w:val="24"/>
          <w:highlight w:val="none"/>
          <w:lang w:val="zh-CN"/>
        </w:rPr>
        <w:t>设备（货物）</w:t>
      </w:r>
      <w:r>
        <w:rPr>
          <w:rFonts w:hint="eastAsia" w:ascii="宋体" w:hAnsi="宋体" w:eastAsia="宋体" w:cs="宋体"/>
          <w:color w:val="auto"/>
          <w:sz w:val="24"/>
          <w:highlight w:val="none"/>
        </w:rPr>
        <w:t>的质保期重新计算，质保期内</w:t>
      </w:r>
      <w:r>
        <w:rPr>
          <w:rFonts w:hint="eastAsia" w:hAnsi="宋体" w:cs="宋体"/>
          <w:color w:val="auto"/>
          <w:sz w:val="24"/>
          <w:highlight w:val="none"/>
          <w:lang w:eastAsia="zh-CN"/>
        </w:rPr>
        <w:t>中标人</w:t>
      </w:r>
      <w:r>
        <w:rPr>
          <w:rFonts w:hint="eastAsia" w:ascii="宋体" w:hAnsi="宋体" w:eastAsia="宋体" w:cs="宋体"/>
          <w:color w:val="auto"/>
          <w:sz w:val="24"/>
          <w:highlight w:val="none"/>
        </w:rPr>
        <w:t>的责任义务重新履行。</w:t>
      </w:r>
    </w:p>
    <w:p w14:paraId="2FD1ADFC">
      <w:pPr>
        <w:pStyle w:val="2"/>
        <w:shd w:val="clear"/>
        <w:spacing w:line="360" w:lineRule="auto"/>
        <w:ind w:firstLine="480" w:firstLineChars="200"/>
        <w:rPr>
          <w:rFonts w:hint="eastAsia" w:ascii="宋体" w:hAnsi="宋体" w:eastAsia="宋体" w:cs="宋体"/>
          <w:color w:val="auto"/>
          <w:sz w:val="24"/>
          <w:highlight w:val="none"/>
        </w:rPr>
      </w:pPr>
      <w:r>
        <w:rPr>
          <w:rFonts w:hint="eastAsia" w:ascii="宋体" w:hAnsi="宋体" w:eastAsia="宋体" w:cs="宋体"/>
          <w:color w:val="auto"/>
          <w:sz w:val="24"/>
          <w:highlight w:val="none"/>
          <w:lang w:val="en-US" w:eastAsia="zh-CN"/>
        </w:rPr>
        <w:t>第五，</w:t>
      </w:r>
      <w:r>
        <w:rPr>
          <w:rFonts w:hint="eastAsia" w:ascii="宋体" w:hAnsi="宋体" w:eastAsia="宋体" w:cs="宋体"/>
          <w:color w:val="auto"/>
          <w:sz w:val="24"/>
          <w:highlight w:val="none"/>
        </w:rPr>
        <w:t>在质保期内，如设备（货物）经</w:t>
      </w:r>
      <w:r>
        <w:rPr>
          <w:rFonts w:hint="eastAsia" w:hAnsi="宋体" w:cs="宋体"/>
          <w:color w:val="auto"/>
          <w:sz w:val="24"/>
          <w:highlight w:val="none"/>
          <w:lang w:eastAsia="zh-CN"/>
        </w:rPr>
        <w:t>中标人</w:t>
      </w:r>
      <w:r>
        <w:rPr>
          <w:rFonts w:hint="eastAsia" w:ascii="宋体" w:hAnsi="宋体" w:eastAsia="宋体" w:cs="宋体"/>
          <w:color w:val="auto"/>
          <w:sz w:val="24"/>
          <w:highlight w:val="none"/>
        </w:rPr>
        <w:t>连续2次重新供货更换全新的</w:t>
      </w:r>
      <w:r>
        <w:rPr>
          <w:rFonts w:hint="eastAsia" w:ascii="宋体" w:hAnsi="宋体" w:eastAsia="宋体" w:cs="宋体"/>
          <w:color w:val="auto"/>
          <w:sz w:val="24"/>
          <w:highlight w:val="none"/>
          <w:lang w:val="zh-CN"/>
        </w:rPr>
        <w:t>设备（货物）</w:t>
      </w:r>
      <w:r>
        <w:rPr>
          <w:rFonts w:hint="eastAsia" w:ascii="宋体" w:hAnsi="宋体" w:eastAsia="宋体" w:cs="宋体"/>
          <w:color w:val="auto"/>
          <w:sz w:val="24"/>
          <w:highlight w:val="none"/>
        </w:rPr>
        <w:t>后仍不能达到采购合同和技术服务协议约定的质量标准，采购人可依法追究</w:t>
      </w:r>
      <w:r>
        <w:rPr>
          <w:rFonts w:hint="eastAsia" w:hAnsi="宋体" w:cs="宋体"/>
          <w:color w:val="auto"/>
          <w:sz w:val="24"/>
          <w:highlight w:val="none"/>
          <w:lang w:eastAsia="zh-CN"/>
        </w:rPr>
        <w:t>中标人</w:t>
      </w:r>
      <w:r>
        <w:rPr>
          <w:rFonts w:hint="eastAsia" w:ascii="宋体" w:hAnsi="宋体" w:eastAsia="宋体" w:cs="宋体"/>
          <w:color w:val="auto"/>
          <w:sz w:val="24"/>
          <w:highlight w:val="none"/>
        </w:rPr>
        <w:t>的违约责任，</w:t>
      </w:r>
      <w:r>
        <w:rPr>
          <w:rFonts w:hint="eastAsia" w:hAnsi="宋体" w:cs="宋体"/>
          <w:color w:val="auto"/>
          <w:sz w:val="24"/>
          <w:highlight w:val="none"/>
          <w:lang w:eastAsia="zh-CN"/>
        </w:rPr>
        <w:t>中标人</w:t>
      </w:r>
      <w:r>
        <w:rPr>
          <w:rFonts w:hint="eastAsia" w:ascii="宋体" w:hAnsi="宋体" w:eastAsia="宋体" w:cs="宋体"/>
          <w:color w:val="auto"/>
          <w:sz w:val="24"/>
          <w:highlight w:val="none"/>
        </w:rPr>
        <w:t>应承担全部合同价的赔偿责任，全额退还</w:t>
      </w:r>
      <w:r>
        <w:rPr>
          <w:rFonts w:hint="eastAsia" w:ascii="宋体" w:hAnsi="宋体" w:eastAsia="宋体" w:cs="宋体"/>
          <w:color w:val="auto"/>
          <w:sz w:val="24"/>
          <w:highlight w:val="none"/>
          <w:lang w:val="en-US" w:eastAsia="zh-CN"/>
        </w:rPr>
        <w:t>采购人</w:t>
      </w:r>
      <w:r>
        <w:rPr>
          <w:rFonts w:hint="eastAsia" w:ascii="宋体" w:hAnsi="宋体" w:eastAsia="宋体" w:cs="宋体"/>
          <w:color w:val="auto"/>
          <w:sz w:val="24"/>
          <w:highlight w:val="none"/>
        </w:rPr>
        <w:t>本项目采购资金。</w:t>
      </w:r>
    </w:p>
    <w:p w14:paraId="40E1C005">
      <w:pPr>
        <w:shd w:val="clear"/>
        <w:spacing w:line="360" w:lineRule="auto"/>
        <w:ind w:firstLine="480" w:firstLineChars="200"/>
        <w:rPr>
          <w:rFonts w:hint="eastAsia" w:hAnsi="宋体" w:cs="宋体"/>
          <w:color w:val="auto"/>
          <w:sz w:val="24"/>
          <w:highlight w:val="none"/>
        </w:rPr>
      </w:pPr>
      <w:r>
        <w:rPr>
          <w:rFonts w:hint="eastAsia" w:ascii="宋体" w:hAnsi="宋体" w:cs="宋体"/>
          <w:color w:val="auto"/>
          <w:sz w:val="24"/>
          <w:highlight w:val="none"/>
          <w:lang w:val="en-US" w:eastAsia="zh-CN"/>
        </w:rPr>
        <w:t>第六，</w:t>
      </w:r>
      <w:r>
        <w:rPr>
          <w:rFonts w:hint="eastAsia" w:ascii="宋体" w:hAnsi="宋体" w:cs="宋体"/>
          <w:color w:val="auto"/>
          <w:sz w:val="24"/>
          <w:highlight w:val="none"/>
          <w:lang w:val="zh-CN"/>
        </w:rPr>
        <w:t>质保期内产生的</w:t>
      </w:r>
      <w:r>
        <w:rPr>
          <w:rFonts w:hint="eastAsia" w:ascii="宋体" w:hAnsi="宋体" w:cs="宋体"/>
          <w:color w:val="auto"/>
          <w:sz w:val="24"/>
          <w:highlight w:val="none"/>
        </w:rPr>
        <w:t>远程支持服务、现场硬件更换服务、所投</w:t>
      </w:r>
      <w:r>
        <w:rPr>
          <w:rFonts w:hint="eastAsia" w:ascii="宋体" w:hAnsi="宋体" w:cs="宋体"/>
          <w:color w:val="auto"/>
          <w:sz w:val="24"/>
          <w:highlight w:val="none"/>
          <w:lang w:val="zh-CN"/>
        </w:rPr>
        <w:t>设备（货物）</w:t>
      </w:r>
      <w:r>
        <w:rPr>
          <w:rFonts w:hint="eastAsia" w:ascii="宋体" w:hAnsi="宋体" w:cs="宋体"/>
          <w:color w:val="auto"/>
          <w:sz w:val="24"/>
          <w:highlight w:val="none"/>
        </w:rPr>
        <w:t>维修、更换以及相关人工、运输、包装等</w:t>
      </w:r>
      <w:r>
        <w:rPr>
          <w:rFonts w:hint="eastAsia" w:ascii="宋体" w:hAnsi="宋体" w:cs="宋体"/>
          <w:color w:val="auto"/>
          <w:sz w:val="24"/>
          <w:highlight w:val="none"/>
          <w:lang w:val="zh-CN"/>
        </w:rPr>
        <w:t>费用，由</w:t>
      </w:r>
      <w:r>
        <w:rPr>
          <w:rFonts w:hint="eastAsia" w:hAnsi="宋体" w:cs="宋体"/>
          <w:color w:val="auto"/>
          <w:sz w:val="24"/>
          <w:highlight w:val="none"/>
          <w:lang w:eastAsia="zh-CN"/>
        </w:rPr>
        <w:t>中标人</w:t>
      </w:r>
      <w:r>
        <w:rPr>
          <w:rFonts w:hint="eastAsia" w:ascii="宋体" w:hAnsi="宋体" w:cs="宋体"/>
          <w:color w:val="auto"/>
          <w:sz w:val="24"/>
          <w:highlight w:val="none"/>
          <w:lang w:val="zh-CN"/>
        </w:rPr>
        <w:t>自行考虑在投标报价中，采购人不再另行支付其他费用。</w:t>
      </w:r>
    </w:p>
    <w:p w14:paraId="44CD43DB">
      <w:pPr>
        <w:widowControl/>
        <w:shd w:val="clear"/>
        <w:spacing w:line="360" w:lineRule="auto"/>
        <w:ind w:firstLine="480" w:firstLineChars="200"/>
        <w:jc w:val="left"/>
        <w:rPr>
          <w:rFonts w:hint="eastAsia" w:hAnsi="宋体" w:cs="宋体"/>
          <w:color w:val="auto"/>
          <w:sz w:val="24"/>
          <w:highlight w:val="none"/>
        </w:rPr>
      </w:pPr>
      <w:r>
        <w:rPr>
          <w:rFonts w:hint="eastAsia" w:ascii="黑体" w:hAnsi="黑体" w:eastAsia="黑体" w:cs="黑体"/>
          <w:color w:val="auto"/>
          <w:sz w:val="24"/>
          <w:highlight w:val="none"/>
        </w:rPr>
        <w:t>★</w:t>
      </w:r>
      <w:r>
        <w:rPr>
          <w:rFonts w:hint="eastAsia" w:hAnsi="宋体" w:cs="宋体"/>
          <w:color w:val="auto"/>
          <w:sz w:val="24"/>
          <w:highlight w:val="none"/>
        </w:rPr>
        <w:t>7、</w:t>
      </w:r>
      <w:r>
        <w:rPr>
          <w:rFonts w:hint="eastAsia" w:hAnsi="宋体" w:cs="宋体"/>
          <w:color w:val="auto"/>
          <w:kern w:val="0"/>
          <w:sz w:val="24"/>
          <w:highlight w:val="none"/>
        </w:rPr>
        <w:t>包装方式及运输</w:t>
      </w:r>
      <w:r>
        <w:rPr>
          <w:rFonts w:hint="eastAsia" w:hAnsi="宋体" w:cs="宋体"/>
          <w:color w:val="auto"/>
          <w:sz w:val="24"/>
          <w:highlight w:val="none"/>
        </w:rPr>
        <w:t>：</w:t>
      </w:r>
    </w:p>
    <w:p w14:paraId="6151797F">
      <w:pPr>
        <w:shd w:val="clear"/>
        <w:adjustRightInd w:val="0"/>
        <w:spacing w:line="360" w:lineRule="auto"/>
        <w:ind w:firstLine="480" w:firstLineChars="200"/>
        <w:jc w:val="left"/>
        <w:rPr>
          <w:rFonts w:hint="eastAsia" w:ascii="宋体" w:hAnsi="宋体" w:cs="宋体"/>
          <w:color w:val="auto"/>
          <w:kern w:val="0"/>
          <w:sz w:val="24"/>
          <w:highlight w:val="none"/>
          <w:lang w:val="zh-CN"/>
        </w:rPr>
      </w:pPr>
      <w:r>
        <w:rPr>
          <w:rFonts w:hint="eastAsia" w:ascii="宋体" w:hAnsi="宋体" w:cs="宋体"/>
          <w:color w:val="auto"/>
          <w:kern w:val="0"/>
          <w:sz w:val="24"/>
          <w:highlight w:val="none"/>
          <w:lang w:val="en-US" w:eastAsia="zh-CN"/>
        </w:rPr>
        <w:t>第一，</w:t>
      </w:r>
      <w:r>
        <w:rPr>
          <w:rFonts w:hint="eastAsia" w:ascii="宋体" w:hAnsi="宋体" w:cs="宋体"/>
          <w:color w:val="auto"/>
          <w:kern w:val="0"/>
          <w:sz w:val="24"/>
          <w:highlight w:val="none"/>
        </w:rPr>
        <w:t>本项目</w:t>
      </w:r>
      <w:r>
        <w:rPr>
          <w:rFonts w:hint="eastAsia" w:ascii="宋体" w:hAnsi="宋体" w:cs="宋体"/>
          <w:color w:val="auto"/>
          <w:kern w:val="0"/>
          <w:sz w:val="24"/>
          <w:highlight w:val="none"/>
          <w:lang w:val="zh-CN"/>
        </w:rPr>
        <w:t>涉及的商品包装和快递包装，均应符合《商品包装政府采购需求标准（试行）》《快递包装政府采购需求标准（试行）》要求，包装应适应于远距离运输、防潮、防震、防锈和防野蛮装卸，以确保设备安全无损运抵西南科技大学校内指定地点。</w:t>
      </w:r>
    </w:p>
    <w:p w14:paraId="09FBE6AC">
      <w:pPr>
        <w:pStyle w:val="8"/>
        <w:shd w:val="clear"/>
        <w:spacing w:line="360" w:lineRule="auto"/>
        <w:ind w:firstLineChars="175"/>
        <w:rPr>
          <w:rFonts w:hint="eastAsia" w:ascii="宋体" w:hAnsi="宋体" w:cs="宋体"/>
          <w:color w:val="auto"/>
          <w:kern w:val="0"/>
          <w:sz w:val="24"/>
          <w:highlight w:val="none"/>
          <w:lang w:val="zh-CN"/>
        </w:rPr>
      </w:pPr>
      <w:r>
        <w:rPr>
          <w:rFonts w:hint="eastAsia" w:ascii="宋体" w:hAnsi="宋体" w:cs="宋体"/>
          <w:color w:val="auto"/>
          <w:kern w:val="0"/>
          <w:sz w:val="24"/>
          <w:highlight w:val="none"/>
          <w:lang w:val="en-US" w:eastAsia="zh-CN"/>
        </w:rPr>
        <w:t>第二，本项目</w:t>
      </w:r>
      <w:r>
        <w:rPr>
          <w:rFonts w:hint="eastAsia" w:ascii="宋体" w:hAnsi="宋体" w:cs="宋体"/>
          <w:color w:val="auto"/>
          <w:kern w:val="0"/>
          <w:sz w:val="24"/>
          <w:highlight w:val="none"/>
          <w:lang w:val="zh-CN"/>
        </w:rPr>
        <w:t>装运设备的运输工具应清洁、干燥、无污染物。敞车运输时，必须用防雨布盖好，以保证设备不被雨(雪)浸入。设备（货物）中转时，应堆放在库房内。短暂露天堆放时，必须用防雨布盖好，设备（货物）在装卸时，应采用合适的装卸方式，严防将包装箱(件)损坏，包装箱应注意谨慎堆放，防止设备（货物）碰伤。装载时，运输车辆与包装箱之间、包装箱之间应用防震减压的填充物填实，不得留有空隙，防止在运输途中造成货物之间互相碰撞、摩擦，避免发生箱体移位。避免货物在运载工具上的堆码不当，使底层货物承载过重，造成包装破损，甚至商品在运输过程中变形，损坏。在运输过程中避免接触腐蚀性物质。</w:t>
      </w:r>
    </w:p>
    <w:p w14:paraId="0F65AE72">
      <w:pPr>
        <w:pStyle w:val="8"/>
        <w:shd w:val="clear"/>
        <w:spacing w:line="360" w:lineRule="auto"/>
        <w:ind w:firstLineChars="175"/>
        <w:rPr>
          <w:rFonts w:hAnsi="宋体" w:cs="宋体"/>
          <w:color w:val="auto"/>
          <w:sz w:val="24"/>
          <w:highlight w:val="none"/>
        </w:rPr>
      </w:pPr>
      <w:r>
        <w:rPr>
          <w:rFonts w:hint="eastAsia" w:ascii="黑体" w:hAnsi="黑体" w:eastAsia="黑体" w:cs="黑体"/>
          <w:color w:val="auto"/>
          <w:sz w:val="24"/>
          <w:highlight w:val="none"/>
        </w:rPr>
        <w:t>★</w:t>
      </w:r>
      <w:r>
        <w:rPr>
          <w:rFonts w:hint="eastAsia" w:hAnsi="宋体" w:cs="宋体"/>
          <w:color w:val="auto"/>
          <w:sz w:val="24"/>
          <w:highlight w:val="none"/>
        </w:rPr>
        <w:t>8、违约责任及解决争议的方法：</w:t>
      </w:r>
    </w:p>
    <w:p w14:paraId="71575823">
      <w:pPr>
        <w:shd w:val="clear"/>
        <w:adjustRightInd w:val="0"/>
        <w:spacing w:line="360" w:lineRule="auto"/>
        <w:ind w:firstLine="480" w:firstLineChars="200"/>
        <w:jc w:val="left"/>
        <w:rPr>
          <w:rFonts w:hAnsi="宋体" w:cs="宋体"/>
          <w:color w:val="auto"/>
          <w:sz w:val="24"/>
          <w:highlight w:val="none"/>
          <w:lang w:val="zh-CN"/>
        </w:rPr>
      </w:pPr>
      <w:r>
        <w:rPr>
          <w:rFonts w:hint="eastAsia" w:hAnsi="宋体" w:cs="宋体"/>
          <w:color w:val="auto"/>
          <w:sz w:val="24"/>
          <w:highlight w:val="none"/>
          <w:lang w:val="zh-CN"/>
        </w:rPr>
        <w:t>第一，违约责任：</w:t>
      </w:r>
    </w:p>
    <w:p w14:paraId="5C063989">
      <w:pPr>
        <w:shd w:val="clear"/>
        <w:adjustRightInd w:val="0"/>
        <w:spacing w:line="360" w:lineRule="auto"/>
        <w:ind w:firstLine="480" w:firstLineChars="200"/>
        <w:jc w:val="left"/>
        <w:rPr>
          <w:rFonts w:hint="eastAsia" w:hAnsi="宋体" w:cs="宋体"/>
          <w:color w:val="auto"/>
          <w:sz w:val="24"/>
          <w:highlight w:val="none"/>
          <w:lang w:val="zh-CN"/>
        </w:rPr>
      </w:pPr>
      <w:r>
        <w:rPr>
          <w:rFonts w:hint="eastAsia" w:hAnsi="宋体" w:cs="宋体"/>
          <w:color w:val="auto"/>
          <w:sz w:val="24"/>
          <w:highlight w:val="none"/>
          <w:lang w:val="zh-CN"/>
        </w:rPr>
        <w:t>（1）因中标人工作人员在履行职务过程中的疏忽、失职、过错等故意或者过失原因给采购人造成损失或侵害，包括但不限于采购人本身的财产损失、由此而导致的采购人对任何第三方的法律责任等，中标人对此均应承担全部的赔偿责任。</w:t>
      </w:r>
    </w:p>
    <w:p w14:paraId="026064AD">
      <w:pPr>
        <w:shd w:val="clear"/>
        <w:adjustRightInd w:val="0"/>
        <w:spacing w:line="360" w:lineRule="auto"/>
        <w:ind w:firstLine="480" w:firstLineChars="200"/>
        <w:jc w:val="left"/>
        <w:rPr>
          <w:rFonts w:hint="eastAsia" w:hAnsi="宋体" w:cs="宋体"/>
          <w:color w:val="auto"/>
          <w:sz w:val="24"/>
          <w:highlight w:val="none"/>
          <w:lang w:val="zh-CN"/>
        </w:rPr>
      </w:pPr>
      <w:r>
        <w:rPr>
          <w:rFonts w:hint="eastAsia" w:hAnsi="宋体" w:cs="宋体"/>
          <w:color w:val="auto"/>
          <w:sz w:val="24"/>
          <w:highlight w:val="none"/>
          <w:lang w:val="zh-CN"/>
        </w:rPr>
        <w:t>（2）中标人工作人员在校内设备供货及验收期间的人身财产安全由中标人自行负责，发生安全责任事故导致采购人、中标人和他人财产损失、人员伤亡的，由中标人承担相应经济责任和法律责任，发生其它安全事故按照相关法律法规处理。</w:t>
      </w:r>
    </w:p>
    <w:p w14:paraId="4B3AD773">
      <w:pPr>
        <w:shd w:val="clear"/>
        <w:adjustRightInd w:val="0"/>
        <w:spacing w:line="360" w:lineRule="auto"/>
        <w:ind w:firstLine="480" w:firstLineChars="200"/>
        <w:jc w:val="left"/>
        <w:rPr>
          <w:rFonts w:hint="eastAsia" w:hAnsi="宋体" w:cs="宋体"/>
          <w:color w:val="auto"/>
          <w:sz w:val="24"/>
          <w:highlight w:val="none"/>
          <w:lang w:val="zh-CN"/>
        </w:rPr>
      </w:pPr>
      <w:r>
        <w:rPr>
          <w:rFonts w:hint="eastAsia" w:hAnsi="宋体" w:cs="宋体"/>
          <w:color w:val="auto"/>
          <w:sz w:val="24"/>
          <w:highlight w:val="none"/>
          <w:lang w:val="zh-CN"/>
        </w:rPr>
        <w:t>（3）中标人提供设备到货以后，未经采购人验货，或者虽经采购人验货但验货不合格，采购人有权拒收，且所造成的一切后果及所产生的所有费用由中标人承担；即使采购人验货后，仍然不能免除中标人的设备供货质量责任，由此造成的一切后果由中标人承担全部经济责任和法律责任。</w:t>
      </w:r>
    </w:p>
    <w:p w14:paraId="1ED0824E">
      <w:pPr>
        <w:shd w:val="clear"/>
        <w:adjustRightInd w:val="0"/>
        <w:spacing w:line="360" w:lineRule="auto"/>
        <w:ind w:firstLine="480" w:firstLineChars="200"/>
        <w:jc w:val="left"/>
        <w:rPr>
          <w:rFonts w:hint="eastAsia" w:hAnsi="宋体" w:cs="宋体"/>
          <w:color w:val="auto"/>
          <w:sz w:val="24"/>
          <w:highlight w:val="none"/>
          <w:lang w:val="zh-CN"/>
        </w:rPr>
      </w:pPr>
      <w:r>
        <w:rPr>
          <w:rFonts w:hint="eastAsia" w:hAnsi="宋体" w:cs="宋体"/>
          <w:color w:val="auto"/>
          <w:sz w:val="24"/>
          <w:highlight w:val="none"/>
          <w:lang w:val="zh-CN"/>
        </w:rPr>
        <w:t>（4）对超过交货时间的处罚：中标人超过交货时间的，按照合同金额的千分之三/天的标准进行扣款，并视中标人未按合同履约（因不可抗力事件或为配合学校正常的教学、生活秩序而耽误的交货时间，经中标人书面提出，由采购人签字确认以后，耽误的时间可顺延）。中标人逾期10日（不含）未能够将所投设备全部供货、安装、调试、检测、试运行直至所投设备（货物）全部正常运行完成的，采购人将视中标人放弃履约，并将有关情况报送本项目同级财政部门按照政府采购法律法规及《四川省公共资源交易领域严重失信联合惩戒实施办法》（川发改信用规〔2019〕405号）等有关规定给予行政处罚或者以失信行为记入诚信档案。由此造成的后果，由中标人自行承担。</w:t>
      </w:r>
    </w:p>
    <w:p w14:paraId="74237864">
      <w:pPr>
        <w:shd w:val="clear"/>
        <w:adjustRightInd w:val="0"/>
        <w:spacing w:line="360" w:lineRule="auto"/>
        <w:ind w:firstLine="480" w:firstLineChars="200"/>
        <w:jc w:val="left"/>
        <w:rPr>
          <w:rFonts w:hint="eastAsia" w:hAnsi="宋体" w:cs="宋体"/>
          <w:color w:val="auto"/>
          <w:sz w:val="24"/>
          <w:highlight w:val="none"/>
          <w:lang w:val="zh-CN"/>
        </w:rPr>
      </w:pPr>
      <w:r>
        <w:rPr>
          <w:rFonts w:hint="eastAsia" w:hAnsi="宋体" w:cs="宋体"/>
          <w:color w:val="auto"/>
          <w:sz w:val="24"/>
          <w:highlight w:val="none"/>
          <w:lang w:val="zh-CN"/>
        </w:rPr>
        <w:t>（5）其他未尽事宜以合同约定为准。</w:t>
      </w:r>
    </w:p>
    <w:p w14:paraId="6C3CBA97">
      <w:pPr>
        <w:shd w:val="clear"/>
        <w:adjustRightInd w:val="0"/>
        <w:spacing w:line="360" w:lineRule="auto"/>
        <w:ind w:firstLine="480" w:firstLineChars="200"/>
        <w:jc w:val="left"/>
        <w:rPr>
          <w:rFonts w:hint="eastAsia" w:hAnsi="宋体" w:cs="宋体"/>
          <w:color w:val="auto"/>
          <w:sz w:val="24"/>
          <w:highlight w:val="none"/>
          <w:lang w:val="zh-CN"/>
        </w:rPr>
      </w:pPr>
      <w:r>
        <w:rPr>
          <w:rFonts w:hint="eastAsia" w:hAnsi="宋体" w:cs="宋体"/>
          <w:color w:val="auto"/>
          <w:sz w:val="24"/>
          <w:highlight w:val="none"/>
          <w:lang w:val="zh-CN"/>
        </w:rPr>
        <w:t>第二，解决争议的方法：</w:t>
      </w:r>
    </w:p>
    <w:p w14:paraId="5AD2C623">
      <w:pPr>
        <w:shd w:val="clear"/>
        <w:adjustRightInd w:val="0"/>
        <w:spacing w:line="360" w:lineRule="auto"/>
        <w:ind w:firstLine="480" w:firstLineChars="200"/>
        <w:jc w:val="left"/>
        <w:rPr>
          <w:rFonts w:hint="eastAsia" w:hAnsi="宋体" w:cs="宋体"/>
          <w:color w:val="auto"/>
          <w:sz w:val="24"/>
          <w:highlight w:val="none"/>
          <w:lang w:val="zh-CN"/>
        </w:rPr>
      </w:pPr>
      <w:r>
        <w:rPr>
          <w:rFonts w:hint="eastAsia" w:hAnsi="宋体" w:cs="宋体"/>
          <w:color w:val="auto"/>
          <w:sz w:val="24"/>
          <w:highlight w:val="none"/>
          <w:lang w:val="zh-CN"/>
        </w:rPr>
        <w:t xml:space="preserve">（1）因货物的质量问题发生争议，由采购人或其指定的第三方机构进行质量鉴定。服务符合标准的，鉴定费由采购人承担；不符合质量标准的，鉴定费由中标人承担。 </w:t>
      </w:r>
    </w:p>
    <w:p w14:paraId="251E75B1">
      <w:pPr>
        <w:shd w:val="clear"/>
        <w:adjustRightInd w:val="0"/>
        <w:spacing w:line="360" w:lineRule="auto"/>
        <w:ind w:firstLine="480" w:firstLineChars="200"/>
        <w:jc w:val="left"/>
        <w:rPr>
          <w:rFonts w:hint="eastAsia" w:hAnsi="宋体" w:cs="宋体"/>
          <w:color w:val="auto"/>
          <w:sz w:val="24"/>
          <w:highlight w:val="none"/>
          <w:lang w:val="zh-CN"/>
        </w:rPr>
      </w:pPr>
      <w:r>
        <w:rPr>
          <w:rFonts w:hint="eastAsia" w:hAnsi="宋体" w:cs="宋体"/>
          <w:color w:val="auto"/>
          <w:sz w:val="24"/>
          <w:highlight w:val="none"/>
          <w:lang w:val="zh-CN"/>
        </w:rPr>
        <w:t>（2）合同履行期间,若双方发生争议，可协商或由有关部门调解解决，协商或调解不成的，向采购人所在地人民法院起诉。</w:t>
      </w:r>
    </w:p>
    <w:p w14:paraId="2088AE04">
      <w:pPr>
        <w:pStyle w:val="8"/>
        <w:numPr>
          <w:ilvl w:val="-1"/>
          <w:numId w:val="0"/>
        </w:numPr>
        <w:shd w:val="clear"/>
        <w:spacing w:line="360" w:lineRule="auto"/>
        <w:ind w:firstLine="480" w:firstLineChars="200"/>
        <w:rPr>
          <w:rFonts w:hAnsi="宋体" w:cs="宋体"/>
          <w:color w:val="auto"/>
          <w:sz w:val="24"/>
          <w:highlight w:val="none"/>
        </w:rPr>
      </w:pPr>
      <w:r>
        <w:rPr>
          <w:rFonts w:hint="eastAsia" w:ascii="黑体" w:hAnsi="黑体" w:eastAsia="黑体" w:cs="黑体"/>
          <w:color w:val="auto"/>
          <w:sz w:val="24"/>
          <w:highlight w:val="none"/>
          <w:lang w:val="en-US" w:eastAsia="zh-CN"/>
        </w:rPr>
        <w:t>★</w:t>
      </w:r>
      <w:r>
        <w:rPr>
          <w:rFonts w:hint="eastAsia" w:hAnsi="宋体" w:cs="宋体"/>
          <w:color w:val="auto"/>
          <w:sz w:val="24"/>
          <w:highlight w:val="none"/>
          <w:lang w:val="en-US" w:eastAsia="zh-CN"/>
        </w:rPr>
        <w:t>9、</w:t>
      </w:r>
      <w:r>
        <w:rPr>
          <w:rFonts w:hint="eastAsia" w:hAnsi="宋体" w:cs="宋体"/>
          <w:color w:val="auto"/>
          <w:sz w:val="24"/>
          <w:highlight w:val="none"/>
        </w:rPr>
        <w:t>其他要求：</w:t>
      </w:r>
    </w:p>
    <w:p w14:paraId="2B8D0B9F">
      <w:pPr>
        <w:pStyle w:val="8"/>
        <w:shd w:val="clear"/>
        <w:spacing w:line="360" w:lineRule="auto"/>
        <w:ind w:firstLine="480"/>
        <w:rPr>
          <w:rFonts w:hAnsi="宋体" w:cs="宋体"/>
          <w:color w:val="auto"/>
          <w:sz w:val="24"/>
          <w:highlight w:val="none"/>
        </w:rPr>
      </w:pPr>
      <w:r>
        <w:rPr>
          <w:rFonts w:hint="eastAsia" w:hAnsi="宋体" w:cs="宋体"/>
          <w:color w:val="auto"/>
          <w:sz w:val="24"/>
          <w:highlight w:val="none"/>
        </w:rPr>
        <w:t>（1）投标人报价总额包含所投产品、安装调试、运输、培训、维修升级、人工等产生的一切费用。</w:t>
      </w:r>
    </w:p>
    <w:p w14:paraId="16DF0E1F">
      <w:pPr>
        <w:pStyle w:val="8"/>
        <w:shd w:val="clear"/>
        <w:spacing w:line="360" w:lineRule="auto"/>
        <w:ind w:firstLine="480"/>
        <w:rPr>
          <w:rFonts w:hint="eastAsia" w:hAnsi="宋体" w:cs="宋体"/>
          <w:color w:val="auto"/>
          <w:sz w:val="24"/>
          <w:highlight w:val="none"/>
        </w:rPr>
      </w:pPr>
      <w:r>
        <w:rPr>
          <w:rFonts w:hint="eastAsia" w:hAnsi="宋体" w:cs="宋体"/>
          <w:color w:val="auto"/>
          <w:sz w:val="24"/>
          <w:highlight w:val="none"/>
        </w:rPr>
        <w:t>（2）投标人提供的所有货物（设备）应当是全新的，本项目实施过程的安全责任由投标人自行承担。</w:t>
      </w:r>
    </w:p>
    <w:p w14:paraId="13C986BE">
      <w:pPr>
        <w:shd w:val="clear"/>
        <w:spacing w:line="360" w:lineRule="auto"/>
        <w:ind w:firstLine="480" w:firstLineChars="200"/>
        <w:rPr>
          <w:rFonts w:hint="eastAsia" w:hAnsi="宋体" w:eastAsia="宋体" w:cs="宋体"/>
          <w:color w:val="auto"/>
          <w:sz w:val="24"/>
          <w:highlight w:val="none"/>
          <w:lang w:val="en-US" w:eastAsia="zh-CN"/>
        </w:rPr>
      </w:pPr>
      <w:r>
        <w:rPr>
          <w:rFonts w:hint="eastAsia" w:hAnsi="宋体" w:cs="宋体"/>
          <w:color w:val="auto"/>
          <w:sz w:val="24"/>
          <w:highlight w:val="none"/>
          <w:lang w:val="en-US" w:eastAsia="zh-CN"/>
        </w:rPr>
        <w:t>（3）投标人应为采购人提供现场技术培训，保证采购人使用人员正常操作设备的各种功能。培训次数不少于3次，每次培训天数不少于2天。培训人员应具备相应的技术培训能力（开展培训前，须向采购人提供培训人员具有培训能力的相关证明材料，证明材料可为：相关资质证书、或培训经验证明材料、或其他可证明具有培训能力的材料，否则允许为采购人提供培训）。</w:t>
      </w:r>
    </w:p>
    <w:p w14:paraId="60BC5DD5">
      <w:pPr>
        <w:shd w:val="clear"/>
        <w:adjustRightInd/>
        <w:spacing w:afterLines="50" w:line="480" w:lineRule="exact"/>
        <w:ind w:firstLine="562" w:firstLineChars="200"/>
        <w:jc w:val="left"/>
        <w:outlineLvl w:val="1"/>
        <w:rPr>
          <w:rFonts w:hint="eastAsia" w:ascii="宋体" w:hAnsi="宋体" w:eastAsia="宋体" w:cs="宋体"/>
          <w:b/>
          <w:bCs/>
          <w:color w:val="auto"/>
          <w:kern w:val="0"/>
          <w:sz w:val="28"/>
          <w:szCs w:val="28"/>
          <w:highlight w:val="none"/>
          <w:lang w:val="zh-CN" w:eastAsia="zh-CN" w:bidi="ar-SA"/>
        </w:rPr>
      </w:pPr>
      <w:r>
        <w:rPr>
          <w:rFonts w:hint="eastAsia" w:ascii="宋体" w:hAnsi="宋体" w:eastAsia="宋体" w:cs="宋体"/>
          <w:b/>
          <w:bCs/>
          <w:i w:val="0"/>
          <w:iCs w:val="0"/>
          <w:color w:val="auto"/>
          <w:spacing w:val="0"/>
          <w:sz w:val="28"/>
          <w:szCs w:val="28"/>
          <w:highlight w:val="none"/>
          <w:u w:val="none"/>
          <w:lang w:val="zh-CN" w:eastAsia="zh-CN"/>
        </w:rPr>
        <w:t>四、</w:t>
      </w:r>
      <w:r>
        <w:rPr>
          <w:rFonts w:hint="eastAsia" w:ascii="宋体" w:hAnsi="宋体" w:eastAsia="宋体" w:cs="宋体"/>
          <w:b/>
          <w:bCs/>
          <w:i w:val="0"/>
          <w:iCs w:val="0"/>
          <w:color w:val="auto"/>
          <w:spacing w:val="0"/>
          <w:sz w:val="28"/>
          <w:szCs w:val="28"/>
          <w:highlight w:val="none"/>
          <w:u w:val="none"/>
          <w:shd w:val="clear"/>
          <w:lang w:val="zh-CN" w:eastAsia="zh-CN"/>
        </w:rPr>
        <w:t>其他要求</w:t>
      </w:r>
      <w:r>
        <w:rPr>
          <w:rFonts w:hint="eastAsia" w:ascii="宋体" w:hAnsi="宋体" w:eastAsia="宋体" w:cs="宋体"/>
          <w:b/>
          <w:bCs/>
          <w:color w:val="auto"/>
          <w:kern w:val="0"/>
          <w:sz w:val="28"/>
          <w:szCs w:val="28"/>
          <w:highlight w:val="none"/>
          <w:lang w:val="zh-CN" w:eastAsia="zh-CN" w:bidi="ar-SA"/>
        </w:rPr>
        <w:t>（仅作为评审依据，未完全满足仅按要求进行扣分，不影响其响应文件有效性。具体详见综合评分明细表）</w:t>
      </w:r>
    </w:p>
    <w:p w14:paraId="45ED9345">
      <w:pPr>
        <w:pStyle w:val="8"/>
        <w:shd w:val="clear"/>
        <w:spacing w:line="360" w:lineRule="auto"/>
        <w:ind w:firstLine="480"/>
        <w:rPr>
          <w:rFonts w:hint="eastAsia" w:hAnsi="宋体" w:cs="宋体"/>
          <w:color w:val="auto"/>
          <w:sz w:val="24"/>
          <w:highlight w:val="none"/>
        </w:rPr>
      </w:pPr>
      <w:r>
        <w:rPr>
          <w:rFonts w:hint="eastAsia" w:hAnsi="宋体" w:cs="宋体"/>
          <w:color w:val="auto"/>
          <w:sz w:val="24"/>
          <w:highlight w:val="none"/>
          <w:lang w:val="en-US" w:eastAsia="zh-CN"/>
        </w:rPr>
        <w:t>1、</w:t>
      </w:r>
      <w:r>
        <w:rPr>
          <w:rFonts w:hint="eastAsia" w:hAnsi="宋体" w:cs="宋体"/>
          <w:color w:val="auto"/>
          <w:sz w:val="24"/>
          <w:highlight w:val="none"/>
        </w:rPr>
        <w:t>投标人</w:t>
      </w:r>
      <w:r>
        <w:rPr>
          <w:rFonts w:hint="eastAsia" w:hAnsi="宋体" w:cs="宋体"/>
          <w:color w:val="auto"/>
          <w:sz w:val="24"/>
          <w:highlight w:val="none"/>
          <w:lang w:val="en-US" w:eastAsia="zh-CN"/>
        </w:rPr>
        <w:t>针对本项目</w:t>
      </w:r>
      <w:r>
        <w:rPr>
          <w:rFonts w:hint="eastAsia" w:hAnsi="宋体" w:cs="宋体"/>
          <w:color w:val="auto"/>
          <w:sz w:val="24"/>
          <w:highlight w:val="none"/>
        </w:rPr>
        <w:t>提供《实施方案》，内容应包括：①实施组织架构及人员配置安排；②项目实施过程控制及进度安排；③声光电系统集成总体实施方案；④灯光系统、机械吊挂系统安装调试方案；⑤音响系统安装调试方案；⑥蓝箱舞美置景实施方案；⑦项目风险控制和质量保障措施；⑧项目实施过程中突然事件的应急预案。</w:t>
      </w:r>
    </w:p>
    <w:p w14:paraId="28E27519">
      <w:pPr>
        <w:pStyle w:val="8"/>
        <w:shd w:val="clear"/>
        <w:spacing w:line="360" w:lineRule="auto"/>
        <w:ind w:firstLine="480"/>
        <w:rPr>
          <w:rFonts w:hint="eastAsia" w:hAnsi="宋体" w:cs="宋体"/>
          <w:color w:val="auto"/>
          <w:sz w:val="24"/>
          <w:highlight w:val="none"/>
        </w:rPr>
      </w:pPr>
      <w:r>
        <w:rPr>
          <w:rFonts w:hint="eastAsia" w:hAnsi="宋体" w:cs="宋体"/>
          <w:color w:val="auto"/>
          <w:sz w:val="24"/>
          <w:highlight w:val="none"/>
          <w:lang w:val="en-US" w:eastAsia="zh-CN"/>
        </w:rPr>
        <w:t>2、</w:t>
      </w:r>
      <w:r>
        <w:rPr>
          <w:rFonts w:hint="eastAsia" w:hAnsi="宋体" w:cs="宋体"/>
          <w:color w:val="auto"/>
          <w:sz w:val="24"/>
          <w:highlight w:val="none"/>
        </w:rPr>
        <w:t>投标人</w:t>
      </w:r>
      <w:r>
        <w:rPr>
          <w:rFonts w:hint="eastAsia" w:hAnsi="宋体" w:cs="宋体"/>
          <w:color w:val="auto"/>
          <w:sz w:val="24"/>
          <w:highlight w:val="none"/>
          <w:lang w:val="en-US" w:eastAsia="zh-CN"/>
        </w:rPr>
        <w:t>针对本项目</w:t>
      </w:r>
      <w:r>
        <w:rPr>
          <w:rFonts w:hint="eastAsia" w:hAnsi="宋体" w:cs="宋体"/>
          <w:color w:val="auto"/>
          <w:sz w:val="24"/>
          <w:highlight w:val="none"/>
        </w:rPr>
        <w:t>提供《售后服务方案》，内容应包括：①售后服务流程；②现场质保服务支持能力保障措施；③质保备品备件供给方案；④售后服务质量保障范围与措施。</w:t>
      </w:r>
    </w:p>
    <w:p w14:paraId="24B9FB2D">
      <w:pPr>
        <w:pStyle w:val="8"/>
        <w:shd w:val="clear"/>
        <w:spacing w:line="360" w:lineRule="auto"/>
        <w:ind w:firstLine="480"/>
        <w:rPr>
          <w:rFonts w:hint="eastAsia" w:hAnsi="宋体" w:cs="宋体"/>
          <w:color w:val="auto"/>
          <w:sz w:val="24"/>
          <w:highlight w:val="none"/>
        </w:rPr>
      </w:pPr>
      <w:r>
        <w:rPr>
          <w:rFonts w:hint="eastAsia" w:hAnsi="宋体" w:cs="宋体"/>
          <w:color w:val="auto"/>
          <w:sz w:val="24"/>
          <w:highlight w:val="none"/>
          <w:lang w:val="en-US" w:eastAsia="zh-CN"/>
        </w:rPr>
        <w:t>3、</w:t>
      </w:r>
      <w:r>
        <w:rPr>
          <w:rFonts w:hint="eastAsia" w:hAnsi="宋体" w:cs="宋体"/>
          <w:color w:val="auto"/>
          <w:sz w:val="24"/>
          <w:highlight w:val="none"/>
        </w:rPr>
        <w:t>投标人</w:t>
      </w:r>
      <w:r>
        <w:rPr>
          <w:rFonts w:hint="eastAsia" w:hAnsi="宋体" w:cs="宋体"/>
          <w:color w:val="auto"/>
          <w:sz w:val="24"/>
          <w:highlight w:val="none"/>
          <w:lang w:val="en-US" w:eastAsia="zh-CN"/>
        </w:rPr>
        <w:t>针对本项目</w:t>
      </w:r>
      <w:r>
        <w:rPr>
          <w:rFonts w:hint="eastAsia" w:hAnsi="宋体" w:cs="宋体"/>
          <w:color w:val="auto"/>
          <w:sz w:val="24"/>
          <w:highlight w:val="none"/>
        </w:rPr>
        <w:t>提供《培训方案》，内容应包括：①培训时间与培训内容；②培训过程中的重难点剖析。</w:t>
      </w:r>
    </w:p>
    <w:p w14:paraId="52A67B8A">
      <w:pPr>
        <w:pStyle w:val="8"/>
        <w:shd w:val="clear"/>
        <w:spacing w:line="360" w:lineRule="auto"/>
        <w:ind w:firstLine="480"/>
        <w:rPr>
          <w:rFonts w:hint="eastAsia" w:hAnsi="宋体" w:cs="宋体"/>
          <w:color w:val="auto"/>
          <w:sz w:val="24"/>
          <w:highlight w:val="none"/>
        </w:rPr>
      </w:pPr>
      <w:r>
        <w:rPr>
          <w:rFonts w:hint="eastAsia" w:hAnsi="宋体" w:cs="宋体"/>
          <w:color w:val="auto"/>
          <w:sz w:val="24"/>
          <w:highlight w:val="none"/>
          <w:lang w:val="en-US" w:eastAsia="zh-CN"/>
        </w:rPr>
        <w:t>4、投标人提供自2022年1月1日（含）至递交投标文件截止时间，自身取得的类似项目业绩（类似项目业绩是指：含有本采购包涉及采购标的当中的任一产品）。</w:t>
      </w:r>
    </w:p>
    <w:p w14:paraId="243CB9D4">
      <w:pPr>
        <w:pStyle w:val="8"/>
        <w:shd w:val="clear"/>
        <w:spacing w:line="360" w:lineRule="auto"/>
        <w:ind w:firstLine="480"/>
        <w:rPr>
          <w:rFonts w:hint="eastAsia" w:hAnsi="宋体" w:cs="宋体"/>
          <w:color w:val="auto"/>
          <w:sz w:val="24"/>
          <w:highlight w:val="none"/>
        </w:rPr>
      </w:pPr>
    </w:p>
    <w:p w14:paraId="2113F220">
      <w:pPr>
        <w:shd w:val="clear"/>
        <w:rPr>
          <w:rFonts w:hAnsi="宋体" w:cs="宋体"/>
          <w:color w:val="auto"/>
          <w:sz w:val="36"/>
          <w:szCs w:val="36"/>
          <w:highlight w:val="none"/>
        </w:rPr>
      </w:pPr>
      <w:r>
        <w:rPr>
          <w:rFonts w:hint="eastAsia" w:hAnsi="宋体" w:cs="宋体"/>
          <w:b/>
          <w:bCs/>
          <w:color w:val="auto"/>
          <w:sz w:val="24"/>
          <w:highlight w:val="none"/>
          <w:lang w:val="en-US" w:eastAsia="zh-CN"/>
        </w:rPr>
        <w:t>注：</w:t>
      </w:r>
      <w:r>
        <w:rPr>
          <w:rFonts w:hint="eastAsia" w:hAnsi="宋体" w:cs="宋体"/>
          <w:b/>
          <w:bCs/>
          <w:color w:val="auto"/>
          <w:sz w:val="24"/>
          <w:highlight w:val="none"/>
        </w:rPr>
        <w:t>本章的要求不能作为资格性条件要求评标，如存在资格性条件要求，应当认定招标文件编制存在重大缺陷，评标委员会应当停止评标。</w:t>
      </w:r>
      <w:r>
        <w:rPr>
          <w:rFonts w:hint="eastAsia" w:hAnsi="宋体" w:cs="宋体"/>
          <w:color w:val="auto"/>
          <w:sz w:val="36"/>
          <w:szCs w:val="36"/>
          <w:highlight w:val="none"/>
        </w:rPr>
        <w:br w:type="page"/>
      </w:r>
    </w:p>
    <w:p w14:paraId="51148FDD">
      <w:pPr>
        <w:pStyle w:val="3"/>
        <w:shd w:val="clear"/>
        <w:spacing w:line="500" w:lineRule="exact"/>
        <w:rPr>
          <w:rFonts w:hAnsi="宋体" w:cs="宋体"/>
          <w:color w:val="auto"/>
          <w:sz w:val="36"/>
          <w:szCs w:val="36"/>
          <w:highlight w:val="none"/>
        </w:rPr>
      </w:pPr>
      <w:r>
        <w:rPr>
          <w:rFonts w:hint="eastAsia" w:hAnsi="宋体" w:cs="宋体"/>
          <w:color w:val="auto"/>
          <w:sz w:val="36"/>
          <w:szCs w:val="36"/>
          <w:highlight w:val="none"/>
        </w:rPr>
        <w:t>第七章  评标办法</w:t>
      </w:r>
      <w:bookmarkEnd w:id="137"/>
      <w:bookmarkStart w:id="138" w:name="_Hlt101846155"/>
      <w:bookmarkEnd w:id="138"/>
      <w:bookmarkStart w:id="139" w:name="_Toc217446097"/>
      <w:bookmarkStart w:id="140" w:name="_Toc208849007"/>
      <w:bookmarkStart w:id="141" w:name="_Toc183582280"/>
      <w:bookmarkStart w:id="142" w:name="_Toc183682415"/>
    </w:p>
    <w:bookmarkEnd w:id="139"/>
    <w:bookmarkEnd w:id="140"/>
    <w:bookmarkEnd w:id="141"/>
    <w:bookmarkEnd w:id="142"/>
    <w:p w14:paraId="3696EE87">
      <w:pPr>
        <w:pStyle w:val="4"/>
        <w:shd w:val="clear"/>
        <w:spacing w:before="120" w:after="120" w:line="500" w:lineRule="exact"/>
        <w:ind w:firstLine="482" w:firstLineChars="200"/>
        <w:jc w:val="left"/>
        <w:rPr>
          <w:rFonts w:ascii="宋体" w:hAnsi="宋体" w:eastAsia="宋体" w:cs="宋体"/>
          <w:bCs w:val="0"/>
          <w:color w:val="auto"/>
          <w:highlight w:val="none"/>
        </w:rPr>
      </w:pPr>
      <w:r>
        <w:rPr>
          <w:rFonts w:hint="eastAsia" w:ascii="宋体" w:hAnsi="宋体" w:eastAsia="宋体" w:cs="宋体"/>
          <w:color w:val="auto"/>
          <w:sz w:val="24"/>
          <w:szCs w:val="24"/>
          <w:highlight w:val="none"/>
        </w:rPr>
        <w:t>1. 总则</w:t>
      </w:r>
    </w:p>
    <w:p w14:paraId="207EA3FE">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1.1 根据《中华人民共和国政府采购法》《中华人民共和国政府采购法实施条例》《政府采购货物和服务招标投标管理办法》等法律制度，结合采购项目特点制定本评标办法。</w:t>
      </w:r>
    </w:p>
    <w:p w14:paraId="21C08578">
      <w:pPr>
        <w:pStyle w:val="26"/>
        <w:shd w:val="clear"/>
        <w:spacing w:beforeAutospacing="0" w:afterAutospacing="0" w:line="360" w:lineRule="auto"/>
        <w:ind w:firstLine="468" w:firstLineChars="195"/>
        <w:rPr>
          <w:rFonts w:cs="宋体"/>
          <w:color w:val="auto"/>
          <w:kern w:val="2"/>
          <w:sz w:val="24"/>
          <w:szCs w:val="24"/>
          <w:highlight w:val="none"/>
        </w:rPr>
      </w:pPr>
      <w:r>
        <w:rPr>
          <w:rFonts w:hint="eastAsia" w:cs="宋体"/>
          <w:color w:val="auto"/>
          <w:sz w:val="24"/>
          <w:highlight w:val="none"/>
        </w:rPr>
        <w:t>1.2</w:t>
      </w:r>
      <w:r>
        <w:rPr>
          <w:rFonts w:hint="eastAsia" w:cs="宋体"/>
          <w:color w:val="auto"/>
          <w:kern w:val="2"/>
          <w:sz w:val="24"/>
          <w:szCs w:val="24"/>
          <w:highlight w:val="none"/>
        </w:rPr>
        <w:t>评标工作由采购代理机构负责组织，并履行下列职责：</w:t>
      </w:r>
    </w:p>
    <w:p w14:paraId="0CA0BC26">
      <w:pPr>
        <w:pStyle w:val="26"/>
        <w:shd w:val="clear"/>
        <w:spacing w:beforeAutospacing="0" w:afterAutospacing="0" w:line="360" w:lineRule="auto"/>
        <w:ind w:firstLine="200"/>
        <w:rPr>
          <w:rFonts w:cs="宋体"/>
          <w:color w:val="auto"/>
          <w:kern w:val="2"/>
          <w:sz w:val="24"/>
          <w:szCs w:val="24"/>
          <w:highlight w:val="none"/>
        </w:rPr>
      </w:pPr>
      <w:r>
        <w:rPr>
          <w:rFonts w:hint="eastAsia" w:cs="宋体"/>
          <w:color w:val="auto"/>
          <w:kern w:val="2"/>
          <w:sz w:val="24"/>
          <w:szCs w:val="24"/>
          <w:highlight w:val="none"/>
        </w:rPr>
        <w:t>（1）核对评审专家身份和采购人代表授权函，对评审专家在政府采购活动中的职责履行情况予以记录，并及时将有关违法违规行为向财政部门报告；</w:t>
      </w:r>
    </w:p>
    <w:p w14:paraId="35CD14B2">
      <w:pPr>
        <w:pStyle w:val="26"/>
        <w:shd w:val="clear"/>
        <w:spacing w:beforeAutospacing="0" w:afterAutospacing="0" w:line="360" w:lineRule="auto"/>
        <w:ind w:firstLine="200"/>
        <w:rPr>
          <w:rFonts w:cs="宋体"/>
          <w:color w:val="auto"/>
          <w:kern w:val="2"/>
          <w:sz w:val="24"/>
          <w:szCs w:val="24"/>
          <w:highlight w:val="none"/>
        </w:rPr>
      </w:pPr>
      <w:r>
        <w:rPr>
          <w:rFonts w:hint="eastAsia" w:cs="宋体"/>
          <w:color w:val="auto"/>
          <w:kern w:val="2"/>
          <w:sz w:val="24"/>
          <w:szCs w:val="24"/>
          <w:highlight w:val="none"/>
        </w:rPr>
        <w:t>（2）宣布评标纪律；</w:t>
      </w:r>
    </w:p>
    <w:p w14:paraId="4F6AA6FF">
      <w:pPr>
        <w:pStyle w:val="26"/>
        <w:shd w:val="clear"/>
        <w:spacing w:beforeAutospacing="0" w:afterAutospacing="0" w:line="360" w:lineRule="auto"/>
        <w:ind w:firstLine="200"/>
        <w:rPr>
          <w:rFonts w:cs="宋体"/>
          <w:color w:val="auto"/>
          <w:kern w:val="2"/>
          <w:sz w:val="24"/>
          <w:szCs w:val="24"/>
          <w:highlight w:val="none"/>
        </w:rPr>
      </w:pPr>
      <w:r>
        <w:rPr>
          <w:rFonts w:hint="eastAsia" w:cs="宋体"/>
          <w:color w:val="auto"/>
          <w:kern w:val="2"/>
          <w:sz w:val="24"/>
          <w:szCs w:val="24"/>
          <w:highlight w:val="none"/>
        </w:rPr>
        <w:t>（3）公布投标人名单，告知评审专家应当回避的情形；</w:t>
      </w:r>
    </w:p>
    <w:p w14:paraId="4859D11B">
      <w:pPr>
        <w:pStyle w:val="26"/>
        <w:shd w:val="clear"/>
        <w:spacing w:beforeAutospacing="0" w:afterAutospacing="0" w:line="360" w:lineRule="auto"/>
        <w:ind w:firstLine="200"/>
        <w:rPr>
          <w:rFonts w:cs="宋体"/>
          <w:color w:val="auto"/>
          <w:kern w:val="2"/>
          <w:sz w:val="24"/>
          <w:szCs w:val="24"/>
          <w:highlight w:val="none"/>
        </w:rPr>
      </w:pPr>
      <w:r>
        <w:rPr>
          <w:rFonts w:hint="eastAsia" w:cs="宋体"/>
          <w:color w:val="auto"/>
          <w:kern w:val="2"/>
          <w:sz w:val="24"/>
          <w:szCs w:val="24"/>
          <w:highlight w:val="none"/>
        </w:rPr>
        <w:t>（4）组织评标委员会推选评标组长，采购人代表不得担任组长；</w:t>
      </w:r>
    </w:p>
    <w:p w14:paraId="6668F9C3">
      <w:pPr>
        <w:pStyle w:val="26"/>
        <w:shd w:val="clear"/>
        <w:spacing w:beforeAutospacing="0" w:afterAutospacing="0" w:line="360" w:lineRule="auto"/>
        <w:ind w:firstLine="200"/>
        <w:rPr>
          <w:rFonts w:cs="宋体"/>
          <w:color w:val="auto"/>
          <w:kern w:val="2"/>
          <w:sz w:val="24"/>
          <w:szCs w:val="24"/>
          <w:highlight w:val="none"/>
        </w:rPr>
      </w:pPr>
      <w:r>
        <w:rPr>
          <w:rFonts w:hint="eastAsia" w:cs="宋体"/>
          <w:color w:val="auto"/>
          <w:kern w:val="2"/>
          <w:sz w:val="24"/>
          <w:szCs w:val="24"/>
          <w:highlight w:val="none"/>
        </w:rPr>
        <w:t>（5）在评标期间采取必要的通讯管理措施，保证评标活动不受外界干扰；</w:t>
      </w:r>
    </w:p>
    <w:p w14:paraId="68E7D85B">
      <w:pPr>
        <w:pStyle w:val="26"/>
        <w:shd w:val="clear"/>
        <w:spacing w:beforeAutospacing="0" w:afterAutospacing="0" w:line="360" w:lineRule="auto"/>
        <w:ind w:firstLine="200"/>
        <w:rPr>
          <w:rFonts w:cs="宋体"/>
          <w:color w:val="auto"/>
          <w:kern w:val="2"/>
          <w:sz w:val="24"/>
          <w:szCs w:val="24"/>
          <w:highlight w:val="none"/>
        </w:rPr>
      </w:pPr>
      <w:r>
        <w:rPr>
          <w:rFonts w:hint="eastAsia" w:cs="宋体"/>
          <w:color w:val="auto"/>
          <w:kern w:val="2"/>
          <w:sz w:val="24"/>
          <w:szCs w:val="24"/>
          <w:highlight w:val="none"/>
        </w:rPr>
        <w:t>（6）根据评标委员会的要求介绍政府采购相关政策法规、招标文件；</w:t>
      </w:r>
    </w:p>
    <w:p w14:paraId="5762697B">
      <w:pPr>
        <w:pStyle w:val="26"/>
        <w:shd w:val="clear"/>
        <w:spacing w:beforeAutospacing="0" w:afterAutospacing="0" w:line="360" w:lineRule="auto"/>
        <w:ind w:firstLine="200"/>
        <w:rPr>
          <w:rFonts w:cs="宋体"/>
          <w:color w:val="auto"/>
          <w:kern w:val="2"/>
          <w:sz w:val="24"/>
          <w:szCs w:val="24"/>
          <w:highlight w:val="none"/>
        </w:rPr>
      </w:pPr>
      <w:r>
        <w:rPr>
          <w:rFonts w:hint="eastAsia" w:cs="宋体"/>
          <w:color w:val="auto"/>
          <w:kern w:val="2"/>
          <w:sz w:val="24"/>
          <w:szCs w:val="24"/>
          <w:highlight w:val="none"/>
        </w:rPr>
        <w:t>（7）维护评标秩序，监督评标委员会依照招标文件规定的评标程序、方法和标准进行独立评审，及时制止和纠正采购人代表、评审专家的倾向性言论或者违法违规行为；</w:t>
      </w:r>
    </w:p>
    <w:p w14:paraId="183F996F">
      <w:pPr>
        <w:pStyle w:val="26"/>
        <w:shd w:val="clear"/>
        <w:spacing w:beforeAutospacing="0" w:afterAutospacing="0" w:line="360" w:lineRule="auto"/>
        <w:ind w:firstLine="200"/>
        <w:rPr>
          <w:rFonts w:cs="宋体"/>
          <w:color w:val="auto"/>
          <w:kern w:val="2"/>
          <w:sz w:val="24"/>
          <w:szCs w:val="24"/>
          <w:highlight w:val="none"/>
        </w:rPr>
      </w:pPr>
      <w:r>
        <w:rPr>
          <w:rFonts w:hint="eastAsia" w:cs="宋体"/>
          <w:color w:val="auto"/>
          <w:kern w:val="2"/>
          <w:sz w:val="24"/>
          <w:szCs w:val="24"/>
          <w:highlight w:val="none"/>
        </w:rPr>
        <w:t>（8）核对评标结果，有本办法第六十四条规定情形的，要求评标委员会复核或者书面说明理由，评标委员会拒绝的，应予记录并向本级财政部门报告；</w:t>
      </w:r>
    </w:p>
    <w:p w14:paraId="5AA23B49">
      <w:pPr>
        <w:pStyle w:val="26"/>
        <w:shd w:val="clear"/>
        <w:spacing w:beforeAutospacing="0" w:afterAutospacing="0" w:line="360" w:lineRule="auto"/>
        <w:ind w:firstLine="200"/>
        <w:rPr>
          <w:rFonts w:cs="宋体"/>
          <w:color w:val="auto"/>
          <w:kern w:val="2"/>
          <w:sz w:val="24"/>
          <w:szCs w:val="24"/>
          <w:highlight w:val="none"/>
        </w:rPr>
      </w:pPr>
      <w:r>
        <w:rPr>
          <w:rFonts w:hint="eastAsia" w:cs="宋体"/>
          <w:color w:val="auto"/>
          <w:kern w:val="2"/>
          <w:sz w:val="24"/>
          <w:szCs w:val="24"/>
          <w:highlight w:val="none"/>
        </w:rPr>
        <w:t>（9）评审工作完成后，按照规定向评审专家支付劳务报酬和异地评审差旅费，不得向评审专家以外的其他人员支付评审劳务报酬；</w:t>
      </w:r>
    </w:p>
    <w:p w14:paraId="4EFCF5F4">
      <w:pPr>
        <w:pStyle w:val="26"/>
        <w:shd w:val="clear"/>
        <w:spacing w:beforeAutospacing="0" w:afterAutospacing="0" w:line="360" w:lineRule="auto"/>
        <w:ind w:firstLine="200"/>
        <w:rPr>
          <w:rFonts w:cs="宋体"/>
          <w:color w:val="auto"/>
          <w:kern w:val="2"/>
          <w:sz w:val="24"/>
          <w:szCs w:val="24"/>
          <w:highlight w:val="none"/>
        </w:rPr>
      </w:pPr>
      <w:r>
        <w:rPr>
          <w:rFonts w:hint="eastAsia" w:cs="宋体"/>
          <w:color w:val="auto"/>
          <w:kern w:val="2"/>
          <w:sz w:val="24"/>
          <w:szCs w:val="24"/>
          <w:highlight w:val="none"/>
        </w:rPr>
        <w:t>（10）处理与评标有关的其他事项。</w:t>
      </w:r>
    </w:p>
    <w:p w14:paraId="1475E00A">
      <w:pPr>
        <w:shd w:val="clear"/>
        <w:spacing w:line="500" w:lineRule="exact"/>
        <w:ind w:firstLine="480" w:firstLineChars="200"/>
        <w:rPr>
          <w:rFonts w:hAnsi="宋体" w:cs="宋体"/>
          <w:color w:val="auto"/>
          <w:sz w:val="24"/>
          <w:highlight w:val="none"/>
        </w:rPr>
      </w:pPr>
      <w:r>
        <w:rPr>
          <w:rFonts w:hint="eastAsia" w:hAnsi="宋体" w:cs="宋体"/>
          <w:color w:val="auto"/>
          <w:kern w:val="2"/>
          <w:sz w:val="24"/>
          <w:szCs w:val="24"/>
          <w:highlight w:val="none"/>
        </w:rPr>
        <w:t>采购人可以在评标前说明项目背景和采购需求，说明内容不得含有歧视性、倾向性意见，不得超出招标文件所述范围。说明应当提交书面材料，并随招标文件一并存档。</w:t>
      </w:r>
    </w:p>
    <w:p w14:paraId="65A7F888">
      <w:pPr>
        <w:shd w:val="clear"/>
        <w:spacing w:line="500" w:lineRule="exact"/>
        <w:ind w:firstLine="480" w:firstLineChars="200"/>
        <w:rPr>
          <w:rFonts w:hAnsi="宋体" w:cs="宋体"/>
          <w:color w:val="auto"/>
          <w:kern w:val="2"/>
          <w:sz w:val="24"/>
          <w:szCs w:val="24"/>
          <w:highlight w:val="none"/>
        </w:rPr>
      </w:pPr>
      <w:r>
        <w:rPr>
          <w:rFonts w:hint="eastAsia" w:hAnsi="宋体" w:cs="宋体"/>
          <w:color w:val="auto"/>
          <w:kern w:val="2"/>
          <w:sz w:val="24"/>
          <w:szCs w:val="24"/>
          <w:highlight w:val="none"/>
        </w:rPr>
        <w:t>1.3 评标工作由采购代理机构负责组织，具体评标事务由依法组建的评标委员会负责。评标委员会由采购人代表和有关技术、经济等方面的专家组成。</w:t>
      </w:r>
    </w:p>
    <w:p w14:paraId="6EE8A130">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1.4评标工作应遵循公平、公正、科学及择优的原则，并以相同的评标程序和标准对待所有的投标人。</w:t>
      </w:r>
    </w:p>
    <w:p w14:paraId="2D14835A">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1.5评标委员会按照招标文件规定的评标方法和标准进行评标，并独立履行下列职责：</w:t>
      </w:r>
    </w:p>
    <w:p w14:paraId="75E4F244">
      <w:pPr>
        <w:shd w:val="clear"/>
        <w:spacing w:line="480" w:lineRule="exact"/>
        <w:ind w:firstLine="480" w:firstLineChars="200"/>
        <w:rPr>
          <w:rFonts w:hAnsi="宋体" w:cs="宋体"/>
          <w:color w:val="auto"/>
          <w:sz w:val="24"/>
          <w:highlight w:val="none"/>
        </w:rPr>
      </w:pPr>
      <w:bookmarkStart w:id="143" w:name="_Toc217446098"/>
      <w:r>
        <w:rPr>
          <w:rFonts w:hint="eastAsia" w:hAnsi="宋体" w:cs="宋体"/>
          <w:color w:val="auto"/>
          <w:sz w:val="24"/>
          <w:highlight w:val="none"/>
        </w:rPr>
        <w:t>（1）审查、评价投标文件是否符合招标文件的商务、技术等实质性要求；</w:t>
      </w:r>
    </w:p>
    <w:p w14:paraId="5407870A">
      <w:pPr>
        <w:shd w:val="clear"/>
        <w:spacing w:line="480" w:lineRule="exact"/>
        <w:ind w:firstLine="480" w:firstLineChars="200"/>
        <w:rPr>
          <w:rFonts w:hAnsi="宋体" w:cs="宋体"/>
          <w:color w:val="auto"/>
          <w:sz w:val="24"/>
          <w:highlight w:val="none"/>
        </w:rPr>
      </w:pPr>
      <w:r>
        <w:rPr>
          <w:rFonts w:hint="eastAsia" w:hAnsi="宋体" w:cs="宋体"/>
          <w:color w:val="auto"/>
          <w:sz w:val="24"/>
          <w:highlight w:val="none"/>
        </w:rPr>
        <w:t>（2）要求投标人对投标文件有关事项作出澄清或者说明；</w:t>
      </w:r>
    </w:p>
    <w:p w14:paraId="5008D156">
      <w:pPr>
        <w:shd w:val="clear"/>
        <w:spacing w:line="480" w:lineRule="exact"/>
        <w:ind w:firstLine="480" w:firstLineChars="200"/>
        <w:rPr>
          <w:rFonts w:hAnsi="宋体" w:cs="宋体"/>
          <w:color w:val="auto"/>
          <w:sz w:val="24"/>
          <w:highlight w:val="none"/>
        </w:rPr>
      </w:pPr>
      <w:r>
        <w:rPr>
          <w:rFonts w:hint="eastAsia" w:hAnsi="宋体" w:cs="宋体"/>
          <w:color w:val="auto"/>
          <w:sz w:val="24"/>
          <w:highlight w:val="none"/>
        </w:rPr>
        <w:t>（3）对投标文件进行比较和评价；</w:t>
      </w:r>
    </w:p>
    <w:p w14:paraId="3BA92761">
      <w:pPr>
        <w:shd w:val="clear"/>
        <w:spacing w:line="480" w:lineRule="exact"/>
        <w:ind w:firstLine="480" w:firstLineChars="200"/>
        <w:rPr>
          <w:rFonts w:hAnsi="宋体" w:cs="宋体"/>
          <w:color w:val="auto"/>
          <w:sz w:val="24"/>
          <w:highlight w:val="none"/>
        </w:rPr>
      </w:pPr>
      <w:r>
        <w:rPr>
          <w:rFonts w:hint="eastAsia" w:hAnsi="宋体" w:cs="宋体"/>
          <w:color w:val="auto"/>
          <w:sz w:val="24"/>
          <w:highlight w:val="none"/>
        </w:rPr>
        <w:t>（4）确定中标候选人名单，以及根据采购人委托直接确定中标人；</w:t>
      </w:r>
    </w:p>
    <w:p w14:paraId="56E8C6D1">
      <w:pPr>
        <w:shd w:val="clear"/>
        <w:spacing w:line="480" w:lineRule="exact"/>
        <w:ind w:firstLine="480" w:firstLineChars="200"/>
        <w:rPr>
          <w:rFonts w:hAnsi="宋体" w:cs="宋体"/>
          <w:color w:val="auto"/>
          <w:sz w:val="24"/>
          <w:highlight w:val="none"/>
        </w:rPr>
      </w:pPr>
      <w:r>
        <w:rPr>
          <w:rFonts w:hint="eastAsia" w:hAnsi="宋体" w:cs="宋体"/>
          <w:color w:val="auto"/>
          <w:sz w:val="24"/>
          <w:highlight w:val="none"/>
        </w:rPr>
        <w:t>（5）向采购人、采购代理机构或者有关部门报告评标中发现的违法行为。</w:t>
      </w:r>
    </w:p>
    <w:p w14:paraId="3730499E">
      <w:pPr>
        <w:shd w:val="clear"/>
        <w:spacing w:line="480" w:lineRule="exact"/>
        <w:ind w:firstLine="480" w:firstLineChars="200"/>
        <w:rPr>
          <w:rFonts w:hAnsi="宋体" w:cs="宋体"/>
          <w:color w:val="auto"/>
          <w:sz w:val="24"/>
          <w:highlight w:val="none"/>
        </w:rPr>
      </w:pPr>
      <w:r>
        <w:rPr>
          <w:rFonts w:hint="eastAsia" w:hAnsi="宋体" w:cs="宋体"/>
          <w:color w:val="auto"/>
          <w:sz w:val="24"/>
          <w:highlight w:val="none"/>
        </w:rPr>
        <w:t>评标委员会及其成员不得有下列行为：</w:t>
      </w:r>
    </w:p>
    <w:p w14:paraId="0190F4E3">
      <w:pPr>
        <w:shd w:val="clear"/>
        <w:spacing w:line="480" w:lineRule="exact"/>
        <w:ind w:firstLine="480" w:firstLineChars="200"/>
        <w:rPr>
          <w:rFonts w:hAnsi="宋体" w:cs="宋体"/>
          <w:color w:val="auto"/>
          <w:sz w:val="24"/>
          <w:highlight w:val="none"/>
        </w:rPr>
      </w:pPr>
      <w:r>
        <w:rPr>
          <w:rFonts w:hint="eastAsia" w:hAnsi="宋体" w:cs="宋体"/>
          <w:color w:val="auto"/>
          <w:sz w:val="24"/>
          <w:highlight w:val="none"/>
        </w:rPr>
        <w:t>（1）确定参与评标至评标结束前私自接触投标人；</w:t>
      </w:r>
    </w:p>
    <w:p w14:paraId="0A2C2B24">
      <w:pPr>
        <w:shd w:val="clear"/>
        <w:spacing w:line="480" w:lineRule="exact"/>
        <w:ind w:firstLine="480" w:firstLineChars="200"/>
        <w:rPr>
          <w:rFonts w:hAnsi="宋体" w:cs="宋体"/>
          <w:color w:val="auto"/>
          <w:sz w:val="24"/>
          <w:highlight w:val="none"/>
        </w:rPr>
      </w:pPr>
      <w:r>
        <w:rPr>
          <w:rFonts w:hint="eastAsia" w:hAnsi="宋体" w:cs="宋体"/>
          <w:color w:val="auto"/>
          <w:sz w:val="24"/>
          <w:highlight w:val="none"/>
        </w:rPr>
        <w:t>（2）接受投标人提出的与投标文件不一致的澄清或者说明，《政府采购货物和服务招标投标管理办法》（财政部令第87号）第五十一条规定的情形除外；</w:t>
      </w:r>
    </w:p>
    <w:p w14:paraId="1C84EC7A">
      <w:pPr>
        <w:shd w:val="clear"/>
        <w:spacing w:line="480" w:lineRule="exact"/>
        <w:ind w:firstLine="480" w:firstLineChars="200"/>
        <w:rPr>
          <w:rFonts w:hAnsi="宋体" w:cs="宋体"/>
          <w:color w:val="auto"/>
          <w:sz w:val="24"/>
          <w:highlight w:val="none"/>
        </w:rPr>
      </w:pPr>
      <w:r>
        <w:rPr>
          <w:rFonts w:hint="eastAsia" w:hAnsi="宋体" w:cs="宋体"/>
          <w:color w:val="auto"/>
          <w:sz w:val="24"/>
          <w:highlight w:val="none"/>
        </w:rPr>
        <w:t>（3）违反评标纪律发表倾向性意见或者征询采购人的倾向性意见；</w:t>
      </w:r>
    </w:p>
    <w:p w14:paraId="461C6A9D">
      <w:pPr>
        <w:shd w:val="clear"/>
        <w:spacing w:line="480" w:lineRule="exact"/>
        <w:ind w:firstLine="480" w:firstLineChars="200"/>
        <w:rPr>
          <w:rFonts w:hAnsi="宋体" w:cs="宋体"/>
          <w:color w:val="auto"/>
          <w:sz w:val="24"/>
          <w:highlight w:val="none"/>
        </w:rPr>
      </w:pPr>
      <w:r>
        <w:rPr>
          <w:rFonts w:hint="eastAsia" w:hAnsi="宋体" w:cs="宋体"/>
          <w:color w:val="auto"/>
          <w:sz w:val="24"/>
          <w:highlight w:val="none"/>
        </w:rPr>
        <w:t>（4）对需要专业判断的主观评审因素协商评分；</w:t>
      </w:r>
    </w:p>
    <w:p w14:paraId="1B1DF6DC">
      <w:pPr>
        <w:shd w:val="clear"/>
        <w:spacing w:line="480" w:lineRule="exact"/>
        <w:ind w:firstLine="480" w:firstLineChars="200"/>
        <w:rPr>
          <w:rFonts w:hAnsi="宋体" w:cs="宋体"/>
          <w:color w:val="auto"/>
          <w:sz w:val="24"/>
          <w:highlight w:val="none"/>
        </w:rPr>
      </w:pPr>
      <w:r>
        <w:rPr>
          <w:rFonts w:hint="eastAsia" w:hAnsi="宋体" w:cs="宋体"/>
          <w:color w:val="auto"/>
          <w:sz w:val="24"/>
          <w:highlight w:val="none"/>
        </w:rPr>
        <w:t>（5）在评标过程中擅离职守，影响评标程序正常进行的；</w:t>
      </w:r>
    </w:p>
    <w:p w14:paraId="724A5C8B">
      <w:pPr>
        <w:shd w:val="clear"/>
        <w:spacing w:line="480" w:lineRule="exact"/>
        <w:ind w:firstLine="480" w:firstLineChars="200"/>
        <w:rPr>
          <w:rFonts w:hAnsi="宋体" w:cs="宋体"/>
          <w:color w:val="auto"/>
          <w:sz w:val="24"/>
          <w:highlight w:val="none"/>
        </w:rPr>
      </w:pPr>
      <w:r>
        <w:rPr>
          <w:rFonts w:hint="eastAsia" w:hAnsi="宋体" w:cs="宋体"/>
          <w:color w:val="auto"/>
          <w:sz w:val="24"/>
          <w:highlight w:val="none"/>
        </w:rPr>
        <w:t>（6）记录、复制或者带走任何评标资料；</w:t>
      </w:r>
    </w:p>
    <w:p w14:paraId="63AC96A1">
      <w:pPr>
        <w:shd w:val="clear"/>
        <w:spacing w:line="480" w:lineRule="exact"/>
        <w:ind w:firstLine="480" w:firstLineChars="200"/>
        <w:rPr>
          <w:rFonts w:hAnsi="宋体" w:cs="宋体"/>
          <w:color w:val="auto"/>
          <w:sz w:val="24"/>
          <w:highlight w:val="none"/>
        </w:rPr>
      </w:pPr>
      <w:r>
        <w:rPr>
          <w:rFonts w:hint="eastAsia" w:hAnsi="宋体" w:cs="宋体"/>
          <w:color w:val="auto"/>
          <w:sz w:val="24"/>
          <w:highlight w:val="none"/>
        </w:rPr>
        <w:t>（7）其他不遵守评标纪律的行为。</w:t>
      </w:r>
    </w:p>
    <w:p w14:paraId="42F2B678">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1.5 评标过程独立、保密。投标人非法干预评标评标过程的行为将导致其投标文件作为无效处理。</w:t>
      </w:r>
    </w:p>
    <w:p w14:paraId="16A4612B">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1.6评标委员会评价投标文件的响应性，对于投标人而言，除评标委员会要求其澄清、说明或者更正而提供的资料外，仅依据投标文件本身的内容，不寻求其他外部证据。</w:t>
      </w:r>
    </w:p>
    <w:p w14:paraId="6FCA2992">
      <w:pPr>
        <w:pStyle w:val="4"/>
        <w:shd w:val="clear"/>
        <w:spacing w:before="120" w:after="120" w:line="500" w:lineRule="exact"/>
        <w:ind w:firstLine="482" w:firstLineChars="200"/>
        <w:jc w:val="lef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2.评标方法</w:t>
      </w:r>
    </w:p>
    <w:p w14:paraId="1A41B1DD">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本项目评标方法为：</w:t>
      </w:r>
      <w:r>
        <w:rPr>
          <w:rFonts w:hint="eastAsia" w:hAnsi="宋体" w:cs="宋体"/>
          <w:b/>
          <w:bCs/>
          <w:color w:val="auto"/>
          <w:sz w:val="24"/>
          <w:highlight w:val="none"/>
        </w:rPr>
        <w:t>综合评分法。</w:t>
      </w:r>
    </w:p>
    <w:p w14:paraId="30E16890">
      <w:pPr>
        <w:pStyle w:val="4"/>
        <w:shd w:val="clear"/>
        <w:spacing w:before="120" w:after="120" w:line="500" w:lineRule="exact"/>
        <w:ind w:firstLine="482" w:firstLineChars="200"/>
        <w:jc w:val="left"/>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3.评标程序</w:t>
      </w:r>
      <w:bookmarkEnd w:id="143"/>
    </w:p>
    <w:p w14:paraId="382C1591">
      <w:pPr>
        <w:shd w:val="clear"/>
        <w:spacing w:line="500" w:lineRule="exact"/>
        <w:ind w:firstLine="480" w:firstLineChars="200"/>
        <w:rPr>
          <w:rFonts w:hAnsi="宋体" w:cs="宋体"/>
          <w:color w:val="auto"/>
          <w:sz w:val="24"/>
          <w:szCs w:val="22"/>
          <w:highlight w:val="none"/>
        </w:rPr>
      </w:pPr>
      <w:bookmarkStart w:id="144" w:name="_Toc217446103"/>
      <w:bookmarkStart w:id="145" w:name="_Toc217446099"/>
      <w:r>
        <w:rPr>
          <w:rFonts w:hint="eastAsia" w:hAnsi="宋体" w:cs="宋体"/>
          <w:color w:val="auto"/>
          <w:sz w:val="24"/>
          <w:szCs w:val="22"/>
          <w:highlight w:val="none"/>
        </w:rPr>
        <w:t>3.1采购人和采购代理机构依法对投标人递交的资格性投标文件进行资格审查。</w:t>
      </w:r>
    </w:p>
    <w:p w14:paraId="6161442C">
      <w:pPr>
        <w:shd w:val="clear"/>
        <w:spacing w:line="500" w:lineRule="exact"/>
        <w:ind w:firstLine="480" w:firstLineChars="200"/>
        <w:jc w:val="left"/>
        <w:rPr>
          <w:rFonts w:hAnsi="宋体" w:cs="宋体"/>
          <w:color w:val="auto"/>
          <w:sz w:val="24"/>
          <w:szCs w:val="22"/>
          <w:highlight w:val="none"/>
        </w:rPr>
      </w:pPr>
      <w:r>
        <w:rPr>
          <w:rFonts w:hint="eastAsia" w:hAnsi="宋体" w:cs="宋体"/>
          <w:color w:val="auto"/>
          <w:sz w:val="24"/>
          <w:szCs w:val="22"/>
          <w:highlight w:val="none"/>
        </w:rPr>
        <w:t>3.1.1资格性审查事项：详见招标文件第五章投标人应当提供的资格、资质性及其他类似效力要求的相关证明材料。</w:t>
      </w:r>
    </w:p>
    <w:p w14:paraId="599C7686">
      <w:pPr>
        <w:shd w:val="clear"/>
        <w:spacing w:line="500" w:lineRule="exact"/>
        <w:ind w:firstLine="480" w:firstLineChars="200"/>
        <w:rPr>
          <w:rFonts w:hAnsi="宋体" w:cs="宋体"/>
          <w:color w:val="auto"/>
          <w:sz w:val="24"/>
          <w:szCs w:val="22"/>
          <w:highlight w:val="none"/>
        </w:rPr>
      </w:pPr>
      <w:r>
        <w:rPr>
          <w:rFonts w:hint="eastAsia" w:hAnsi="宋体" w:cs="宋体"/>
          <w:color w:val="auto"/>
          <w:sz w:val="24"/>
          <w:szCs w:val="22"/>
          <w:highlight w:val="none"/>
        </w:rPr>
        <w:t>3.1.2采购代理机构依法对投标人的资格进行审查结束后，出具资格审查报告。</w:t>
      </w:r>
    </w:p>
    <w:p w14:paraId="33DFC8D5">
      <w:pPr>
        <w:shd w:val="clear"/>
        <w:spacing w:line="500" w:lineRule="exact"/>
        <w:ind w:firstLine="480" w:firstLineChars="200"/>
        <w:rPr>
          <w:rFonts w:hAnsi="宋体" w:cs="宋体"/>
          <w:color w:val="auto"/>
          <w:sz w:val="24"/>
          <w:szCs w:val="22"/>
          <w:highlight w:val="none"/>
        </w:rPr>
      </w:pPr>
      <w:r>
        <w:rPr>
          <w:rFonts w:hint="eastAsia" w:hAnsi="宋体" w:cs="宋体"/>
          <w:color w:val="auto"/>
          <w:sz w:val="24"/>
          <w:szCs w:val="22"/>
          <w:highlight w:val="none"/>
        </w:rPr>
        <w:t>3.1.3通过资格审查的投标人不足3家的，不得评标。</w:t>
      </w:r>
    </w:p>
    <w:p w14:paraId="50110822">
      <w:pPr>
        <w:shd w:val="clear"/>
        <w:spacing w:line="500" w:lineRule="exact"/>
        <w:ind w:firstLine="480" w:firstLineChars="200"/>
        <w:rPr>
          <w:rFonts w:hAnsi="宋体" w:cs="宋体"/>
          <w:color w:val="auto"/>
          <w:sz w:val="24"/>
          <w:szCs w:val="22"/>
          <w:highlight w:val="none"/>
        </w:rPr>
      </w:pPr>
      <w:r>
        <w:rPr>
          <w:rFonts w:hint="eastAsia" w:hAnsi="宋体" w:cs="宋体"/>
          <w:color w:val="auto"/>
          <w:sz w:val="24"/>
          <w:szCs w:val="22"/>
          <w:highlight w:val="none"/>
        </w:rPr>
        <w:t>3.2</w:t>
      </w:r>
      <w:r>
        <w:rPr>
          <w:rFonts w:hint="eastAsia" w:hAnsi="宋体" w:cs="宋体"/>
          <w:color w:val="auto"/>
          <w:sz w:val="24"/>
          <w:highlight w:val="none"/>
        </w:rPr>
        <w:t>评标委员会</w:t>
      </w:r>
      <w:r>
        <w:rPr>
          <w:rFonts w:hint="eastAsia" w:hAnsi="宋体" w:cs="宋体"/>
          <w:color w:val="auto"/>
          <w:sz w:val="24"/>
          <w:szCs w:val="22"/>
          <w:highlight w:val="none"/>
        </w:rPr>
        <w:t>熟悉和理解招标文件和停止评标。</w:t>
      </w:r>
    </w:p>
    <w:p w14:paraId="15651A36">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3.2.1评标委员会正式评标前，应当对招标文件进行熟悉和理解，内容主要包括招标文件中投标人资格条件要求、采购项目技术、服务和商务要求、评标方法和标准以及可能涉及签订政府采购合同的内容等。</w:t>
      </w:r>
    </w:p>
    <w:p w14:paraId="5BD13D83">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3.2.2评标委员会熟悉和理解招标文件以及评标过程中，发现本招标文件有下列情形之一的，评标委员会应当停止评标：</w:t>
      </w:r>
    </w:p>
    <w:p w14:paraId="6BDC926B">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（1）招标文件存在重大缺陷导致评标工作无法进行；</w:t>
      </w:r>
    </w:p>
    <w:p w14:paraId="643157B4">
      <w:pPr>
        <w:shd w:val="clear"/>
        <w:spacing w:line="500" w:lineRule="exact"/>
        <w:ind w:firstLine="480" w:firstLineChars="200"/>
        <w:rPr>
          <w:rFonts w:hAnsi="宋体" w:cs="宋体"/>
          <w:color w:val="auto"/>
          <w:sz w:val="24"/>
          <w:highlight w:val="none"/>
        </w:rPr>
      </w:pPr>
      <w:r>
        <w:rPr>
          <w:rFonts w:hint="eastAsia" w:hAnsi="宋体" w:cs="宋体"/>
          <w:color w:val="auto"/>
          <w:sz w:val="24"/>
          <w:szCs w:val="22"/>
          <w:highlight w:val="none"/>
        </w:rPr>
        <w:t>（2）招标文件的规定存在歧义，采购人或者采购代理机构未进行书面澄清导致评标工</w:t>
      </w:r>
      <w:r>
        <w:rPr>
          <w:rFonts w:hint="eastAsia" w:hAnsi="宋体" w:cs="宋体"/>
          <w:color w:val="auto"/>
          <w:sz w:val="24"/>
          <w:highlight w:val="none"/>
        </w:rPr>
        <w:t>作无法进行；</w:t>
      </w:r>
    </w:p>
    <w:p w14:paraId="5393A34F">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（3）招标文件明显以不合理条件对投标人实行差别待遇或者歧视待遇的；</w:t>
      </w:r>
    </w:p>
    <w:p w14:paraId="13BE3702">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（4）采购项目属于国家规定的优先、强制采购范围，但是招标文件未依法体现优先、强制采购相关规定的；</w:t>
      </w:r>
    </w:p>
    <w:p w14:paraId="1D5C0180">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（5）采购项目属于政府采购促进中小企业发展的范围，但是招标文件未依法体现促进中小企业发展相关规定的；</w:t>
      </w:r>
    </w:p>
    <w:p w14:paraId="38FC92A6">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（6）招标文件规定的评标方法是综合评分法、最低评标价法之外的评标方法，或者虽然名称为综合评分法、最低评标价法，但实际上不符合国家规定；</w:t>
      </w:r>
    </w:p>
    <w:p w14:paraId="7842A8AD">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（7）招标文件将投标人的资格条件列为评分因素的；</w:t>
      </w:r>
    </w:p>
    <w:p w14:paraId="0BA652BE">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（8）招标文件有违反国家其他有关强制性规定的情形。</w:t>
      </w:r>
    </w:p>
    <w:p w14:paraId="6C79ADF1">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3.2.4出现本条3.2.2规定应当停止评标情形的，评标委员会成员应当向招标采购单位书面说明情况。除本条规定和评标委员会无法依法组建的情形外，评标委员会成员不得以任何方式和理由停止评标。</w:t>
      </w:r>
    </w:p>
    <w:p w14:paraId="3A0210FF">
      <w:pPr>
        <w:shd w:val="clear"/>
        <w:spacing w:line="500" w:lineRule="exact"/>
        <w:ind w:firstLine="480" w:firstLineChars="200"/>
        <w:rPr>
          <w:rFonts w:hAnsi="宋体" w:cs="宋体"/>
          <w:color w:val="auto"/>
          <w:sz w:val="24"/>
          <w:highlight w:val="none"/>
        </w:rPr>
      </w:pPr>
      <w:r>
        <w:rPr>
          <w:rFonts w:hint="eastAsia" w:hAnsi="宋体" w:cs="宋体"/>
          <w:color w:val="auto"/>
          <w:sz w:val="24"/>
          <w:szCs w:val="22"/>
          <w:highlight w:val="none"/>
        </w:rPr>
        <w:t>3.3评标委员会熟悉和理解招标文件完成后，应书面签字确认本招标文件是否有属</w:t>
      </w:r>
      <w:r>
        <w:rPr>
          <w:rFonts w:hint="eastAsia" w:hAnsi="宋体" w:cs="宋体"/>
          <w:color w:val="auto"/>
          <w:sz w:val="24"/>
          <w:highlight w:val="none"/>
        </w:rPr>
        <w:t>于应当停止评标的情形。</w:t>
      </w:r>
    </w:p>
    <w:p w14:paraId="7A9A7FF6">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3.4评标委员会符合性检查。</w:t>
      </w:r>
    </w:p>
    <w:p w14:paraId="15EFC6C1">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3.4.1评标委员会应当对符合资格的投标人的投标文件进行符合性审查，以确定其是否满足本招标文件的实质性要求。本项目符合性审查事项仅限于本招标文件的明确规定。投标文件是否满足招标文件的实质性要求，必须以本招标文件的明确规定作为依据，否则，不能对投标文件作为无效处理，评标委员会不得臆测符合性审查事项。</w:t>
      </w:r>
    </w:p>
    <w:p w14:paraId="6806D058">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3.4.2符合性审查事项：（除政府采购法律制度规定的情形外，本项目投标人或者其投标文件有下列情形之一的，作为无效投标处理：）</w:t>
      </w:r>
    </w:p>
    <w:p w14:paraId="78A9FE0B">
      <w:pPr>
        <w:shd w:val="clear"/>
        <w:spacing w:line="400" w:lineRule="exact"/>
        <w:ind w:firstLine="480" w:firstLineChars="200"/>
        <w:rPr>
          <w:rFonts w:hAnsi="宋体" w:cs="宋体"/>
          <w:color w:val="auto"/>
          <w:sz w:val="24"/>
          <w:highlight w:val="none"/>
        </w:rPr>
      </w:pPr>
      <w:r>
        <w:rPr>
          <w:rFonts w:hint="eastAsia" w:hAnsi="宋体" w:cs="宋体"/>
          <w:color w:val="auto"/>
          <w:sz w:val="24"/>
          <w:highlight w:val="none"/>
        </w:rPr>
        <w:t>（一）投标文件正副本、开标一览表、电子文档数量不足的；</w:t>
      </w:r>
    </w:p>
    <w:p w14:paraId="7EC792D9">
      <w:pPr>
        <w:shd w:val="clear"/>
        <w:spacing w:line="400" w:lineRule="exact"/>
        <w:ind w:firstLine="480" w:firstLineChars="200"/>
        <w:rPr>
          <w:rFonts w:hAnsi="宋体" w:cs="宋体"/>
          <w:color w:val="auto"/>
          <w:sz w:val="24"/>
          <w:highlight w:val="none"/>
        </w:rPr>
      </w:pPr>
      <w:r>
        <w:rPr>
          <w:rFonts w:hint="eastAsia" w:hAnsi="宋体" w:cs="宋体"/>
          <w:color w:val="auto"/>
          <w:sz w:val="24"/>
          <w:highlight w:val="none"/>
        </w:rPr>
        <w:t>（二）投标文件载明的投标有效期少于招标文件要求的或未载明的；</w:t>
      </w:r>
    </w:p>
    <w:p w14:paraId="4F9ADF24">
      <w:pPr>
        <w:shd w:val="clear"/>
        <w:spacing w:line="400" w:lineRule="exact"/>
        <w:ind w:firstLine="480" w:firstLineChars="200"/>
        <w:rPr>
          <w:rFonts w:hAnsi="宋体" w:cs="宋体"/>
          <w:color w:val="auto"/>
          <w:sz w:val="24"/>
          <w:highlight w:val="none"/>
        </w:rPr>
      </w:pPr>
      <w:r>
        <w:rPr>
          <w:rFonts w:hint="eastAsia" w:hAnsi="宋体" w:cs="宋体"/>
          <w:color w:val="auto"/>
          <w:sz w:val="24"/>
          <w:szCs w:val="22"/>
          <w:highlight w:val="none"/>
        </w:rPr>
        <w:t>（三）投标文件的语言、计量单位、报价货币、知识产权等不符合招标文件的规定，影响评标委员会评判的；</w:t>
      </w:r>
    </w:p>
    <w:p w14:paraId="5912058B">
      <w:pPr>
        <w:shd w:val="clear"/>
        <w:spacing w:line="400" w:lineRule="exact"/>
        <w:ind w:firstLine="480" w:firstLineChars="200"/>
        <w:rPr>
          <w:rFonts w:hAnsi="宋体" w:cs="宋体"/>
          <w:color w:val="auto"/>
          <w:sz w:val="24"/>
          <w:highlight w:val="none"/>
        </w:rPr>
      </w:pPr>
      <w:r>
        <w:rPr>
          <w:rFonts w:hint="eastAsia" w:hAnsi="宋体" w:cs="宋体"/>
          <w:color w:val="auto"/>
          <w:sz w:val="24"/>
          <w:highlight w:val="none"/>
        </w:rPr>
        <w:t>（四）投标文件未按招标文件要求签署、盖章的；</w:t>
      </w:r>
    </w:p>
    <w:p w14:paraId="59F2FBDE">
      <w:pPr>
        <w:shd w:val="clear"/>
        <w:spacing w:line="400" w:lineRule="exact"/>
        <w:ind w:firstLine="480" w:firstLineChars="200"/>
        <w:rPr>
          <w:rFonts w:hAnsi="宋体" w:cs="宋体"/>
          <w:color w:val="auto"/>
          <w:sz w:val="24"/>
          <w:szCs w:val="22"/>
          <w:highlight w:val="none"/>
        </w:rPr>
      </w:pPr>
      <w:r>
        <w:rPr>
          <w:rFonts w:hint="eastAsia" w:hAnsi="宋体" w:cs="宋体"/>
          <w:color w:val="auto"/>
          <w:sz w:val="24"/>
          <w:szCs w:val="22"/>
          <w:highlight w:val="none"/>
        </w:rPr>
        <w:t>（五）投标报价不符合招标文件规定的价格标底和其他报价规定的；</w:t>
      </w:r>
    </w:p>
    <w:p w14:paraId="3357CFF4">
      <w:pPr>
        <w:shd w:val="clear"/>
        <w:spacing w:line="400" w:lineRule="exact"/>
        <w:ind w:firstLine="480" w:firstLineChars="200"/>
        <w:rPr>
          <w:rFonts w:hAnsi="宋体" w:cs="宋体"/>
          <w:color w:val="auto"/>
          <w:sz w:val="24"/>
          <w:szCs w:val="22"/>
          <w:highlight w:val="none"/>
        </w:rPr>
      </w:pPr>
      <w:r>
        <w:rPr>
          <w:rFonts w:hint="eastAsia" w:hAnsi="宋体" w:cs="宋体"/>
          <w:color w:val="auto"/>
          <w:sz w:val="24"/>
          <w:szCs w:val="22"/>
          <w:highlight w:val="none"/>
        </w:rPr>
        <w:t>（六）投标文件含有采购人不能接受的附加条件的；</w:t>
      </w:r>
    </w:p>
    <w:p w14:paraId="6D9F64CD">
      <w:pPr>
        <w:shd w:val="clear"/>
        <w:spacing w:line="400" w:lineRule="exact"/>
        <w:ind w:firstLine="480" w:firstLineChars="200"/>
        <w:rPr>
          <w:rFonts w:hAnsi="宋体" w:cs="宋体"/>
          <w:color w:val="auto"/>
          <w:sz w:val="24"/>
          <w:szCs w:val="22"/>
          <w:highlight w:val="none"/>
        </w:rPr>
      </w:pPr>
      <w:r>
        <w:rPr>
          <w:rFonts w:hint="eastAsia" w:hAnsi="宋体" w:cs="宋体"/>
          <w:color w:val="auto"/>
          <w:sz w:val="24"/>
          <w:szCs w:val="22"/>
          <w:highlight w:val="none"/>
        </w:rPr>
        <w:t>（七）投标文件未完全应答招标文件的技术参数的（应答后的正负偏离按照综合评分进行评审）</w:t>
      </w:r>
    </w:p>
    <w:p w14:paraId="468C71DA">
      <w:pPr>
        <w:shd w:val="clear"/>
        <w:spacing w:line="400" w:lineRule="exact"/>
        <w:ind w:firstLine="480" w:firstLineChars="200"/>
        <w:rPr>
          <w:rFonts w:hAnsi="宋体" w:cs="宋体"/>
          <w:color w:val="auto"/>
          <w:sz w:val="24"/>
          <w:highlight w:val="none"/>
        </w:rPr>
      </w:pPr>
      <w:r>
        <w:rPr>
          <w:rFonts w:hint="eastAsia" w:hAnsi="宋体" w:cs="宋体"/>
          <w:color w:val="auto"/>
          <w:sz w:val="24"/>
          <w:highlight w:val="none"/>
        </w:rPr>
        <w:t>（八）法律、法规和招标文件规定的其他无效情形。</w:t>
      </w:r>
    </w:p>
    <w:p w14:paraId="333D0874">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3.4.3投标文件（包括单独递交的开标一览表）有下列情形的，本项目不作为实质性要求进行规定，即不作为符合性审查事项，不得作为无效投标处理：</w:t>
      </w:r>
    </w:p>
    <w:p w14:paraId="23509BB2">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（一）正副本数量齐全、密封完好，只是未按照招标文件要求进行分装或者统装的；</w:t>
      </w:r>
    </w:p>
    <w:p w14:paraId="400F644F">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（二）投标文件（包括单独递交的开标一览表）存在个别地方（不超过2个）没有法定代表人签字，但有法定代表人的私人印章或者有效授权代理人签字的；</w:t>
      </w:r>
    </w:p>
    <w:p w14:paraId="117BEADD">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（三）投标文件（包括单独递交的开标一览表）除招标文件明确要求加盖单位(法人)公章的以外，其他地方以相关专用章加盖的；</w:t>
      </w:r>
    </w:p>
    <w:p w14:paraId="22F224DD">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（四）以骑缝章的形式代替投标文件内容逐页盖章的（但是骑缝章模糊不清，印章名称无法辨认的除外）；</w:t>
      </w:r>
    </w:p>
    <w:p w14:paraId="0852F2EB">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（五）投标文件中表格、顺序等格式（如：“注”等），未按招标文件格式制作的。</w:t>
      </w:r>
    </w:p>
    <w:p w14:paraId="20D4FD79">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（六）其他不影响采购项目实质性要求的情形。</w:t>
      </w:r>
    </w:p>
    <w:p w14:paraId="32B5E066">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3.5评标委员会依法对投标人进行符合性审查结束后，出具符合性审查报告。</w:t>
      </w:r>
    </w:p>
    <w:p w14:paraId="67FABE70">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3.6通过符合性审查的投标人不足3家的，本项目废标。</w:t>
      </w:r>
    </w:p>
    <w:p w14:paraId="67B7564C">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3.7比较与评价。</w:t>
      </w:r>
    </w:p>
    <w:p w14:paraId="50EDC15E">
      <w:pPr>
        <w:shd w:val="clear"/>
        <w:spacing w:line="500" w:lineRule="exact"/>
        <w:ind w:firstLine="960" w:firstLineChars="400"/>
        <w:rPr>
          <w:rFonts w:hAnsi="宋体" w:cs="宋体"/>
          <w:color w:val="auto"/>
          <w:sz w:val="24"/>
          <w:szCs w:val="22"/>
          <w:highlight w:val="none"/>
        </w:rPr>
      </w:pPr>
      <w:r>
        <w:rPr>
          <w:rFonts w:hint="eastAsia" w:hAnsi="宋体" w:cs="宋体"/>
          <w:color w:val="auto"/>
          <w:sz w:val="24"/>
          <w:szCs w:val="22"/>
          <w:highlight w:val="none"/>
        </w:rPr>
        <w:t>评标委员会应当按照招标文件中规定的评标方法和标准，对符合性审查合格的投标文件进行商务和技术、服务评估，综合比较与评价。</w:t>
      </w:r>
    </w:p>
    <w:p w14:paraId="62FDDDD7">
      <w:pPr>
        <w:shd w:val="clear"/>
        <w:spacing w:line="500" w:lineRule="exact"/>
        <w:ind w:firstLine="480" w:firstLineChars="200"/>
        <w:rPr>
          <w:rFonts w:hAnsi="宋体" w:cs="宋体"/>
          <w:color w:val="auto"/>
          <w:sz w:val="24"/>
          <w:highlight w:val="none"/>
        </w:rPr>
      </w:pPr>
      <w:r>
        <w:rPr>
          <w:rFonts w:hint="eastAsia" w:hAnsi="宋体" w:cs="宋体"/>
          <w:color w:val="auto"/>
          <w:sz w:val="24"/>
          <w:szCs w:val="22"/>
          <w:highlight w:val="none"/>
        </w:rPr>
        <w:t>3.8复核。</w:t>
      </w:r>
    </w:p>
    <w:p w14:paraId="65AB2795">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3.8.1评标结果汇总完成后，评标委员会拟出具评标报告前，招标采购单位应当组织2名及以上的本单位工作人员，在采购现场监督人员的监督之下，依据有关的法律制度和采购文件对评标结果进行复核，出具复核报告。评标结果汇总完成后，除下列情形外，任何人不得修改评标结果：</w:t>
      </w:r>
    </w:p>
    <w:p w14:paraId="082E194A">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（1）分值汇总计算错误的；</w:t>
      </w:r>
    </w:p>
    <w:p w14:paraId="3C29B8A3">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（2）分项评分超出评分标准范围的；</w:t>
      </w:r>
    </w:p>
    <w:p w14:paraId="5E3DECB0">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（3）评标委员会成员对客观评审因素评分不一致的；</w:t>
      </w:r>
    </w:p>
    <w:p w14:paraId="44C360F8">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（4）经评标委员会认定评分畸高、畸低的。</w:t>
      </w:r>
    </w:p>
    <w:p w14:paraId="188087A6">
      <w:pPr>
        <w:pStyle w:val="52"/>
        <w:shd w:val="clear"/>
        <w:spacing w:line="500" w:lineRule="exact"/>
        <w:ind w:firstLine="480" w:firstLineChars="200"/>
        <w:jc w:val="both"/>
        <w:rPr>
          <w:color w:val="auto"/>
          <w:highlight w:val="none"/>
        </w:rPr>
      </w:pPr>
      <w:r>
        <w:rPr>
          <w:rFonts w:hint="eastAsia"/>
          <w:color w:val="auto"/>
          <w:highlight w:val="none"/>
        </w:rPr>
        <w:t>评标报告签署前，经复核发现存在以上情形之一的，评标委员会应当当场修改评标结果，并在评标报告中记载；评标报告签署后，采购人或者采购代理机构发现存在以上情形之一的，应当组织原评标委员会进行重新评审，重新评审改变评标结果的，书面报告本级财政部门。采购代理机构复核过程中，评标委员会不得离开评标现场。</w:t>
      </w:r>
    </w:p>
    <w:p w14:paraId="18466A9A">
      <w:pPr>
        <w:pStyle w:val="52"/>
        <w:shd w:val="clear"/>
        <w:spacing w:line="500" w:lineRule="exact"/>
        <w:ind w:firstLine="480" w:firstLineChars="200"/>
        <w:jc w:val="both"/>
        <w:rPr>
          <w:color w:val="auto"/>
          <w:highlight w:val="none"/>
        </w:rPr>
      </w:pPr>
      <w:r>
        <w:rPr>
          <w:rFonts w:hint="eastAsia"/>
          <w:color w:val="auto"/>
          <w:highlight w:val="none"/>
        </w:rPr>
        <w:t>投标人对本条第一款情形提出质疑的，采购人或者采购代理机构可以组织原评标委员会进行重新评审，重新评审改变评标结果的，应当书面报告本级财政部门。</w:t>
      </w:r>
    </w:p>
    <w:p w14:paraId="3A1CE2FF">
      <w:pPr>
        <w:pStyle w:val="52"/>
        <w:shd w:val="clear"/>
        <w:spacing w:line="500" w:lineRule="exact"/>
        <w:ind w:firstLine="480" w:firstLineChars="200"/>
        <w:jc w:val="both"/>
        <w:rPr>
          <w:color w:val="auto"/>
          <w:highlight w:val="none"/>
        </w:rPr>
      </w:pPr>
      <w:r>
        <w:rPr>
          <w:rFonts w:hint="eastAsia"/>
          <w:color w:val="auto"/>
          <w:highlight w:val="none"/>
        </w:rPr>
        <w:t>3.8.2有下列情形之一的，不得修改评标结果或者重新评标：</w:t>
      </w:r>
    </w:p>
    <w:p w14:paraId="408DEBF3">
      <w:pPr>
        <w:pStyle w:val="52"/>
        <w:shd w:val="clear"/>
        <w:spacing w:line="500" w:lineRule="exact"/>
        <w:ind w:firstLine="480" w:firstLineChars="200"/>
        <w:jc w:val="both"/>
        <w:rPr>
          <w:color w:val="auto"/>
          <w:highlight w:val="none"/>
        </w:rPr>
      </w:pPr>
      <w:r>
        <w:rPr>
          <w:rFonts w:hint="eastAsia"/>
          <w:color w:val="auto"/>
          <w:highlight w:val="none"/>
        </w:rPr>
        <w:t>（一）评标委员会已经出具评标报告并且离开评标现场的；</w:t>
      </w:r>
    </w:p>
    <w:p w14:paraId="6194638D">
      <w:pPr>
        <w:pStyle w:val="52"/>
        <w:shd w:val="clear"/>
        <w:spacing w:line="500" w:lineRule="exact"/>
        <w:ind w:firstLine="480" w:firstLineChars="200"/>
        <w:jc w:val="both"/>
        <w:rPr>
          <w:color w:val="auto"/>
          <w:highlight w:val="none"/>
        </w:rPr>
      </w:pPr>
      <w:r>
        <w:rPr>
          <w:rFonts w:hint="eastAsia"/>
          <w:color w:val="auto"/>
          <w:highlight w:val="none"/>
        </w:rPr>
        <w:t>（二）招标采购单位现场复核时，复核工作人员数量不足的；</w:t>
      </w:r>
    </w:p>
    <w:p w14:paraId="3E7C4A9F">
      <w:pPr>
        <w:pStyle w:val="52"/>
        <w:shd w:val="clear"/>
        <w:spacing w:line="500" w:lineRule="exact"/>
        <w:ind w:firstLine="480" w:firstLineChars="200"/>
        <w:jc w:val="both"/>
        <w:rPr>
          <w:color w:val="auto"/>
          <w:highlight w:val="none"/>
        </w:rPr>
      </w:pPr>
      <w:r>
        <w:rPr>
          <w:rFonts w:hint="eastAsia"/>
          <w:color w:val="auto"/>
          <w:highlight w:val="none"/>
        </w:rPr>
        <w:t>（三）招标采购单位现场复核时，没有采购监督人员现场监督的；</w:t>
      </w:r>
    </w:p>
    <w:p w14:paraId="6FE337F3">
      <w:pPr>
        <w:pStyle w:val="52"/>
        <w:shd w:val="clear"/>
        <w:spacing w:line="500" w:lineRule="exact"/>
        <w:ind w:firstLine="480" w:firstLineChars="200"/>
        <w:jc w:val="both"/>
        <w:rPr>
          <w:color w:val="auto"/>
          <w:highlight w:val="none"/>
        </w:rPr>
      </w:pPr>
      <w:r>
        <w:rPr>
          <w:rFonts w:hint="eastAsia"/>
          <w:color w:val="auto"/>
          <w:highlight w:val="none"/>
        </w:rPr>
        <w:t>（四）招标采购单位现场复核内容超出规定范围的；</w:t>
      </w:r>
    </w:p>
    <w:p w14:paraId="2EB94C02">
      <w:pPr>
        <w:pStyle w:val="52"/>
        <w:shd w:val="clear"/>
        <w:spacing w:line="500" w:lineRule="exact"/>
        <w:ind w:firstLine="480" w:firstLineChars="200"/>
        <w:jc w:val="both"/>
        <w:rPr>
          <w:color w:val="auto"/>
          <w:highlight w:val="none"/>
        </w:rPr>
      </w:pPr>
      <w:r>
        <w:rPr>
          <w:rFonts w:hint="eastAsia"/>
          <w:color w:val="auto"/>
          <w:highlight w:val="none"/>
        </w:rPr>
        <w:t>（五）招标采购单位未提供书面建议的。</w:t>
      </w:r>
    </w:p>
    <w:p w14:paraId="6330865C">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3.9推荐中标候选投标人。</w:t>
      </w:r>
    </w:p>
    <w:p w14:paraId="09807D8F">
      <w:pPr>
        <w:shd w:val="clear"/>
        <w:spacing w:line="500" w:lineRule="exact"/>
        <w:ind w:firstLine="480" w:firstLineChars="200"/>
        <w:rPr>
          <w:rFonts w:hAnsi="宋体" w:cs="宋体"/>
          <w:color w:val="auto"/>
          <w:sz w:val="24"/>
          <w:szCs w:val="22"/>
          <w:highlight w:val="none"/>
        </w:rPr>
      </w:pPr>
      <w:r>
        <w:rPr>
          <w:rFonts w:hint="eastAsia" w:hAnsi="宋体" w:cs="宋体"/>
          <w:color w:val="auto"/>
          <w:sz w:val="24"/>
          <w:szCs w:val="22"/>
          <w:highlight w:val="none"/>
        </w:rPr>
        <w:t>中标候选人应当排序。评标结果按评审后得分由高到低顺序排列。得分相同的，按投标报价由低到高顺序排列。得分且投标报价相同的并列，投标文件满足招标文件全部实质性要求，且按照评审因素的量化指标评审得分最高的投标人为排名第一的中标候选人。</w:t>
      </w:r>
      <w:r>
        <w:rPr>
          <w:rFonts w:hint="eastAsia" w:hAnsi="宋体" w:cs="宋体"/>
          <w:color w:val="auto"/>
          <w:sz w:val="24"/>
          <w:highlight w:val="none"/>
        </w:rPr>
        <w:t>得分相同且满足招标文件全部实质性要求且按照评审因素的量化指标评审得分也相同的并列，由采购人自主采取公平、择优的方式选择</w:t>
      </w:r>
      <w:r>
        <w:rPr>
          <w:rFonts w:hint="eastAsia" w:hAnsi="宋体" w:cs="宋体"/>
          <w:color w:val="auto"/>
          <w:sz w:val="24"/>
          <w:szCs w:val="22"/>
          <w:highlight w:val="none"/>
        </w:rPr>
        <w:t>排名第一的中标候选人</w:t>
      </w:r>
      <w:r>
        <w:rPr>
          <w:rFonts w:hint="eastAsia" w:hAnsi="宋体" w:cs="宋体"/>
          <w:color w:val="auto"/>
          <w:sz w:val="24"/>
          <w:highlight w:val="none"/>
        </w:rPr>
        <w:t>。</w:t>
      </w:r>
    </w:p>
    <w:p w14:paraId="59D11633">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评标委员会可推荐的中标候选投标人数量不能满足招标文件规定的数量的，只有在获得采购人书面同意后，可以根据实际情况推荐中标候选投标人。未获得采购人的书面同意,评标委员会不得在招标文件规定之外推荐中标候选投标人，否则，采购人可以不予认可。</w:t>
      </w:r>
    </w:p>
    <w:p w14:paraId="1CAE117F">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3.10出具评标报告。评标委员会推荐中标候选投标人后，应当向招标采购单位出具评标报告。评标报告应当包括下列内容：</w:t>
      </w:r>
    </w:p>
    <w:p w14:paraId="7DFC7756">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（一）招标公告刊登的媒体名称、开标日期和地点；</w:t>
      </w:r>
    </w:p>
    <w:p w14:paraId="0E05CC1F">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（二）投标人名单和评标委员会成员名单；</w:t>
      </w:r>
    </w:p>
    <w:p w14:paraId="0C24CBC2">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（三）评标方法和标准；</w:t>
      </w:r>
    </w:p>
    <w:p w14:paraId="1BC0D276">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（四）开标记录和评标情况及说明，包括无效投标人名单及原因；</w:t>
      </w:r>
    </w:p>
    <w:p w14:paraId="1E05726E">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（五）评标结果，确定的中标候选人名单或者经采购人委托直接确定的中标人；</w:t>
      </w:r>
    </w:p>
    <w:p w14:paraId="19BAD738">
      <w:pPr>
        <w:shd w:val="clear"/>
        <w:spacing w:line="500" w:lineRule="exact"/>
        <w:ind w:firstLine="480" w:firstLineChars="200"/>
        <w:rPr>
          <w:rFonts w:hAnsi="宋体" w:cs="宋体"/>
          <w:color w:val="auto"/>
          <w:sz w:val="24"/>
          <w:highlight w:val="none"/>
        </w:rPr>
      </w:pPr>
      <w:r>
        <w:rPr>
          <w:rFonts w:hint="eastAsia" w:hAnsi="宋体" w:cs="宋体"/>
          <w:color w:val="auto"/>
          <w:sz w:val="24"/>
          <w:highlight w:val="none"/>
        </w:rPr>
        <w:t>（六）其他需要说明的情况，包括评标过程中投标人根据评标委员会要求进行的澄清、说明或者补正，评标委员会成员的更换等。</w:t>
      </w:r>
    </w:p>
    <w:p w14:paraId="3F62A0D7">
      <w:pPr>
        <w:pageBreakBefore w:val="0"/>
        <w:widowControl w:val="0"/>
        <w:shd w:val="clear"/>
        <w:kinsoku/>
        <w:wordWrap/>
        <w:overflowPunct/>
        <w:topLinePunct w:val="0"/>
        <w:bidi w:val="0"/>
        <w:snapToGrid/>
        <w:spacing w:line="460" w:lineRule="exact"/>
        <w:ind w:firstLine="480" w:firstLineChars="200"/>
        <w:textAlignment w:val="auto"/>
        <w:rPr>
          <w:rFonts w:hAnsi="宋体" w:cs="宋体"/>
          <w:color w:val="auto"/>
          <w:sz w:val="24"/>
          <w:highlight w:val="none"/>
        </w:rPr>
      </w:pPr>
      <w:r>
        <w:rPr>
          <w:rFonts w:hint="eastAsia" w:hAnsi="宋体" w:cs="宋体"/>
          <w:color w:val="auto"/>
          <w:sz w:val="24"/>
          <w:szCs w:val="22"/>
          <w:highlight w:val="none"/>
        </w:rPr>
        <w:t>评标委员会成员应当在评标报告中签字确认，对</w:t>
      </w:r>
      <w:r>
        <w:rPr>
          <w:rFonts w:hint="eastAsia" w:hAnsi="宋体" w:cs="宋体"/>
          <w:color w:val="auto"/>
          <w:sz w:val="24"/>
          <w:highlight w:val="none"/>
        </w:rPr>
        <w:t>评标过程和结果有不同意见的，应当在评标报告中写明并说明理由。签字但未写明不同意见或者未说明理由的，视同无意见。拒不签字又未另行书面说明其不同意见和理由的，视同同意评标结果。</w:t>
      </w:r>
    </w:p>
    <w:p w14:paraId="41B4D04C">
      <w:pPr>
        <w:pageBreakBefore w:val="0"/>
        <w:widowControl w:val="0"/>
        <w:shd w:val="clear"/>
        <w:kinsoku/>
        <w:wordWrap/>
        <w:overflowPunct/>
        <w:topLinePunct w:val="0"/>
        <w:bidi w:val="0"/>
        <w:snapToGrid/>
        <w:spacing w:line="460" w:lineRule="exact"/>
        <w:ind w:firstLine="480" w:firstLineChars="200"/>
        <w:textAlignment w:val="auto"/>
        <w:rPr>
          <w:rFonts w:hAnsi="宋体" w:cs="宋体"/>
          <w:color w:val="auto"/>
          <w:sz w:val="24"/>
          <w:highlight w:val="none"/>
        </w:rPr>
      </w:pPr>
      <w:r>
        <w:rPr>
          <w:rFonts w:hint="eastAsia" w:hAnsi="宋体" w:cs="宋体"/>
          <w:color w:val="auto"/>
          <w:sz w:val="24"/>
          <w:highlight w:val="none"/>
        </w:rPr>
        <w:t>3.11评标争议处理规则。评标委员会在评审过程中，评标委员会成员对需要共同认定的事项存在争议的，应当按照少数服从多数的原则做出结论，但不得违背法律法规和招标文件规定。有不同意见的评标委员会成员认为认定过程和结果不符合法律法规或者招标文件规定的，应当及时向招标采购单位书面反映。招标采购单位收到书面反映后，应当书面报告采购项目同级财政部门依法处理。</w:t>
      </w:r>
    </w:p>
    <w:p w14:paraId="09D029F6">
      <w:pPr>
        <w:pageBreakBefore w:val="0"/>
        <w:widowControl w:val="0"/>
        <w:shd w:val="clear"/>
        <w:kinsoku/>
        <w:wordWrap/>
        <w:overflowPunct/>
        <w:topLinePunct w:val="0"/>
        <w:bidi w:val="0"/>
        <w:snapToGrid/>
        <w:spacing w:line="460" w:lineRule="exact"/>
        <w:ind w:firstLine="480" w:firstLineChars="200"/>
        <w:textAlignment w:val="auto"/>
        <w:rPr>
          <w:rFonts w:hAnsi="宋体" w:cs="宋体"/>
          <w:color w:val="auto"/>
          <w:sz w:val="24"/>
          <w:highlight w:val="none"/>
        </w:rPr>
      </w:pPr>
      <w:r>
        <w:rPr>
          <w:rFonts w:hint="eastAsia" w:hAnsi="宋体" w:cs="宋体"/>
          <w:color w:val="auto"/>
          <w:sz w:val="24"/>
          <w:highlight w:val="none"/>
        </w:rPr>
        <w:t>3.12投标人应当书面澄清、说明或者更正。</w:t>
      </w:r>
    </w:p>
    <w:p w14:paraId="61331346">
      <w:pPr>
        <w:pageBreakBefore w:val="0"/>
        <w:widowControl w:val="0"/>
        <w:shd w:val="clear"/>
        <w:kinsoku/>
        <w:wordWrap/>
        <w:overflowPunct/>
        <w:topLinePunct w:val="0"/>
        <w:bidi w:val="0"/>
        <w:snapToGrid/>
        <w:spacing w:line="460" w:lineRule="exact"/>
        <w:ind w:firstLine="480" w:firstLineChars="200"/>
        <w:textAlignment w:val="auto"/>
        <w:rPr>
          <w:rFonts w:hAnsi="宋体" w:cs="宋体"/>
          <w:color w:val="auto"/>
          <w:sz w:val="24"/>
          <w:highlight w:val="none"/>
        </w:rPr>
      </w:pPr>
      <w:r>
        <w:rPr>
          <w:rFonts w:hint="eastAsia" w:hAnsi="宋体" w:cs="宋体"/>
          <w:color w:val="auto"/>
          <w:sz w:val="24"/>
          <w:highlight w:val="none"/>
        </w:rPr>
        <w:t>3.12.1在评标过程中，评标委员会对投标文件中含义不明确、同类问题表述不一致或者有明显文字和计算错误的内容，应当以书面形式（须由评标委员会全体成员签字）要求投标人作出必要的澄清、说明或者补正。</w:t>
      </w:r>
    </w:p>
    <w:p w14:paraId="123EC6A2">
      <w:pPr>
        <w:pageBreakBefore w:val="0"/>
        <w:widowControl w:val="0"/>
        <w:shd w:val="clear"/>
        <w:kinsoku/>
        <w:wordWrap/>
        <w:overflowPunct/>
        <w:topLinePunct w:val="0"/>
        <w:bidi w:val="0"/>
        <w:snapToGrid/>
        <w:spacing w:line="460" w:lineRule="exact"/>
        <w:ind w:firstLine="480" w:firstLineChars="200"/>
        <w:textAlignment w:val="auto"/>
        <w:rPr>
          <w:rFonts w:hAnsi="宋体" w:cs="宋体"/>
          <w:color w:val="auto"/>
          <w:highlight w:val="none"/>
        </w:rPr>
      </w:pPr>
      <w:r>
        <w:rPr>
          <w:rFonts w:hint="eastAsia" w:hAnsi="宋体" w:cs="宋体"/>
          <w:color w:val="auto"/>
          <w:sz w:val="24"/>
          <w:szCs w:val="22"/>
          <w:highlight w:val="none"/>
        </w:rPr>
        <w:t>3.12.2投标人的澄清、说明或者补正应当采用书面形式，并加盖公章或签字确认（投标人为法人的，应当由其法定代表人或者代理人签字确认；投标人为其他组织的，应当由其主要负责人或者代理人签字确认；投标人为自然人的，应当由其本人或者代理人签字确认），否则无效。投标人的澄清、说明或者补正不得超出投标文</w:t>
      </w:r>
      <w:r>
        <w:rPr>
          <w:rFonts w:hint="eastAsia" w:hAnsi="宋体" w:cs="宋体"/>
          <w:color w:val="auto"/>
          <w:sz w:val="24"/>
          <w:highlight w:val="none"/>
        </w:rPr>
        <w:t>件的范围或者改变投标文件的实质性内容。有效的澄清、说明或者补正材料，是投标文件的组成部分。</w:t>
      </w:r>
    </w:p>
    <w:p w14:paraId="5DA7E372">
      <w:pPr>
        <w:pageBreakBefore w:val="0"/>
        <w:widowControl w:val="0"/>
        <w:shd w:val="clear"/>
        <w:kinsoku/>
        <w:wordWrap/>
        <w:overflowPunct/>
        <w:topLinePunct w:val="0"/>
        <w:bidi w:val="0"/>
        <w:snapToGrid/>
        <w:spacing w:line="460" w:lineRule="exact"/>
        <w:ind w:firstLine="480" w:firstLineChars="200"/>
        <w:textAlignment w:val="auto"/>
        <w:rPr>
          <w:rFonts w:hAnsi="宋体" w:cs="宋体"/>
          <w:color w:val="auto"/>
          <w:sz w:val="24"/>
          <w:highlight w:val="none"/>
        </w:rPr>
      </w:pPr>
      <w:r>
        <w:rPr>
          <w:rFonts w:hint="eastAsia" w:hAnsi="宋体" w:cs="宋体"/>
          <w:color w:val="auto"/>
          <w:sz w:val="24"/>
          <w:highlight w:val="none"/>
        </w:rPr>
        <w:t>3.12.3评标委员会要求投标人澄清、说明或者补正，不得超出招标文件的范围，不得以此让投标人实质改变投标文件的内容，不得影响投标人公平竞争。本项目下列内容不得澄清：</w:t>
      </w:r>
    </w:p>
    <w:p w14:paraId="0F9CFA6B">
      <w:pPr>
        <w:pageBreakBefore w:val="0"/>
        <w:widowControl w:val="0"/>
        <w:shd w:val="clear"/>
        <w:kinsoku/>
        <w:wordWrap/>
        <w:overflowPunct/>
        <w:topLinePunct w:val="0"/>
        <w:bidi w:val="0"/>
        <w:snapToGrid/>
        <w:spacing w:line="460" w:lineRule="exact"/>
        <w:ind w:firstLine="480" w:firstLineChars="200"/>
        <w:textAlignment w:val="auto"/>
        <w:rPr>
          <w:rFonts w:hAnsi="宋体" w:cs="宋体"/>
          <w:color w:val="auto"/>
          <w:sz w:val="24"/>
          <w:highlight w:val="none"/>
        </w:rPr>
      </w:pPr>
      <w:r>
        <w:rPr>
          <w:rFonts w:hint="eastAsia" w:hAnsi="宋体" w:cs="宋体"/>
          <w:color w:val="auto"/>
          <w:sz w:val="24"/>
          <w:highlight w:val="none"/>
        </w:rPr>
        <w:t>（一）按财政部规定应当在评标时不予承认的投标文件内容事项；</w:t>
      </w:r>
    </w:p>
    <w:p w14:paraId="6FF9EC2A">
      <w:pPr>
        <w:pageBreakBefore w:val="0"/>
        <w:widowControl w:val="0"/>
        <w:shd w:val="clear"/>
        <w:kinsoku/>
        <w:wordWrap/>
        <w:overflowPunct/>
        <w:topLinePunct w:val="0"/>
        <w:bidi w:val="0"/>
        <w:snapToGrid/>
        <w:spacing w:line="460" w:lineRule="exact"/>
        <w:ind w:firstLine="480" w:firstLineChars="200"/>
        <w:textAlignment w:val="auto"/>
        <w:rPr>
          <w:rFonts w:hAnsi="宋体" w:cs="宋体"/>
          <w:color w:val="auto"/>
          <w:sz w:val="24"/>
          <w:highlight w:val="none"/>
        </w:rPr>
      </w:pPr>
      <w:r>
        <w:rPr>
          <w:rFonts w:hint="eastAsia" w:hAnsi="宋体" w:cs="宋体"/>
          <w:color w:val="auto"/>
          <w:sz w:val="24"/>
          <w:highlight w:val="none"/>
        </w:rPr>
        <w:t>（二）投标文件中已经明确的内容事项；</w:t>
      </w:r>
    </w:p>
    <w:p w14:paraId="2D7F4FFD">
      <w:pPr>
        <w:pageBreakBefore w:val="0"/>
        <w:widowControl w:val="0"/>
        <w:shd w:val="clear"/>
        <w:kinsoku/>
        <w:wordWrap/>
        <w:overflowPunct/>
        <w:topLinePunct w:val="0"/>
        <w:bidi w:val="0"/>
        <w:snapToGrid/>
        <w:spacing w:line="460" w:lineRule="exact"/>
        <w:ind w:firstLine="480" w:firstLineChars="200"/>
        <w:textAlignment w:val="auto"/>
        <w:rPr>
          <w:rFonts w:hAnsi="宋体" w:cs="宋体"/>
          <w:color w:val="auto"/>
          <w:sz w:val="24"/>
          <w:highlight w:val="none"/>
        </w:rPr>
      </w:pPr>
      <w:r>
        <w:rPr>
          <w:rFonts w:hint="eastAsia" w:hAnsi="宋体" w:cs="宋体"/>
          <w:color w:val="auto"/>
          <w:sz w:val="24"/>
          <w:highlight w:val="none"/>
        </w:rPr>
        <w:t>（三）投标文件未提供的材料。</w:t>
      </w:r>
    </w:p>
    <w:p w14:paraId="45F22712">
      <w:pPr>
        <w:pageBreakBefore w:val="0"/>
        <w:widowControl w:val="0"/>
        <w:shd w:val="clear"/>
        <w:kinsoku/>
        <w:wordWrap/>
        <w:overflowPunct/>
        <w:topLinePunct w:val="0"/>
        <w:bidi w:val="0"/>
        <w:snapToGrid/>
        <w:spacing w:line="460" w:lineRule="exact"/>
        <w:ind w:firstLine="480" w:firstLineChars="200"/>
        <w:textAlignment w:val="auto"/>
        <w:rPr>
          <w:rFonts w:hAnsi="宋体" w:cs="宋体"/>
          <w:color w:val="auto"/>
          <w:sz w:val="24"/>
          <w:szCs w:val="22"/>
          <w:highlight w:val="none"/>
        </w:rPr>
      </w:pPr>
      <w:r>
        <w:rPr>
          <w:rFonts w:hint="eastAsia" w:hAnsi="宋体" w:cs="宋体"/>
          <w:color w:val="auto"/>
          <w:sz w:val="24"/>
          <w:szCs w:val="22"/>
          <w:highlight w:val="none"/>
        </w:rPr>
        <w:t>3.12.4本项目采购过程中，投标文件出现下列情况的，不需要投标人澄清、说明或</w:t>
      </w:r>
    </w:p>
    <w:p w14:paraId="712E5944">
      <w:pPr>
        <w:pageBreakBefore w:val="0"/>
        <w:widowControl w:val="0"/>
        <w:shd w:val="clear"/>
        <w:kinsoku/>
        <w:wordWrap/>
        <w:overflowPunct/>
        <w:topLinePunct w:val="0"/>
        <w:bidi w:val="0"/>
        <w:snapToGrid/>
        <w:spacing w:line="460" w:lineRule="exact"/>
        <w:textAlignment w:val="auto"/>
        <w:rPr>
          <w:rFonts w:hAnsi="宋体" w:cs="宋体"/>
          <w:color w:val="auto"/>
          <w:sz w:val="24"/>
          <w:szCs w:val="22"/>
          <w:highlight w:val="none"/>
        </w:rPr>
      </w:pPr>
      <w:r>
        <w:rPr>
          <w:rFonts w:hint="eastAsia" w:hAnsi="宋体" w:cs="宋体"/>
          <w:color w:val="auto"/>
          <w:sz w:val="24"/>
          <w:szCs w:val="22"/>
          <w:highlight w:val="none"/>
        </w:rPr>
        <w:t>者更正，按照以下原则处理：</w:t>
      </w:r>
    </w:p>
    <w:p w14:paraId="7E71E8C7">
      <w:pPr>
        <w:pageBreakBefore w:val="0"/>
        <w:widowControl w:val="0"/>
        <w:shd w:val="clear"/>
        <w:kinsoku/>
        <w:wordWrap/>
        <w:overflowPunct/>
        <w:topLinePunct w:val="0"/>
        <w:bidi w:val="0"/>
        <w:snapToGrid/>
        <w:spacing w:line="460" w:lineRule="exact"/>
        <w:ind w:firstLine="480" w:firstLineChars="200"/>
        <w:textAlignment w:val="auto"/>
        <w:rPr>
          <w:rFonts w:hAnsi="宋体" w:cs="宋体"/>
          <w:color w:val="auto"/>
          <w:sz w:val="24"/>
          <w:highlight w:val="none"/>
        </w:rPr>
      </w:pPr>
      <w:r>
        <w:rPr>
          <w:rFonts w:hint="eastAsia" w:hAnsi="宋体" w:cs="宋体"/>
          <w:color w:val="auto"/>
          <w:sz w:val="24"/>
          <w:highlight w:val="none"/>
        </w:rPr>
        <w:t>（一）投标文件中开标一览表（报价表）内容与投标文件中相应内容不一致的，以开标一览表（报价表）为准；</w:t>
      </w:r>
    </w:p>
    <w:p w14:paraId="44B2863A">
      <w:pPr>
        <w:pageBreakBefore w:val="0"/>
        <w:widowControl w:val="0"/>
        <w:shd w:val="clear"/>
        <w:kinsoku/>
        <w:wordWrap/>
        <w:overflowPunct/>
        <w:topLinePunct w:val="0"/>
        <w:bidi w:val="0"/>
        <w:snapToGrid/>
        <w:spacing w:line="460" w:lineRule="exact"/>
        <w:ind w:firstLine="480" w:firstLineChars="200"/>
        <w:textAlignment w:val="auto"/>
        <w:rPr>
          <w:rFonts w:hAnsi="宋体" w:cs="宋体"/>
          <w:color w:val="auto"/>
          <w:sz w:val="24"/>
          <w:highlight w:val="none"/>
        </w:rPr>
      </w:pPr>
      <w:r>
        <w:rPr>
          <w:rFonts w:hint="eastAsia" w:hAnsi="宋体" w:cs="宋体"/>
          <w:color w:val="auto"/>
          <w:sz w:val="24"/>
          <w:highlight w:val="none"/>
        </w:rPr>
        <w:t>（二）大写金额和小写金额不一致的，以大写金额为准；</w:t>
      </w:r>
    </w:p>
    <w:p w14:paraId="1F71E1B7">
      <w:pPr>
        <w:pageBreakBefore w:val="0"/>
        <w:widowControl w:val="0"/>
        <w:shd w:val="clear"/>
        <w:kinsoku/>
        <w:wordWrap/>
        <w:overflowPunct/>
        <w:topLinePunct w:val="0"/>
        <w:bidi w:val="0"/>
        <w:snapToGrid/>
        <w:spacing w:line="460" w:lineRule="exact"/>
        <w:ind w:firstLine="480" w:firstLineChars="200"/>
        <w:textAlignment w:val="auto"/>
        <w:rPr>
          <w:rFonts w:hAnsi="宋体" w:cs="宋体"/>
          <w:color w:val="auto"/>
          <w:sz w:val="24"/>
          <w:highlight w:val="none"/>
        </w:rPr>
      </w:pPr>
      <w:r>
        <w:rPr>
          <w:rFonts w:hint="eastAsia" w:hAnsi="宋体" w:cs="宋体"/>
          <w:color w:val="auto"/>
          <w:sz w:val="24"/>
          <w:highlight w:val="none"/>
        </w:rPr>
        <w:t>（三）单价金额小数点或者百分比有明显错位的，以开标一览表的总价为准，并修改单价；</w:t>
      </w:r>
    </w:p>
    <w:p w14:paraId="643B2376">
      <w:pPr>
        <w:pageBreakBefore w:val="0"/>
        <w:widowControl w:val="0"/>
        <w:shd w:val="clear"/>
        <w:kinsoku/>
        <w:wordWrap/>
        <w:overflowPunct/>
        <w:topLinePunct w:val="0"/>
        <w:bidi w:val="0"/>
        <w:snapToGrid/>
        <w:spacing w:line="460" w:lineRule="exact"/>
        <w:ind w:firstLine="480" w:firstLineChars="200"/>
        <w:textAlignment w:val="auto"/>
        <w:rPr>
          <w:rFonts w:hAnsi="宋体" w:cs="宋体"/>
          <w:color w:val="auto"/>
          <w:sz w:val="24"/>
          <w:highlight w:val="none"/>
        </w:rPr>
      </w:pPr>
      <w:r>
        <w:rPr>
          <w:rFonts w:hint="eastAsia" w:hAnsi="宋体" w:cs="宋体"/>
          <w:color w:val="auto"/>
          <w:sz w:val="24"/>
          <w:highlight w:val="none"/>
        </w:rPr>
        <w:t>（四）总价金额与按单价汇总金额不一致的，以单价金额计算结果为准。</w:t>
      </w:r>
    </w:p>
    <w:p w14:paraId="5FEC9B66">
      <w:pPr>
        <w:pageBreakBefore w:val="0"/>
        <w:widowControl w:val="0"/>
        <w:shd w:val="clear"/>
        <w:kinsoku/>
        <w:wordWrap/>
        <w:overflowPunct/>
        <w:topLinePunct w:val="0"/>
        <w:bidi w:val="0"/>
        <w:snapToGrid/>
        <w:spacing w:line="460" w:lineRule="exact"/>
        <w:ind w:firstLine="480" w:firstLineChars="200"/>
        <w:textAlignment w:val="auto"/>
        <w:rPr>
          <w:rFonts w:hAnsi="宋体" w:cs="宋体"/>
          <w:color w:val="auto"/>
          <w:sz w:val="24"/>
          <w:highlight w:val="none"/>
        </w:rPr>
      </w:pPr>
      <w:r>
        <w:rPr>
          <w:rFonts w:hint="eastAsia" w:hAnsi="宋体" w:cs="宋体"/>
          <w:color w:val="auto"/>
          <w:sz w:val="24"/>
          <w:highlight w:val="none"/>
        </w:rPr>
        <w:t>同时出现两种以上不一致的，按照前款规定的顺序修正。修正后的报价按照《政府采购货物和服务招标投标管理办法》第五十一条第二款“投标人的澄清、说明或者补正应当采用书面形式，并加盖公章，或者由法定代表人或其授权的代表签字。投标人的澄清、说明或者补正不得超出投标文件的范围或者改变投标文件的实质性内容。”的规定经投标人确认后产生约束力，投标人不确认的，其投标无效。</w:t>
      </w:r>
    </w:p>
    <w:p w14:paraId="0EF086E6">
      <w:pPr>
        <w:pageBreakBefore w:val="0"/>
        <w:widowControl w:val="0"/>
        <w:shd w:val="clear"/>
        <w:kinsoku/>
        <w:wordWrap/>
        <w:overflowPunct/>
        <w:topLinePunct w:val="0"/>
        <w:bidi w:val="0"/>
        <w:snapToGrid/>
        <w:spacing w:line="460" w:lineRule="exact"/>
        <w:ind w:firstLine="480" w:firstLineChars="200"/>
        <w:textAlignment w:val="auto"/>
        <w:rPr>
          <w:rFonts w:hAnsi="宋体" w:cs="宋体"/>
          <w:color w:val="auto"/>
          <w:sz w:val="24"/>
          <w:highlight w:val="none"/>
        </w:rPr>
      </w:pPr>
      <w:r>
        <w:rPr>
          <w:rFonts w:hint="eastAsia" w:hAnsi="宋体" w:cs="宋体"/>
          <w:color w:val="auto"/>
          <w:sz w:val="24"/>
          <w:highlight w:val="none"/>
        </w:rPr>
        <w:t>出现本条第（4）项规定情形，单价汇总金额比总价金额高，且超过政府采购预算或者本项目最高限价的，投标人投标文件应作为无效投标处理；单价汇总金额比总价金额高，但未超过政府采购预算或者本项目最高限价的，应以单价汇总金额作为价格评分依据。</w:t>
      </w:r>
    </w:p>
    <w:p w14:paraId="380B54BD">
      <w:pPr>
        <w:pageBreakBefore w:val="0"/>
        <w:widowControl w:val="0"/>
        <w:shd w:val="clear"/>
        <w:kinsoku/>
        <w:wordWrap/>
        <w:overflowPunct/>
        <w:topLinePunct w:val="0"/>
        <w:bidi w:val="0"/>
        <w:snapToGrid/>
        <w:spacing w:line="460" w:lineRule="exact"/>
        <w:ind w:firstLine="482" w:firstLineChars="200"/>
        <w:textAlignment w:val="auto"/>
        <w:rPr>
          <w:rFonts w:hAnsi="宋体" w:cs="宋体"/>
          <w:b/>
          <w:color w:val="auto"/>
          <w:sz w:val="24"/>
          <w:highlight w:val="none"/>
        </w:rPr>
      </w:pPr>
      <w:r>
        <w:rPr>
          <w:rFonts w:hint="eastAsia" w:hAnsi="宋体" w:cs="宋体"/>
          <w:b/>
          <w:color w:val="auto"/>
          <w:sz w:val="24"/>
          <w:highlight w:val="none"/>
        </w:rPr>
        <w:t>注：评标委员会当积极履行澄清、说明或者更正的职责，不得滥用权力。投标人的投标文件可以要求澄清、说明或者更正的，不得未经澄清、说明或者更正而直接作无效投标处理。</w:t>
      </w:r>
    </w:p>
    <w:p w14:paraId="6EAB1107">
      <w:pPr>
        <w:pStyle w:val="52"/>
        <w:pageBreakBefore w:val="0"/>
        <w:widowControl w:val="0"/>
        <w:shd w:val="clear"/>
        <w:kinsoku/>
        <w:wordWrap/>
        <w:overflowPunct/>
        <w:topLinePunct w:val="0"/>
        <w:bidi w:val="0"/>
        <w:snapToGrid/>
        <w:spacing w:line="460" w:lineRule="exact"/>
        <w:ind w:firstLine="480" w:firstLineChars="200"/>
        <w:jc w:val="both"/>
        <w:textAlignment w:val="auto"/>
        <w:rPr>
          <w:color w:val="auto"/>
          <w:highlight w:val="none"/>
        </w:rPr>
      </w:pPr>
      <w:r>
        <w:rPr>
          <w:rFonts w:hint="eastAsia"/>
          <w:color w:val="auto"/>
          <w:highlight w:val="none"/>
        </w:rPr>
        <w:t>3.13低于成本价投标处理。</w:t>
      </w:r>
    </w:p>
    <w:p w14:paraId="519983CE">
      <w:pPr>
        <w:pStyle w:val="52"/>
        <w:pageBreakBefore w:val="0"/>
        <w:widowControl w:val="0"/>
        <w:shd w:val="clear"/>
        <w:kinsoku/>
        <w:wordWrap/>
        <w:overflowPunct/>
        <w:topLinePunct w:val="0"/>
        <w:bidi w:val="0"/>
        <w:snapToGrid/>
        <w:spacing w:line="460" w:lineRule="exact"/>
        <w:ind w:firstLine="480" w:firstLineChars="200"/>
        <w:jc w:val="both"/>
        <w:textAlignment w:val="auto"/>
        <w:rPr>
          <w:color w:val="auto"/>
          <w:highlight w:val="none"/>
        </w:rPr>
      </w:pPr>
      <w:r>
        <w:rPr>
          <w:rFonts w:hint="eastAsia"/>
          <w:color w:val="auto"/>
          <w:highlight w:val="none"/>
        </w:rPr>
        <w:t>详见投标人须知前附表。</w:t>
      </w:r>
    </w:p>
    <w:p w14:paraId="6AC7E10F">
      <w:pPr>
        <w:pStyle w:val="4"/>
        <w:pageBreakBefore w:val="0"/>
        <w:widowControl w:val="0"/>
        <w:shd w:val="clear"/>
        <w:kinsoku/>
        <w:wordWrap/>
        <w:overflowPunct/>
        <w:topLinePunct w:val="0"/>
        <w:bidi w:val="0"/>
        <w:snapToGrid/>
        <w:spacing w:before="120" w:after="120" w:line="460" w:lineRule="exact"/>
        <w:ind w:firstLine="482" w:firstLineChars="200"/>
        <w:jc w:val="left"/>
        <w:textAlignment w:val="auto"/>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4. 评标细则及标准（以综合评分法为例）</w:t>
      </w:r>
      <w:bookmarkEnd w:id="144"/>
    </w:p>
    <w:p w14:paraId="1D1F5D3F">
      <w:pPr>
        <w:pageBreakBefore w:val="0"/>
        <w:widowControl w:val="0"/>
        <w:shd w:val="clear"/>
        <w:kinsoku/>
        <w:wordWrap/>
        <w:overflowPunct/>
        <w:topLinePunct w:val="0"/>
        <w:bidi w:val="0"/>
        <w:snapToGrid/>
        <w:spacing w:line="460" w:lineRule="exact"/>
        <w:ind w:firstLine="480" w:firstLineChars="200"/>
        <w:textAlignment w:val="auto"/>
        <w:rPr>
          <w:rFonts w:hAnsi="宋体" w:cs="宋体"/>
          <w:color w:val="auto"/>
          <w:sz w:val="24"/>
          <w:highlight w:val="none"/>
        </w:rPr>
      </w:pPr>
      <w:r>
        <w:rPr>
          <w:rFonts w:hint="eastAsia" w:hAnsi="宋体" w:cs="宋体"/>
          <w:color w:val="auto"/>
          <w:sz w:val="24"/>
          <w:highlight w:val="none"/>
        </w:rPr>
        <w:t>4.1本次综合评分的因素：</w:t>
      </w:r>
      <w:r>
        <w:rPr>
          <w:rFonts w:hint="eastAsia" w:hAnsi="宋体" w:cs="宋体"/>
          <w:color w:val="auto"/>
          <w:sz w:val="24"/>
          <w:szCs w:val="24"/>
          <w:highlight w:val="none"/>
        </w:rPr>
        <w:t>详见综合评分明细表</w:t>
      </w:r>
      <w:r>
        <w:rPr>
          <w:rFonts w:hint="eastAsia" w:hAnsi="宋体" w:cs="宋体"/>
          <w:color w:val="auto"/>
          <w:sz w:val="24"/>
          <w:highlight w:val="none"/>
        </w:rPr>
        <w:t>。</w:t>
      </w:r>
    </w:p>
    <w:p w14:paraId="4856E1B3">
      <w:pPr>
        <w:pStyle w:val="52"/>
        <w:pageBreakBefore w:val="0"/>
        <w:widowControl w:val="0"/>
        <w:shd w:val="clear"/>
        <w:kinsoku/>
        <w:wordWrap/>
        <w:overflowPunct/>
        <w:topLinePunct w:val="0"/>
        <w:bidi w:val="0"/>
        <w:snapToGrid/>
        <w:spacing w:line="460" w:lineRule="exact"/>
        <w:ind w:firstLine="480" w:firstLineChars="200"/>
        <w:jc w:val="both"/>
        <w:textAlignment w:val="auto"/>
        <w:rPr>
          <w:color w:val="auto"/>
          <w:highlight w:val="none"/>
        </w:rPr>
      </w:pPr>
      <w:r>
        <w:rPr>
          <w:rFonts w:hint="eastAsia"/>
          <w:color w:val="auto"/>
          <w:highlight w:val="none"/>
        </w:rPr>
        <w:t>4.2 评标委员会成员应当根据自身专业情况对每个有效投标投标人的投标文件进行独立评分，加权汇总每项评分因素的得分，得出每个有效投标投标人的总分。技术类评分因素由技术方面评标委员会成员独立评分。经济类评分因素由经济方面评标委员会成员独立评分。政策合同类的评分因素由法律方面评标委员会成员独立评分。采购人代表原则上对技术类评分因素独立评分。价格和其他不能明确区分的评分因素由评标委员会成员共同评分。</w:t>
      </w:r>
    </w:p>
    <w:p w14:paraId="59AF0A4A">
      <w:pPr>
        <w:pStyle w:val="52"/>
        <w:pageBreakBefore w:val="0"/>
        <w:widowControl w:val="0"/>
        <w:shd w:val="clear"/>
        <w:kinsoku/>
        <w:wordWrap/>
        <w:overflowPunct/>
        <w:topLinePunct w:val="0"/>
        <w:bidi w:val="0"/>
        <w:snapToGrid/>
        <w:spacing w:line="460" w:lineRule="exact"/>
        <w:ind w:firstLine="480" w:firstLineChars="200"/>
        <w:jc w:val="both"/>
        <w:textAlignment w:val="auto"/>
        <w:rPr>
          <w:color w:val="auto"/>
          <w:highlight w:val="none"/>
        </w:rPr>
      </w:pPr>
      <w:r>
        <w:rPr>
          <w:rFonts w:hint="eastAsia"/>
          <w:color w:val="auto"/>
          <w:highlight w:val="none"/>
        </w:rPr>
        <w:t>4.3综合评分明细表</w:t>
      </w:r>
    </w:p>
    <w:p w14:paraId="0270EF31">
      <w:pPr>
        <w:pStyle w:val="52"/>
        <w:pageBreakBefore w:val="0"/>
        <w:widowControl w:val="0"/>
        <w:shd w:val="clear"/>
        <w:kinsoku/>
        <w:wordWrap/>
        <w:overflowPunct/>
        <w:topLinePunct w:val="0"/>
        <w:bidi w:val="0"/>
        <w:snapToGrid/>
        <w:spacing w:line="460" w:lineRule="exact"/>
        <w:ind w:firstLine="480" w:firstLineChars="200"/>
        <w:jc w:val="both"/>
        <w:textAlignment w:val="auto"/>
        <w:rPr>
          <w:color w:val="auto"/>
          <w:highlight w:val="none"/>
        </w:rPr>
      </w:pPr>
      <w:r>
        <w:rPr>
          <w:rFonts w:hint="eastAsia"/>
          <w:color w:val="auto"/>
          <w:highlight w:val="none"/>
        </w:rPr>
        <w:t>4.3.1综合评分明细表的制定以科学合理、降低评委会自由裁量权为原则。</w:t>
      </w:r>
    </w:p>
    <w:p w14:paraId="783A8DC5">
      <w:pPr>
        <w:pStyle w:val="52"/>
        <w:pageBreakBefore w:val="0"/>
        <w:widowControl w:val="0"/>
        <w:shd w:val="clear"/>
        <w:kinsoku/>
        <w:wordWrap/>
        <w:overflowPunct/>
        <w:topLinePunct w:val="0"/>
        <w:bidi w:val="0"/>
        <w:snapToGrid/>
        <w:spacing w:line="460" w:lineRule="exact"/>
        <w:ind w:firstLine="480" w:firstLineChars="200"/>
        <w:jc w:val="both"/>
        <w:textAlignment w:val="auto"/>
        <w:rPr>
          <w:color w:val="auto"/>
          <w:highlight w:val="none"/>
        </w:rPr>
      </w:pPr>
      <w:r>
        <w:rPr>
          <w:rFonts w:hint="eastAsia"/>
          <w:color w:val="auto"/>
          <w:highlight w:val="none"/>
        </w:rPr>
        <w:t>4.3.2综合评分明细表</w:t>
      </w:r>
    </w:p>
    <w:tbl>
      <w:tblPr>
        <w:tblStyle w:val="29"/>
        <w:tblW w:w="981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1"/>
        <w:gridCol w:w="1350"/>
        <w:gridCol w:w="930"/>
        <w:gridCol w:w="5543"/>
        <w:gridCol w:w="1177"/>
      </w:tblGrid>
      <w:tr w14:paraId="1364F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02" w:hRule="atLeast"/>
          <w:jc w:val="center"/>
        </w:trPr>
        <w:tc>
          <w:tcPr>
            <w:tcW w:w="811" w:type="dxa"/>
            <w:tcBorders>
              <w:top w:val="single" w:color="auto" w:sz="4" w:space="0"/>
              <w:left w:val="single" w:color="auto" w:sz="4" w:space="0"/>
              <w:bottom w:val="single" w:color="auto" w:sz="4" w:space="0"/>
              <w:right w:val="single" w:color="auto" w:sz="4" w:space="0"/>
            </w:tcBorders>
            <w:vAlign w:val="center"/>
          </w:tcPr>
          <w:p w14:paraId="38A56E68">
            <w:pPr>
              <w:keepNext w:val="0"/>
              <w:keepLines w:val="0"/>
              <w:pageBreakBefore w:val="0"/>
              <w:shd w:val="clear"/>
              <w:kinsoku/>
              <w:wordWrap/>
              <w:overflowPunct/>
              <w:topLinePunct w:val="0"/>
              <w:autoSpaceDE/>
              <w:autoSpaceDN/>
              <w:bidi w:val="0"/>
              <w:adjustRightInd/>
              <w:snapToGrid/>
              <w:spacing w:line="440" w:lineRule="exact"/>
              <w:ind w:firstLine="28"/>
              <w:jc w:val="center"/>
              <w:textAlignment w:val="auto"/>
              <w:rPr>
                <w:rFonts w:hAnsi="宋体" w:cs="宋体"/>
                <w:b/>
                <w:bCs/>
                <w:color w:val="auto"/>
                <w:sz w:val="24"/>
                <w:highlight w:val="none"/>
              </w:rPr>
            </w:pPr>
            <w:bookmarkStart w:id="146" w:name="_Toc217446060"/>
            <w:r>
              <w:rPr>
                <w:rFonts w:hint="eastAsia" w:hAnsi="宋体" w:cs="宋体"/>
                <w:b/>
                <w:bCs/>
                <w:color w:val="auto"/>
                <w:sz w:val="24"/>
                <w:highlight w:val="none"/>
              </w:rPr>
              <w:t>序号</w:t>
            </w:r>
          </w:p>
        </w:tc>
        <w:tc>
          <w:tcPr>
            <w:tcW w:w="1350" w:type="dxa"/>
            <w:tcBorders>
              <w:top w:val="single" w:color="auto" w:sz="4" w:space="0"/>
              <w:left w:val="single" w:color="auto" w:sz="4" w:space="0"/>
              <w:bottom w:val="single" w:color="auto" w:sz="4" w:space="0"/>
              <w:right w:val="single" w:color="auto" w:sz="4" w:space="0"/>
            </w:tcBorders>
            <w:vAlign w:val="center"/>
          </w:tcPr>
          <w:p w14:paraId="0CA87532">
            <w:pPr>
              <w:keepNext w:val="0"/>
              <w:keepLines w:val="0"/>
              <w:pageBreakBefore w:val="0"/>
              <w:shd w:val="clear"/>
              <w:kinsoku/>
              <w:wordWrap/>
              <w:overflowPunct/>
              <w:topLinePunct w:val="0"/>
              <w:autoSpaceDE/>
              <w:autoSpaceDN/>
              <w:bidi w:val="0"/>
              <w:adjustRightInd/>
              <w:snapToGrid/>
              <w:spacing w:line="440" w:lineRule="exact"/>
              <w:ind w:firstLine="28"/>
              <w:jc w:val="center"/>
              <w:textAlignment w:val="auto"/>
              <w:rPr>
                <w:rFonts w:hAnsi="宋体" w:cs="宋体"/>
                <w:b/>
                <w:bCs/>
                <w:color w:val="auto"/>
                <w:sz w:val="24"/>
                <w:highlight w:val="none"/>
              </w:rPr>
            </w:pPr>
            <w:r>
              <w:rPr>
                <w:rFonts w:hint="eastAsia" w:hAnsi="宋体" w:cs="宋体"/>
                <w:b/>
                <w:bCs/>
                <w:color w:val="auto"/>
                <w:sz w:val="24"/>
                <w:highlight w:val="none"/>
              </w:rPr>
              <w:t>评分因素</w:t>
            </w:r>
          </w:p>
          <w:p w14:paraId="46FFEFB2">
            <w:pPr>
              <w:keepNext w:val="0"/>
              <w:keepLines w:val="0"/>
              <w:pageBreakBefore w:val="0"/>
              <w:shd w:val="clear"/>
              <w:kinsoku/>
              <w:wordWrap/>
              <w:overflowPunct/>
              <w:topLinePunct w:val="0"/>
              <w:autoSpaceDE/>
              <w:autoSpaceDN/>
              <w:bidi w:val="0"/>
              <w:adjustRightInd/>
              <w:snapToGrid/>
              <w:spacing w:line="440" w:lineRule="exact"/>
              <w:ind w:firstLine="28"/>
              <w:jc w:val="center"/>
              <w:textAlignment w:val="auto"/>
              <w:rPr>
                <w:rFonts w:hAnsi="宋体" w:cs="宋体"/>
                <w:b/>
                <w:bCs/>
                <w:color w:val="auto"/>
                <w:sz w:val="24"/>
                <w:highlight w:val="none"/>
              </w:rPr>
            </w:pPr>
            <w:r>
              <w:rPr>
                <w:rFonts w:hint="eastAsia" w:hAnsi="宋体" w:cs="宋体"/>
                <w:b/>
                <w:bCs/>
                <w:color w:val="auto"/>
                <w:sz w:val="24"/>
                <w:highlight w:val="none"/>
              </w:rPr>
              <w:t>及权重</w:t>
            </w:r>
          </w:p>
        </w:tc>
        <w:tc>
          <w:tcPr>
            <w:tcW w:w="930" w:type="dxa"/>
            <w:tcBorders>
              <w:top w:val="single" w:color="auto" w:sz="4" w:space="0"/>
              <w:left w:val="single" w:color="auto" w:sz="4" w:space="0"/>
              <w:bottom w:val="single" w:color="auto" w:sz="4" w:space="0"/>
              <w:right w:val="single" w:color="auto" w:sz="4" w:space="0"/>
            </w:tcBorders>
            <w:vAlign w:val="center"/>
          </w:tcPr>
          <w:p w14:paraId="67700107">
            <w:pPr>
              <w:keepNext w:val="0"/>
              <w:keepLines w:val="0"/>
              <w:pageBreakBefore w:val="0"/>
              <w:shd w:val="clear"/>
              <w:kinsoku/>
              <w:wordWrap/>
              <w:overflowPunct/>
              <w:topLinePunct w:val="0"/>
              <w:autoSpaceDE/>
              <w:autoSpaceDN/>
              <w:bidi w:val="0"/>
              <w:adjustRightInd/>
              <w:snapToGrid/>
              <w:spacing w:line="440" w:lineRule="exact"/>
              <w:ind w:firstLine="28"/>
              <w:jc w:val="center"/>
              <w:textAlignment w:val="auto"/>
              <w:rPr>
                <w:rFonts w:hAnsi="宋体" w:cs="宋体"/>
                <w:b/>
                <w:bCs/>
                <w:color w:val="auto"/>
                <w:sz w:val="24"/>
                <w:highlight w:val="none"/>
              </w:rPr>
            </w:pPr>
            <w:r>
              <w:rPr>
                <w:rFonts w:hint="eastAsia" w:hAnsi="宋体" w:cs="宋体"/>
                <w:b/>
                <w:bCs/>
                <w:color w:val="auto"/>
                <w:sz w:val="24"/>
                <w:highlight w:val="none"/>
              </w:rPr>
              <w:t>分值</w:t>
            </w:r>
          </w:p>
        </w:tc>
        <w:tc>
          <w:tcPr>
            <w:tcW w:w="5543" w:type="dxa"/>
            <w:tcBorders>
              <w:top w:val="single" w:color="auto" w:sz="4" w:space="0"/>
              <w:left w:val="single" w:color="auto" w:sz="4" w:space="0"/>
              <w:bottom w:val="single" w:color="auto" w:sz="4" w:space="0"/>
              <w:right w:val="single" w:color="auto" w:sz="4" w:space="0"/>
            </w:tcBorders>
            <w:vAlign w:val="center"/>
          </w:tcPr>
          <w:p w14:paraId="0FDF3BA9">
            <w:pPr>
              <w:keepNext w:val="0"/>
              <w:keepLines w:val="0"/>
              <w:pageBreakBefore w:val="0"/>
              <w:shd w:val="clear"/>
              <w:kinsoku/>
              <w:wordWrap/>
              <w:overflowPunct/>
              <w:topLinePunct w:val="0"/>
              <w:autoSpaceDE/>
              <w:autoSpaceDN/>
              <w:bidi w:val="0"/>
              <w:adjustRightInd/>
              <w:snapToGrid/>
              <w:spacing w:line="440" w:lineRule="exact"/>
              <w:ind w:firstLine="28"/>
              <w:jc w:val="center"/>
              <w:textAlignment w:val="auto"/>
              <w:rPr>
                <w:rFonts w:hAnsi="宋体" w:cs="宋体"/>
                <w:b/>
                <w:bCs/>
                <w:color w:val="auto"/>
                <w:sz w:val="24"/>
                <w:highlight w:val="none"/>
              </w:rPr>
            </w:pPr>
            <w:r>
              <w:rPr>
                <w:rFonts w:hint="eastAsia" w:hAnsi="宋体" w:cs="宋体"/>
                <w:b/>
                <w:bCs/>
                <w:color w:val="auto"/>
                <w:sz w:val="24"/>
                <w:highlight w:val="none"/>
              </w:rPr>
              <w:t>评分标准</w:t>
            </w:r>
          </w:p>
        </w:tc>
        <w:tc>
          <w:tcPr>
            <w:tcW w:w="1177" w:type="dxa"/>
            <w:tcBorders>
              <w:top w:val="single" w:color="auto" w:sz="4" w:space="0"/>
              <w:left w:val="single" w:color="auto" w:sz="4" w:space="0"/>
              <w:bottom w:val="single" w:color="auto" w:sz="4" w:space="0"/>
              <w:right w:val="single" w:color="auto" w:sz="4" w:space="0"/>
            </w:tcBorders>
            <w:vAlign w:val="center"/>
          </w:tcPr>
          <w:p w14:paraId="30A121F8">
            <w:pPr>
              <w:keepNext w:val="0"/>
              <w:keepLines w:val="0"/>
              <w:pageBreakBefore w:val="0"/>
              <w:shd w:val="clear"/>
              <w:kinsoku/>
              <w:wordWrap/>
              <w:overflowPunct/>
              <w:topLinePunct w:val="0"/>
              <w:autoSpaceDE/>
              <w:autoSpaceDN/>
              <w:bidi w:val="0"/>
              <w:adjustRightInd/>
              <w:snapToGrid/>
              <w:spacing w:line="440" w:lineRule="exact"/>
              <w:ind w:firstLine="28"/>
              <w:jc w:val="center"/>
              <w:textAlignment w:val="auto"/>
              <w:rPr>
                <w:rFonts w:hAnsi="宋体" w:cs="宋体"/>
                <w:b/>
                <w:bCs/>
                <w:color w:val="auto"/>
                <w:sz w:val="24"/>
                <w:highlight w:val="none"/>
              </w:rPr>
            </w:pPr>
            <w:r>
              <w:rPr>
                <w:rFonts w:hint="eastAsia" w:hAnsi="宋体" w:cs="宋体"/>
                <w:b/>
                <w:bCs/>
                <w:color w:val="auto"/>
                <w:sz w:val="24"/>
                <w:highlight w:val="none"/>
              </w:rPr>
              <w:t>说明</w:t>
            </w:r>
          </w:p>
        </w:tc>
      </w:tr>
      <w:tr w14:paraId="413C25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02" w:hRule="atLeast"/>
          <w:jc w:val="center"/>
        </w:trPr>
        <w:tc>
          <w:tcPr>
            <w:tcW w:w="811" w:type="dxa"/>
            <w:tcBorders>
              <w:top w:val="single" w:color="auto" w:sz="4" w:space="0"/>
              <w:left w:val="single" w:color="auto" w:sz="4" w:space="0"/>
              <w:bottom w:val="single" w:color="auto" w:sz="4" w:space="0"/>
              <w:right w:val="single" w:color="auto" w:sz="4" w:space="0"/>
            </w:tcBorders>
            <w:vAlign w:val="center"/>
          </w:tcPr>
          <w:p w14:paraId="1EC45CD9">
            <w:pPr>
              <w:keepNext w:val="0"/>
              <w:keepLines w:val="0"/>
              <w:pageBreakBefore w:val="0"/>
              <w:shd w:val="clear"/>
              <w:kinsoku/>
              <w:wordWrap/>
              <w:overflowPunct/>
              <w:topLinePunct w:val="0"/>
              <w:autoSpaceDE/>
              <w:autoSpaceDN/>
              <w:bidi w:val="0"/>
              <w:adjustRightInd/>
              <w:snapToGrid/>
              <w:spacing w:line="440" w:lineRule="exact"/>
              <w:jc w:val="center"/>
              <w:textAlignment w:val="auto"/>
              <w:rPr>
                <w:rFonts w:hAnsi="宋体" w:cs="宋体"/>
                <w:color w:val="auto"/>
                <w:sz w:val="24"/>
                <w:highlight w:val="none"/>
              </w:rPr>
            </w:pPr>
            <w:r>
              <w:rPr>
                <w:rFonts w:hint="eastAsia" w:hAnsi="宋体" w:cs="宋体"/>
                <w:color w:val="auto"/>
                <w:sz w:val="24"/>
                <w:highlight w:val="none"/>
              </w:rPr>
              <w:t>1</w:t>
            </w:r>
          </w:p>
        </w:tc>
        <w:tc>
          <w:tcPr>
            <w:tcW w:w="1350" w:type="dxa"/>
            <w:tcBorders>
              <w:top w:val="single" w:color="auto" w:sz="4" w:space="0"/>
              <w:left w:val="single" w:color="auto" w:sz="4" w:space="0"/>
              <w:bottom w:val="single" w:color="auto" w:sz="4" w:space="0"/>
              <w:right w:val="single" w:color="auto" w:sz="4" w:space="0"/>
            </w:tcBorders>
            <w:vAlign w:val="center"/>
          </w:tcPr>
          <w:p w14:paraId="4879BAAD">
            <w:pPr>
              <w:keepNext w:val="0"/>
              <w:keepLines w:val="0"/>
              <w:pageBreakBefore w:val="0"/>
              <w:widowControl/>
              <w:shd w:val="clear"/>
              <w:kinsoku/>
              <w:wordWrap/>
              <w:overflowPunct/>
              <w:topLinePunct w:val="0"/>
              <w:autoSpaceDE/>
              <w:autoSpaceDN/>
              <w:bidi w:val="0"/>
              <w:adjustRightInd/>
              <w:snapToGrid/>
              <w:spacing w:line="440" w:lineRule="exact"/>
              <w:jc w:val="center"/>
              <w:textAlignment w:val="auto"/>
              <w:rPr>
                <w:rFonts w:hAnsi="宋体" w:cs="宋体"/>
                <w:color w:val="auto"/>
                <w:sz w:val="24"/>
                <w:highlight w:val="none"/>
              </w:rPr>
            </w:pPr>
            <w:r>
              <w:rPr>
                <w:rFonts w:hint="eastAsia" w:hAnsi="宋体" w:cs="宋体"/>
                <w:color w:val="auto"/>
                <w:sz w:val="24"/>
                <w:highlight w:val="none"/>
              </w:rPr>
              <w:t>报价30%</w:t>
            </w:r>
          </w:p>
        </w:tc>
        <w:tc>
          <w:tcPr>
            <w:tcW w:w="930" w:type="dxa"/>
            <w:tcBorders>
              <w:top w:val="single" w:color="auto" w:sz="4" w:space="0"/>
              <w:left w:val="single" w:color="auto" w:sz="4" w:space="0"/>
              <w:bottom w:val="single" w:color="auto" w:sz="4" w:space="0"/>
              <w:right w:val="single" w:color="auto" w:sz="4" w:space="0"/>
            </w:tcBorders>
            <w:vAlign w:val="center"/>
          </w:tcPr>
          <w:p w14:paraId="0B658884">
            <w:pPr>
              <w:keepNext w:val="0"/>
              <w:keepLines w:val="0"/>
              <w:pageBreakBefore w:val="0"/>
              <w:widowControl/>
              <w:shd w:val="clear"/>
              <w:kinsoku/>
              <w:wordWrap/>
              <w:overflowPunct/>
              <w:topLinePunct w:val="0"/>
              <w:autoSpaceDE/>
              <w:autoSpaceDN/>
              <w:bidi w:val="0"/>
              <w:adjustRightInd/>
              <w:snapToGrid/>
              <w:spacing w:line="440" w:lineRule="exact"/>
              <w:jc w:val="center"/>
              <w:textAlignment w:val="auto"/>
              <w:rPr>
                <w:rFonts w:hAnsi="宋体" w:cs="宋体"/>
                <w:color w:val="auto"/>
                <w:sz w:val="24"/>
                <w:highlight w:val="none"/>
              </w:rPr>
            </w:pPr>
            <w:r>
              <w:rPr>
                <w:rFonts w:hint="eastAsia" w:hAnsi="宋体" w:cs="宋体"/>
                <w:bCs/>
                <w:color w:val="auto"/>
                <w:sz w:val="24"/>
                <w:highlight w:val="none"/>
              </w:rPr>
              <w:t>30分</w:t>
            </w:r>
          </w:p>
        </w:tc>
        <w:tc>
          <w:tcPr>
            <w:tcW w:w="5543" w:type="dxa"/>
            <w:tcBorders>
              <w:top w:val="single" w:color="auto" w:sz="4" w:space="0"/>
              <w:left w:val="single" w:color="auto" w:sz="4" w:space="0"/>
              <w:bottom w:val="single" w:color="auto" w:sz="4" w:space="0"/>
              <w:right w:val="single" w:color="auto" w:sz="4" w:space="0"/>
            </w:tcBorders>
            <w:vAlign w:val="center"/>
          </w:tcPr>
          <w:p w14:paraId="721C2270">
            <w:pPr>
              <w:keepNext w:val="0"/>
              <w:keepLines w:val="0"/>
              <w:pageBreakBefore w:val="0"/>
              <w:shd w:val="clear"/>
              <w:kinsoku/>
              <w:wordWrap/>
              <w:overflowPunct/>
              <w:topLinePunct w:val="0"/>
              <w:autoSpaceDE/>
              <w:autoSpaceDN/>
              <w:bidi w:val="0"/>
              <w:adjustRightInd/>
              <w:snapToGrid/>
              <w:spacing w:line="440" w:lineRule="exact"/>
              <w:textAlignment w:val="auto"/>
              <w:rPr>
                <w:rFonts w:hAnsi="宋体" w:cs="宋体"/>
                <w:color w:val="auto"/>
                <w:sz w:val="24"/>
                <w:highlight w:val="none"/>
              </w:rPr>
            </w:pPr>
            <w:r>
              <w:rPr>
                <w:rFonts w:hint="eastAsia" w:ascii="宋体" w:hAnsi="宋体" w:eastAsia="宋体" w:cs="宋体"/>
                <w:color w:val="auto"/>
                <w:sz w:val="24"/>
                <w:highlight w:val="none"/>
              </w:rPr>
              <w:t>对经评标委员会评审，通过资格性和符合性审查，且投标报价最低的投标人的投标报价作为评标基准价</w:t>
            </w:r>
            <w:r>
              <w:rPr>
                <w:rFonts w:hint="eastAsia" w:hAnsi="宋体" w:cs="宋体"/>
                <w:color w:val="auto"/>
                <w:sz w:val="24"/>
                <w:highlight w:val="none"/>
                <w:lang w:eastAsia="zh-CN"/>
              </w:rPr>
              <w:t>。</w:t>
            </w:r>
            <w:r>
              <w:rPr>
                <w:rFonts w:hint="eastAsia" w:ascii="宋体" w:hAnsi="宋体" w:eastAsia="宋体" w:cs="宋体"/>
                <w:color w:val="auto"/>
                <w:sz w:val="24"/>
                <w:highlight w:val="none"/>
              </w:rPr>
              <w:t>投标报价得分=(评标基准价／投标报价)×30。</w:t>
            </w:r>
          </w:p>
        </w:tc>
        <w:tc>
          <w:tcPr>
            <w:tcW w:w="1177" w:type="dxa"/>
            <w:tcBorders>
              <w:top w:val="single" w:color="auto" w:sz="4" w:space="0"/>
              <w:left w:val="single" w:color="auto" w:sz="4" w:space="0"/>
              <w:bottom w:val="single" w:color="auto" w:sz="4" w:space="0"/>
              <w:right w:val="single" w:color="auto" w:sz="4" w:space="0"/>
            </w:tcBorders>
            <w:vAlign w:val="center"/>
          </w:tcPr>
          <w:p w14:paraId="0E18C1D9">
            <w:pPr>
              <w:keepNext w:val="0"/>
              <w:keepLines w:val="0"/>
              <w:pageBreakBefore w:val="0"/>
              <w:shd w:val="clear"/>
              <w:kinsoku/>
              <w:wordWrap/>
              <w:overflowPunct/>
              <w:topLinePunct w:val="0"/>
              <w:autoSpaceDE/>
              <w:autoSpaceDN/>
              <w:bidi w:val="0"/>
              <w:adjustRightInd/>
              <w:snapToGrid/>
              <w:spacing w:line="440" w:lineRule="exact"/>
              <w:jc w:val="center"/>
              <w:textAlignment w:val="auto"/>
              <w:rPr>
                <w:rFonts w:hAnsi="宋体" w:cs="宋体"/>
                <w:color w:val="auto"/>
                <w:sz w:val="24"/>
                <w:highlight w:val="none"/>
              </w:rPr>
            </w:pPr>
            <w:r>
              <w:rPr>
                <w:rFonts w:hint="eastAsia" w:hAnsi="宋体" w:cs="宋体"/>
                <w:bCs/>
                <w:color w:val="auto"/>
                <w:sz w:val="24"/>
                <w:highlight w:val="none"/>
              </w:rPr>
              <w:t>共同评审因素</w:t>
            </w:r>
          </w:p>
        </w:tc>
      </w:tr>
      <w:tr w14:paraId="66A0D4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530" w:hRule="atLeast"/>
          <w:jc w:val="center"/>
        </w:trPr>
        <w:tc>
          <w:tcPr>
            <w:tcW w:w="811" w:type="dxa"/>
            <w:tcBorders>
              <w:top w:val="single" w:color="auto" w:sz="4" w:space="0"/>
              <w:left w:val="single" w:color="auto" w:sz="4" w:space="0"/>
              <w:bottom w:val="single" w:color="auto" w:sz="4" w:space="0"/>
              <w:right w:val="single" w:color="auto" w:sz="4" w:space="0"/>
            </w:tcBorders>
            <w:vAlign w:val="center"/>
          </w:tcPr>
          <w:p w14:paraId="2FA0D703">
            <w:pPr>
              <w:keepNext w:val="0"/>
              <w:keepLines w:val="0"/>
              <w:pageBreakBefore w:val="0"/>
              <w:shd w:val="clear"/>
              <w:kinsoku/>
              <w:wordWrap/>
              <w:overflowPunct/>
              <w:topLinePunct w:val="0"/>
              <w:autoSpaceDE/>
              <w:autoSpaceDN/>
              <w:bidi w:val="0"/>
              <w:adjustRightInd/>
              <w:snapToGrid/>
              <w:spacing w:line="420" w:lineRule="exact"/>
              <w:jc w:val="center"/>
              <w:textAlignment w:val="auto"/>
              <w:rPr>
                <w:rFonts w:hAnsi="宋体" w:cs="宋体"/>
                <w:color w:val="auto"/>
                <w:sz w:val="24"/>
                <w:highlight w:val="none"/>
              </w:rPr>
            </w:pPr>
            <w:r>
              <w:rPr>
                <w:rFonts w:hint="eastAsia" w:hAnsi="宋体" w:cs="宋体"/>
                <w:color w:val="auto"/>
                <w:sz w:val="24"/>
                <w:highlight w:val="none"/>
              </w:rPr>
              <w:t>2</w:t>
            </w:r>
          </w:p>
        </w:tc>
        <w:tc>
          <w:tcPr>
            <w:tcW w:w="1350" w:type="dxa"/>
            <w:tcBorders>
              <w:top w:val="single" w:color="auto" w:sz="4" w:space="0"/>
              <w:left w:val="single" w:color="auto" w:sz="4" w:space="0"/>
              <w:bottom w:val="single" w:color="auto" w:sz="4" w:space="0"/>
              <w:right w:val="single" w:color="auto" w:sz="4" w:space="0"/>
            </w:tcBorders>
            <w:vAlign w:val="center"/>
          </w:tcPr>
          <w:p w14:paraId="0668357E">
            <w:pPr>
              <w:keepNext w:val="0"/>
              <w:keepLines w:val="0"/>
              <w:pageBreakBefore w:val="0"/>
              <w:shd w:val="clear"/>
              <w:kinsoku/>
              <w:wordWrap/>
              <w:overflowPunct/>
              <w:topLinePunct w:val="0"/>
              <w:autoSpaceDE/>
              <w:autoSpaceDN/>
              <w:bidi w:val="0"/>
              <w:adjustRightInd/>
              <w:snapToGrid/>
              <w:spacing w:line="420" w:lineRule="exact"/>
              <w:jc w:val="center"/>
              <w:textAlignment w:val="auto"/>
              <w:rPr>
                <w:rFonts w:hAnsi="宋体" w:cs="宋体"/>
                <w:color w:val="auto"/>
                <w:sz w:val="24"/>
                <w:highlight w:val="none"/>
              </w:rPr>
            </w:pPr>
            <w:r>
              <w:rPr>
                <w:rFonts w:hint="eastAsia" w:hAnsi="宋体" w:cs="宋体"/>
                <w:color w:val="auto"/>
                <w:sz w:val="24"/>
                <w:highlight w:val="none"/>
              </w:rPr>
              <w:t>技术要求响应4</w:t>
            </w:r>
            <w:r>
              <w:rPr>
                <w:rFonts w:hint="eastAsia" w:hAnsi="宋体" w:cs="宋体"/>
                <w:color w:val="auto"/>
                <w:sz w:val="24"/>
                <w:highlight w:val="none"/>
                <w:lang w:val="en-US" w:eastAsia="zh-CN"/>
              </w:rPr>
              <w:t>9</w:t>
            </w:r>
            <w:r>
              <w:rPr>
                <w:rFonts w:hint="eastAsia" w:hAnsi="宋体" w:cs="宋体"/>
                <w:color w:val="auto"/>
                <w:sz w:val="24"/>
                <w:highlight w:val="none"/>
              </w:rPr>
              <w:t>%</w:t>
            </w:r>
          </w:p>
        </w:tc>
        <w:tc>
          <w:tcPr>
            <w:tcW w:w="930" w:type="dxa"/>
            <w:tcBorders>
              <w:top w:val="single" w:color="auto" w:sz="4" w:space="0"/>
              <w:left w:val="single" w:color="auto" w:sz="4" w:space="0"/>
              <w:bottom w:val="single" w:color="auto" w:sz="4" w:space="0"/>
              <w:right w:val="single" w:color="auto" w:sz="4" w:space="0"/>
            </w:tcBorders>
            <w:vAlign w:val="center"/>
          </w:tcPr>
          <w:p w14:paraId="644F23DD">
            <w:pPr>
              <w:keepNext w:val="0"/>
              <w:keepLines w:val="0"/>
              <w:pageBreakBefore w:val="0"/>
              <w:shd w:val="clear"/>
              <w:kinsoku/>
              <w:wordWrap/>
              <w:overflowPunct/>
              <w:topLinePunct w:val="0"/>
              <w:autoSpaceDE/>
              <w:autoSpaceDN/>
              <w:bidi w:val="0"/>
              <w:adjustRightInd/>
              <w:snapToGrid/>
              <w:spacing w:line="420" w:lineRule="exact"/>
              <w:jc w:val="center"/>
              <w:textAlignment w:val="auto"/>
              <w:rPr>
                <w:rFonts w:hAnsi="宋体" w:cs="宋体"/>
                <w:color w:val="auto"/>
                <w:sz w:val="24"/>
                <w:highlight w:val="none"/>
              </w:rPr>
            </w:pPr>
            <w:r>
              <w:rPr>
                <w:rFonts w:hint="eastAsia" w:hAnsi="宋体" w:cs="宋体"/>
                <w:color w:val="auto"/>
                <w:sz w:val="24"/>
                <w:highlight w:val="none"/>
              </w:rPr>
              <w:t>4</w:t>
            </w:r>
            <w:r>
              <w:rPr>
                <w:rFonts w:hint="eastAsia" w:hAnsi="宋体" w:cs="宋体"/>
                <w:color w:val="auto"/>
                <w:sz w:val="24"/>
                <w:highlight w:val="none"/>
                <w:lang w:val="en-US" w:eastAsia="zh-CN"/>
              </w:rPr>
              <w:t>9</w:t>
            </w:r>
            <w:r>
              <w:rPr>
                <w:rFonts w:hint="eastAsia" w:hAnsi="宋体" w:cs="宋体"/>
                <w:color w:val="auto"/>
                <w:sz w:val="24"/>
                <w:highlight w:val="none"/>
              </w:rPr>
              <w:t>分</w:t>
            </w:r>
          </w:p>
        </w:tc>
        <w:tc>
          <w:tcPr>
            <w:tcW w:w="5543" w:type="dxa"/>
            <w:tcBorders>
              <w:top w:val="single" w:color="auto" w:sz="4" w:space="0"/>
              <w:left w:val="single" w:color="auto" w:sz="4" w:space="0"/>
              <w:bottom w:val="single" w:color="auto" w:sz="4" w:space="0"/>
              <w:right w:val="single" w:color="auto" w:sz="4" w:space="0"/>
            </w:tcBorders>
            <w:vAlign w:val="center"/>
          </w:tcPr>
          <w:p w14:paraId="63A8EAB7">
            <w:pPr>
              <w:pStyle w:val="2"/>
              <w:keepNext w:val="0"/>
              <w:keepLines w:val="0"/>
              <w:pageBreakBefore w:val="0"/>
              <w:widowControl/>
              <w:shd w:val="clear"/>
              <w:kinsoku/>
              <w:wordWrap/>
              <w:overflowPunct/>
              <w:topLinePunct w:val="0"/>
              <w:autoSpaceDE/>
              <w:autoSpaceDN/>
              <w:bidi w:val="0"/>
              <w:adjustRightInd/>
              <w:snapToGrid/>
              <w:spacing w:line="420" w:lineRule="exact"/>
              <w:ind w:firstLine="482"/>
              <w:textAlignment w:val="auto"/>
              <w:rPr>
                <w:rFonts w:hAnsi="宋体" w:cs="宋体"/>
                <w:color w:val="auto"/>
                <w:sz w:val="24"/>
                <w:highlight w:val="none"/>
              </w:rPr>
            </w:pPr>
            <w:r>
              <w:rPr>
                <w:rFonts w:hint="eastAsia" w:hAnsi="宋体" w:cs="宋体"/>
                <w:color w:val="auto"/>
                <w:sz w:val="24"/>
                <w:highlight w:val="none"/>
              </w:rPr>
              <w:t>技术参数完全满足</w:t>
            </w:r>
            <w:r>
              <w:rPr>
                <w:rFonts w:hint="eastAsia" w:hAnsi="宋体" w:cs="宋体"/>
                <w:color w:val="auto"/>
                <w:sz w:val="24"/>
                <w:highlight w:val="none"/>
                <w:lang w:val="en-US" w:eastAsia="zh-CN"/>
              </w:rPr>
              <w:t>招标</w:t>
            </w:r>
            <w:r>
              <w:rPr>
                <w:rFonts w:hint="eastAsia" w:hAnsi="宋体" w:cs="宋体"/>
                <w:color w:val="auto"/>
                <w:sz w:val="24"/>
                <w:highlight w:val="none"/>
              </w:rPr>
              <w:t>文件要求的得4</w:t>
            </w:r>
            <w:r>
              <w:rPr>
                <w:rFonts w:hint="eastAsia" w:hAnsi="宋体" w:cs="宋体"/>
                <w:color w:val="auto"/>
                <w:sz w:val="24"/>
                <w:highlight w:val="none"/>
                <w:lang w:val="en-US" w:eastAsia="zh-CN"/>
              </w:rPr>
              <w:t>9</w:t>
            </w:r>
            <w:r>
              <w:rPr>
                <w:rFonts w:hint="eastAsia" w:hAnsi="宋体" w:cs="宋体"/>
                <w:color w:val="auto"/>
                <w:sz w:val="24"/>
                <w:highlight w:val="none"/>
              </w:rPr>
              <w:t>分</w:t>
            </w:r>
            <w:r>
              <w:rPr>
                <w:rFonts w:hint="eastAsia" w:hAnsi="宋体" w:cs="宋体"/>
                <w:color w:val="auto"/>
                <w:sz w:val="24"/>
                <w:highlight w:val="none"/>
                <w:lang w:eastAsia="zh-CN"/>
              </w:rPr>
              <w:t>：</w:t>
            </w:r>
            <w:r>
              <w:rPr>
                <w:rFonts w:hint="eastAsia" w:hAnsi="宋体" w:cs="宋体"/>
                <w:color w:val="auto"/>
                <w:sz w:val="24"/>
                <w:highlight w:val="none"/>
              </w:rPr>
              <w:t>其中</w:t>
            </w:r>
            <w:r>
              <w:rPr>
                <w:rFonts w:hint="eastAsia" w:hAnsi="宋体" w:cs="宋体"/>
                <w:color w:val="auto"/>
                <w:sz w:val="24"/>
                <w:highlight w:val="none"/>
                <w:lang w:eastAsia="zh-CN"/>
              </w:rPr>
              <w:t>，</w:t>
            </w:r>
            <w:r>
              <w:rPr>
                <w:rFonts w:hint="eastAsia" w:hAnsi="宋体" w:cs="宋体"/>
                <w:color w:val="auto"/>
                <w:sz w:val="24"/>
                <w:highlight w:val="none"/>
              </w:rPr>
              <w:t>带“▲”参数及要求，每有一项负偏离扣1.</w:t>
            </w:r>
            <w:r>
              <w:rPr>
                <w:rFonts w:hint="eastAsia" w:hAnsi="宋体" w:cs="宋体"/>
                <w:color w:val="auto"/>
                <w:sz w:val="24"/>
                <w:highlight w:val="none"/>
                <w:lang w:val="en-US" w:eastAsia="zh-CN"/>
              </w:rPr>
              <w:t>4</w:t>
            </w:r>
            <w:r>
              <w:rPr>
                <w:rFonts w:hint="eastAsia" w:hAnsi="宋体" w:cs="宋体"/>
                <w:color w:val="auto"/>
                <w:sz w:val="24"/>
                <w:highlight w:val="none"/>
              </w:rPr>
              <w:t>分；其他不带任何符号的参数及要求，每有一项负偏离扣</w:t>
            </w:r>
            <w:r>
              <w:rPr>
                <w:rFonts w:hint="eastAsia" w:hAnsi="宋体" w:cs="宋体"/>
                <w:color w:val="auto"/>
                <w:sz w:val="24"/>
                <w:highlight w:val="none"/>
                <w:lang w:val="en-US" w:eastAsia="zh-CN"/>
              </w:rPr>
              <w:t>0.1</w:t>
            </w:r>
            <w:r>
              <w:rPr>
                <w:rFonts w:hint="eastAsia" w:hAnsi="宋体" w:cs="宋体"/>
                <w:color w:val="auto"/>
                <w:sz w:val="24"/>
                <w:highlight w:val="none"/>
              </w:rPr>
              <w:t>分，直至该项分值扣完为止，正偏离不加分。</w:t>
            </w:r>
          </w:p>
          <w:p w14:paraId="331142E8">
            <w:pPr>
              <w:pStyle w:val="2"/>
              <w:keepNext w:val="0"/>
              <w:keepLines w:val="0"/>
              <w:pageBreakBefore w:val="0"/>
              <w:widowControl/>
              <w:shd w:val="clear"/>
              <w:kinsoku/>
              <w:wordWrap/>
              <w:overflowPunct/>
              <w:topLinePunct w:val="0"/>
              <w:autoSpaceDE/>
              <w:autoSpaceDN/>
              <w:bidi w:val="0"/>
              <w:adjustRightInd/>
              <w:snapToGrid/>
              <w:spacing w:line="420" w:lineRule="exact"/>
              <w:textAlignment w:val="auto"/>
              <w:rPr>
                <w:color w:val="auto"/>
                <w:highlight w:val="none"/>
              </w:rPr>
            </w:pPr>
            <w:r>
              <w:rPr>
                <w:rFonts w:hint="eastAsia" w:hAnsi="宋体" w:cs="宋体"/>
                <w:color w:val="auto"/>
                <w:sz w:val="24"/>
                <w:highlight w:val="none"/>
              </w:rPr>
              <w:t>注：本项目设备参数一共</w:t>
            </w:r>
            <w:r>
              <w:rPr>
                <w:rFonts w:hint="default" w:ascii="Times New Roman" w:hAnsi="Times New Roman" w:cs="Times New Roman"/>
                <w:color w:val="auto"/>
                <w:sz w:val="24"/>
                <w:highlight w:val="none"/>
              </w:rPr>
              <w:t>20</w:t>
            </w:r>
            <w:r>
              <w:rPr>
                <w:rFonts w:hint="default" w:ascii="Times New Roman" w:hAnsi="Times New Roman" w:cs="Times New Roman"/>
                <w:color w:val="auto"/>
                <w:sz w:val="24"/>
                <w:highlight w:val="none"/>
                <w:lang w:val="en-US" w:eastAsia="zh-CN"/>
              </w:rPr>
              <w:t>4</w:t>
            </w:r>
            <w:r>
              <w:rPr>
                <w:rFonts w:hint="eastAsia" w:hAnsi="宋体" w:cs="宋体"/>
                <w:color w:val="auto"/>
                <w:sz w:val="24"/>
                <w:highlight w:val="none"/>
              </w:rPr>
              <w:t>条，</w:t>
            </w:r>
            <w:r>
              <w:rPr>
                <w:rFonts w:hint="eastAsia" w:hAnsi="宋体" w:cs="宋体"/>
                <w:color w:val="auto"/>
                <w:sz w:val="24"/>
                <w:highlight w:val="none"/>
                <w:lang w:val="en-US" w:eastAsia="zh-CN"/>
              </w:rPr>
              <w:t>其中，</w:t>
            </w:r>
            <w:r>
              <w:rPr>
                <w:rFonts w:hint="eastAsia" w:hAnsi="宋体" w:cs="宋体"/>
                <w:color w:val="auto"/>
                <w:sz w:val="24"/>
                <w:highlight w:val="none"/>
              </w:rPr>
              <w:t>带“▲”号参数共</w:t>
            </w:r>
            <w:r>
              <w:rPr>
                <w:rFonts w:hint="default" w:ascii="Times New Roman" w:hAnsi="Times New Roman" w:cs="Times New Roman"/>
                <w:color w:val="auto"/>
                <w:sz w:val="24"/>
                <w:highlight w:val="none"/>
              </w:rPr>
              <w:t>2</w:t>
            </w:r>
            <w:r>
              <w:rPr>
                <w:rFonts w:hint="default" w:ascii="Times New Roman" w:hAnsi="Times New Roman" w:cs="Times New Roman"/>
                <w:color w:val="auto"/>
                <w:sz w:val="24"/>
                <w:highlight w:val="none"/>
                <w:lang w:val="en-US" w:eastAsia="zh-CN"/>
              </w:rPr>
              <w:t>2</w:t>
            </w:r>
            <w:r>
              <w:rPr>
                <w:rFonts w:hint="eastAsia" w:hAnsi="宋体" w:cs="宋体"/>
                <w:color w:val="auto"/>
                <w:sz w:val="24"/>
                <w:highlight w:val="none"/>
              </w:rPr>
              <w:t>条，为本项目重要参数</w:t>
            </w:r>
            <w:r>
              <w:rPr>
                <w:rFonts w:hint="eastAsia" w:hAnsi="宋体" w:cs="宋体"/>
                <w:color w:val="auto"/>
                <w:sz w:val="24"/>
                <w:highlight w:val="none"/>
                <w:lang w:eastAsia="zh-CN"/>
              </w:rPr>
              <w:t>；</w:t>
            </w:r>
            <w:r>
              <w:rPr>
                <w:rFonts w:hint="eastAsia" w:hAnsi="宋体" w:cs="宋体"/>
                <w:color w:val="auto"/>
                <w:sz w:val="24"/>
                <w:highlight w:val="none"/>
              </w:rPr>
              <w:t>未标注符号的参数为一般参数</w:t>
            </w:r>
            <w:r>
              <w:rPr>
                <w:rFonts w:hint="eastAsia" w:hAnsi="宋体" w:cs="宋体"/>
                <w:color w:val="auto"/>
                <w:sz w:val="24"/>
                <w:highlight w:val="none"/>
                <w:lang w:eastAsia="zh-CN"/>
              </w:rPr>
              <w:t>，</w:t>
            </w:r>
            <w:r>
              <w:rPr>
                <w:rFonts w:hint="eastAsia" w:hAnsi="宋体" w:cs="宋体"/>
                <w:color w:val="auto"/>
                <w:sz w:val="24"/>
                <w:highlight w:val="none"/>
              </w:rPr>
              <w:t>共</w:t>
            </w:r>
            <w:r>
              <w:rPr>
                <w:rFonts w:hint="default" w:ascii="Times New Roman" w:hAnsi="Times New Roman" w:cs="Times New Roman"/>
                <w:color w:val="auto"/>
                <w:sz w:val="24"/>
                <w:highlight w:val="none"/>
              </w:rPr>
              <w:t>1</w:t>
            </w:r>
            <w:r>
              <w:rPr>
                <w:rFonts w:hint="default" w:ascii="Times New Roman" w:hAnsi="Times New Roman" w:cs="Times New Roman"/>
                <w:color w:val="auto"/>
                <w:sz w:val="24"/>
                <w:highlight w:val="none"/>
                <w:lang w:val="en-US" w:eastAsia="zh-CN"/>
              </w:rPr>
              <w:t>82</w:t>
            </w:r>
            <w:r>
              <w:rPr>
                <w:rFonts w:hint="eastAsia" w:hAnsi="宋体" w:cs="宋体"/>
                <w:color w:val="auto"/>
                <w:sz w:val="24"/>
                <w:highlight w:val="none"/>
              </w:rPr>
              <w:t>条。带“▲”号参数</w:t>
            </w:r>
            <w:r>
              <w:rPr>
                <w:rFonts w:hint="eastAsia" w:hAnsi="宋体" w:cs="宋体"/>
                <w:color w:val="auto"/>
                <w:sz w:val="24"/>
                <w:highlight w:val="none"/>
                <w:lang w:val="en-US" w:eastAsia="zh-CN"/>
              </w:rPr>
              <w:t>和未</w:t>
            </w:r>
            <w:r>
              <w:rPr>
                <w:rFonts w:hint="eastAsia" w:hAnsi="宋体" w:cs="宋体"/>
                <w:color w:val="auto"/>
                <w:sz w:val="24"/>
                <w:highlight w:val="none"/>
              </w:rPr>
              <w:t>带“▲”号参数存在负偏离</w:t>
            </w:r>
            <w:r>
              <w:rPr>
                <w:rFonts w:hint="eastAsia" w:hAnsi="宋体" w:cs="宋体"/>
                <w:color w:val="auto"/>
                <w:sz w:val="24"/>
                <w:highlight w:val="none"/>
                <w:lang w:val="en-US" w:eastAsia="zh-CN"/>
              </w:rPr>
              <w:t>的，</w:t>
            </w:r>
            <w:r>
              <w:rPr>
                <w:rFonts w:hint="eastAsia" w:hAnsi="宋体" w:cs="宋体"/>
                <w:color w:val="auto"/>
                <w:sz w:val="24"/>
                <w:highlight w:val="none"/>
              </w:rPr>
              <w:t>按照</w:t>
            </w:r>
            <w:r>
              <w:rPr>
                <w:rFonts w:hint="eastAsia" w:hAnsi="宋体" w:cs="宋体"/>
                <w:color w:val="auto"/>
                <w:sz w:val="24"/>
                <w:highlight w:val="none"/>
                <w:lang w:val="en-US" w:eastAsia="zh-CN"/>
              </w:rPr>
              <w:t>上述标准</w:t>
            </w:r>
            <w:r>
              <w:rPr>
                <w:rFonts w:hint="eastAsia" w:hAnsi="宋体" w:cs="宋体"/>
                <w:color w:val="auto"/>
                <w:sz w:val="24"/>
                <w:highlight w:val="none"/>
              </w:rPr>
              <w:t>进行扣除。</w:t>
            </w:r>
            <w:r>
              <w:rPr>
                <w:rFonts w:ascii="宋体" w:hAnsi="宋体" w:cs="宋体"/>
                <w:color w:val="auto"/>
                <w:sz w:val="24"/>
                <w:szCs w:val="24"/>
                <w:highlight w:val="none"/>
                <w:lang w:eastAsia="zh-CN"/>
              </w:rPr>
              <w:t>参数中若对证明材料有要求的</w:t>
            </w:r>
            <w:r>
              <w:rPr>
                <w:rFonts w:hint="eastAsia" w:hAnsi="宋体" w:cs="宋体"/>
                <w:color w:val="auto"/>
                <w:sz w:val="24"/>
                <w:szCs w:val="24"/>
                <w:highlight w:val="none"/>
                <w:lang w:eastAsia="zh-CN"/>
              </w:rPr>
              <w:t>，</w:t>
            </w:r>
            <w:r>
              <w:rPr>
                <w:rFonts w:ascii="宋体" w:hAnsi="宋体" w:cs="宋体"/>
                <w:color w:val="auto"/>
                <w:sz w:val="24"/>
                <w:szCs w:val="24"/>
                <w:highlight w:val="none"/>
                <w:lang w:eastAsia="zh-CN"/>
              </w:rPr>
              <w:t>则</w:t>
            </w:r>
            <w:r>
              <w:rPr>
                <w:rFonts w:hint="eastAsia" w:hAnsi="宋体" w:cs="宋体"/>
                <w:color w:val="auto"/>
                <w:sz w:val="24"/>
                <w:szCs w:val="24"/>
                <w:highlight w:val="none"/>
                <w:lang w:val="en-US" w:eastAsia="zh-CN"/>
              </w:rPr>
              <w:t>须投标人</w:t>
            </w:r>
            <w:r>
              <w:rPr>
                <w:rFonts w:ascii="宋体" w:hAnsi="宋体" w:cs="宋体"/>
                <w:color w:val="auto"/>
                <w:sz w:val="24"/>
                <w:szCs w:val="24"/>
                <w:highlight w:val="none"/>
                <w:lang w:eastAsia="zh-CN"/>
              </w:rPr>
              <w:t>按要求提供，否则以不满足认定。</w:t>
            </w:r>
            <w:r>
              <w:rPr>
                <w:rFonts w:hint="eastAsia" w:hAnsi="宋体" w:cs="宋体"/>
                <w:color w:val="auto"/>
                <w:sz w:val="24"/>
                <w:szCs w:val="24"/>
                <w:highlight w:val="none"/>
                <w:lang w:val="en-US" w:eastAsia="zh-CN"/>
              </w:rPr>
              <w:t>投标人</w:t>
            </w:r>
            <w:r>
              <w:rPr>
                <w:rFonts w:ascii="宋体" w:hAnsi="宋体" w:cs="宋体"/>
                <w:color w:val="auto"/>
                <w:sz w:val="24"/>
                <w:szCs w:val="24"/>
                <w:highlight w:val="none"/>
                <w:lang w:eastAsia="zh-CN"/>
              </w:rPr>
              <w:t>在制定应答表时应尽可能标明相对应支持资料出处、页码。投标人须认真核实所有技术支持资料，对其在投标文件中提供的技术支持资料的真实性负责，并承担由此带来的一切法律责任和后果。</w:t>
            </w:r>
          </w:p>
        </w:tc>
        <w:tc>
          <w:tcPr>
            <w:tcW w:w="1177" w:type="dxa"/>
            <w:tcBorders>
              <w:top w:val="single" w:color="auto" w:sz="4" w:space="0"/>
              <w:left w:val="single" w:color="auto" w:sz="4" w:space="0"/>
              <w:bottom w:val="single" w:color="auto" w:sz="4" w:space="0"/>
              <w:right w:val="single" w:color="auto" w:sz="4" w:space="0"/>
            </w:tcBorders>
            <w:vAlign w:val="center"/>
          </w:tcPr>
          <w:p w14:paraId="1B846AF4">
            <w:pPr>
              <w:keepNext w:val="0"/>
              <w:keepLines w:val="0"/>
              <w:pageBreakBefore w:val="0"/>
              <w:shd w:val="clear"/>
              <w:kinsoku/>
              <w:wordWrap/>
              <w:overflowPunct/>
              <w:topLinePunct w:val="0"/>
              <w:autoSpaceDE/>
              <w:autoSpaceDN/>
              <w:bidi w:val="0"/>
              <w:adjustRightInd/>
              <w:snapToGrid/>
              <w:spacing w:line="420" w:lineRule="exact"/>
              <w:jc w:val="center"/>
              <w:textAlignment w:val="auto"/>
              <w:rPr>
                <w:rFonts w:hAnsi="宋体" w:cs="宋体"/>
                <w:bCs/>
                <w:color w:val="auto"/>
                <w:sz w:val="24"/>
                <w:highlight w:val="none"/>
              </w:rPr>
            </w:pPr>
            <w:r>
              <w:rPr>
                <w:rFonts w:hint="eastAsia" w:hAnsi="宋体" w:cs="宋体"/>
                <w:bCs/>
                <w:color w:val="auto"/>
                <w:sz w:val="24"/>
                <w:highlight w:val="none"/>
              </w:rPr>
              <w:t>技术类评审因素</w:t>
            </w:r>
          </w:p>
        </w:tc>
      </w:tr>
      <w:tr w14:paraId="3AC45C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02" w:hRule="atLeast"/>
          <w:jc w:val="center"/>
        </w:trPr>
        <w:tc>
          <w:tcPr>
            <w:tcW w:w="811" w:type="dxa"/>
            <w:tcBorders>
              <w:top w:val="single" w:color="auto" w:sz="4" w:space="0"/>
              <w:left w:val="single" w:color="auto" w:sz="4" w:space="0"/>
              <w:bottom w:val="single" w:color="auto" w:sz="4" w:space="0"/>
              <w:right w:val="single" w:color="auto" w:sz="4" w:space="0"/>
            </w:tcBorders>
            <w:vAlign w:val="center"/>
          </w:tcPr>
          <w:p w14:paraId="669CBAB7">
            <w:pPr>
              <w:shd w:val="clear"/>
              <w:spacing w:line="360" w:lineRule="auto"/>
              <w:jc w:val="center"/>
              <w:rPr>
                <w:rFonts w:hAnsi="宋体" w:cs="宋体"/>
                <w:color w:val="auto"/>
                <w:sz w:val="24"/>
                <w:highlight w:val="none"/>
              </w:rPr>
            </w:pPr>
            <w:r>
              <w:rPr>
                <w:rFonts w:hint="eastAsia" w:hAnsi="宋体" w:cs="宋体"/>
                <w:color w:val="auto"/>
                <w:sz w:val="24"/>
                <w:highlight w:val="none"/>
              </w:rPr>
              <w:t>3</w:t>
            </w:r>
          </w:p>
        </w:tc>
        <w:tc>
          <w:tcPr>
            <w:tcW w:w="1350" w:type="dxa"/>
            <w:tcBorders>
              <w:top w:val="single" w:color="auto" w:sz="4" w:space="0"/>
              <w:left w:val="single" w:color="auto" w:sz="4" w:space="0"/>
              <w:bottom w:val="single" w:color="auto" w:sz="4" w:space="0"/>
              <w:right w:val="single" w:color="auto" w:sz="4" w:space="0"/>
            </w:tcBorders>
            <w:vAlign w:val="center"/>
          </w:tcPr>
          <w:p w14:paraId="152A58F1">
            <w:pPr>
              <w:shd w:val="clear"/>
              <w:spacing w:line="360" w:lineRule="auto"/>
              <w:jc w:val="center"/>
              <w:rPr>
                <w:rFonts w:hAnsi="宋体" w:cs="宋体"/>
                <w:color w:val="auto"/>
                <w:sz w:val="24"/>
                <w:highlight w:val="none"/>
              </w:rPr>
            </w:pPr>
            <w:r>
              <w:rPr>
                <w:rFonts w:hint="eastAsia" w:hAnsi="宋体" w:cs="宋体"/>
                <w:color w:val="auto"/>
                <w:sz w:val="24"/>
                <w:highlight w:val="none"/>
              </w:rPr>
              <w:t>实施方案1</w:t>
            </w:r>
            <w:r>
              <w:rPr>
                <w:rFonts w:hint="eastAsia" w:hAnsi="宋体" w:cs="宋体"/>
                <w:color w:val="auto"/>
                <w:sz w:val="24"/>
                <w:highlight w:val="none"/>
                <w:lang w:val="en-US" w:eastAsia="zh-CN"/>
              </w:rPr>
              <w:t>2</w:t>
            </w:r>
            <w:r>
              <w:rPr>
                <w:rFonts w:hint="eastAsia" w:hAnsi="宋体" w:cs="宋体"/>
                <w:color w:val="auto"/>
                <w:sz w:val="24"/>
                <w:highlight w:val="none"/>
              </w:rPr>
              <w:t>%</w:t>
            </w:r>
          </w:p>
        </w:tc>
        <w:tc>
          <w:tcPr>
            <w:tcW w:w="930" w:type="dxa"/>
            <w:tcBorders>
              <w:top w:val="single" w:color="auto" w:sz="4" w:space="0"/>
              <w:left w:val="single" w:color="auto" w:sz="4" w:space="0"/>
              <w:bottom w:val="single" w:color="auto" w:sz="4" w:space="0"/>
              <w:right w:val="single" w:color="auto" w:sz="4" w:space="0"/>
            </w:tcBorders>
            <w:vAlign w:val="center"/>
          </w:tcPr>
          <w:p w14:paraId="18B2A80E">
            <w:pPr>
              <w:shd w:val="clear"/>
              <w:spacing w:line="360" w:lineRule="auto"/>
              <w:jc w:val="center"/>
              <w:rPr>
                <w:rFonts w:hAnsi="宋体" w:cs="宋体"/>
                <w:color w:val="auto"/>
                <w:sz w:val="24"/>
                <w:highlight w:val="none"/>
              </w:rPr>
            </w:pPr>
            <w:r>
              <w:rPr>
                <w:rFonts w:hint="eastAsia" w:hAnsi="宋体" w:cs="宋体"/>
                <w:color w:val="auto"/>
                <w:sz w:val="24"/>
                <w:highlight w:val="none"/>
              </w:rPr>
              <w:t>1</w:t>
            </w:r>
            <w:r>
              <w:rPr>
                <w:rFonts w:hint="eastAsia" w:hAnsi="宋体" w:cs="宋体"/>
                <w:color w:val="auto"/>
                <w:sz w:val="24"/>
                <w:highlight w:val="none"/>
                <w:lang w:val="en-US" w:eastAsia="zh-CN"/>
              </w:rPr>
              <w:t>2</w:t>
            </w:r>
            <w:r>
              <w:rPr>
                <w:rFonts w:hint="eastAsia" w:hAnsi="宋体" w:cs="宋体"/>
                <w:color w:val="auto"/>
                <w:sz w:val="24"/>
                <w:highlight w:val="none"/>
              </w:rPr>
              <w:t xml:space="preserve">分 </w:t>
            </w:r>
          </w:p>
        </w:tc>
        <w:tc>
          <w:tcPr>
            <w:tcW w:w="5543" w:type="dxa"/>
            <w:tcBorders>
              <w:top w:val="single" w:color="auto" w:sz="4" w:space="0"/>
              <w:left w:val="single" w:color="auto" w:sz="4" w:space="0"/>
              <w:bottom w:val="single" w:color="auto" w:sz="4" w:space="0"/>
              <w:right w:val="single" w:color="auto" w:sz="4" w:space="0"/>
            </w:tcBorders>
            <w:vAlign w:val="center"/>
          </w:tcPr>
          <w:p w14:paraId="087108BB">
            <w:pPr>
              <w:keepNext w:val="0"/>
              <w:keepLines w:val="0"/>
              <w:pageBreakBefore w:val="0"/>
              <w:widowControl w:val="0"/>
              <w:shd w:val="clear"/>
              <w:kinsoku/>
              <w:wordWrap/>
              <w:overflowPunct/>
              <w:topLinePunct w:val="0"/>
              <w:autoSpaceDE/>
              <w:autoSpaceDN/>
              <w:bidi w:val="0"/>
              <w:adjustRightInd/>
              <w:snapToGrid/>
              <w:spacing w:line="440" w:lineRule="exact"/>
              <w:textAlignment w:val="auto"/>
              <w:rPr>
                <w:rFonts w:ascii="宋体" w:hAnsi="宋体" w:eastAsia="宋体" w:cs="宋体"/>
                <w:color w:val="auto"/>
                <w:sz w:val="24"/>
                <w:highlight w:val="none"/>
              </w:rPr>
            </w:pPr>
            <w:r>
              <w:rPr>
                <w:rFonts w:hint="eastAsia" w:hAnsi="宋体" w:cs="宋体"/>
                <w:color w:val="auto"/>
                <w:sz w:val="24"/>
                <w:highlight w:val="none"/>
              </w:rPr>
              <w:t>根</w:t>
            </w:r>
            <w:r>
              <w:rPr>
                <w:rFonts w:hint="eastAsia" w:hAnsi="宋体" w:cs="宋体"/>
                <w:color w:val="auto"/>
                <w:sz w:val="24"/>
                <w:highlight w:val="none"/>
                <w:lang w:val="en-US" w:eastAsia="zh-CN"/>
              </w:rPr>
              <w:t>根据</w:t>
            </w:r>
            <w:r>
              <w:rPr>
                <w:rFonts w:hint="eastAsia" w:ascii="宋体" w:hAnsi="宋体" w:eastAsia="宋体" w:cs="宋体"/>
                <w:color w:val="auto"/>
                <w:sz w:val="24"/>
                <w:highlight w:val="none"/>
              </w:rPr>
              <w:t>投标人提供的本项目</w:t>
            </w:r>
            <w:r>
              <w:rPr>
                <w:rFonts w:hint="eastAsia" w:ascii="宋体" w:hAnsi="宋体" w:eastAsia="宋体" w:cs="宋体"/>
                <w:color w:val="auto"/>
                <w:sz w:val="24"/>
                <w:highlight w:val="none"/>
                <w:lang w:eastAsia="zh-CN"/>
              </w:rPr>
              <w:t>《</w:t>
            </w:r>
            <w:r>
              <w:rPr>
                <w:rFonts w:hint="eastAsia" w:hAnsi="宋体" w:cs="宋体"/>
                <w:color w:val="auto"/>
                <w:sz w:val="24"/>
                <w:highlight w:val="none"/>
                <w:lang w:val="en-US" w:eastAsia="zh-CN"/>
              </w:rPr>
              <w:t>实施</w:t>
            </w:r>
            <w:r>
              <w:rPr>
                <w:rFonts w:hint="eastAsia" w:ascii="宋体" w:hAnsi="宋体" w:eastAsia="宋体" w:cs="宋体"/>
                <w:color w:val="auto"/>
                <w:sz w:val="24"/>
                <w:highlight w:val="none"/>
              </w:rPr>
              <w:t>方案</w:t>
            </w:r>
            <w:r>
              <w:rPr>
                <w:rFonts w:hint="eastAsia" w:ascii="宋体" w:hAnsi="宋体" w:eastAsia="宋体" w:cs="宋体"/>
                <w:color w:val="auto"/>
                <w:sz w:val="24"/>
                <w:highlight w:val="none"/>
                <w:lang w:eastAsia="zh-CN"/>
              </w:rPr>
              <w:t>》</w:t>
            </w:r>
            <w:r>
              <w:rPr>
                <w:rFonts w:hint="eastAsia" w:ascii="宋体" w:hAnsi="宋体" w:eastAsia="宋体" w:cs="宋体"/>
                <w:color w:val="auto"/>
                <w:sz w:val="24"/>
                <w:highlight w:val="none"/>
              </w:rPr>
              <w:t>进行综合评审，</w:t>
            </w:r>
            <w:r>
              <w:rPr>
                <w:rFonts w:hint="eastAsia" w:hAnsi="宋体" w:cs="宋体"/>
                <w:color w:val="auto"/>
                <w:sz w:val="24"/>
                <w:highlight w:val="none"/>
                <w:lang w:val="en-US" w:eastAsia="zh-CN"/>
              </w:rPr>
              <w:t>内容</w:t>
            </w:r>
            <w:r>
              <w:rPr>
                <w:rFonts w:hint="eastAsia" w:ascii="宋体" w:hAnsi="宋体" w:eastAsia="宋体" w:cs="宋体"/>
                <w:color w:val="auto"/>
                <w:sz w:val="24"/>
                <w:highlight w:val="none"/>
              </w:rPr>
              <w:t>应包括</w:t>
            </w:r>
            <w:r>
              <w:rPr>
                <w:rFonts w:hint="eastAsia" w:hAnsi="宋体" w:cs="宋体"/>
                <w:color w:val="auto"/>
                <w:sz w:val="24"/>
                <w:highlight w:val="none"/>
                <w:lang w:eastAsia="zh-CN"/>
              </w:rPr>
              <w:t>：</w:t>
            </w:r>
            <w:r>
              <w:rPr>
                <w:rFonts w:hint="eastAsia" w:hAnsi="宋体" w:cs="宋体"/>
                <w:bCs/>
                <w:color w:val="auto"/>
                <w:sz w:val="24"/>
                <w:highlight w:val="none"/>
                <w:lang w:val="en-US" w:eastAsia="zh-CN"/>
              </w:rPr>
              <w:t>①实施组织架构及人员配置安排；②项目实施过程控制及进度安排；③</w:t>
            </w:r>
            <w:r>
              <w:rPr>
                <w:rFonts w:hint="eastAsia" w:hAnsi="宋体" w:cs="宋体"/>
                <w:bCs/>
                <w:color w:val="auto"/>
                <w:sz w:val="24"/>
                <w:highlight w:val="none"/>
              </w:rPr>
              <w:t>声光电系统集成总体实施方案；</w:t>
            </w:r>
            <w:r>
              <w:rPr>
                <w:rFonts w:hint="eastAsia" w:hAnsi="宋体" w:cs="宋体"/>
                <w:bCs/>
                <w:color w:val="auto"/>
                <w:sz w:val="24"/>
                <w:highlight w:val="none"/>
                <w:lang w:val="en-US" w:eastAsia="zh-CN"/>
              </w:rPr>
              <w:t>④</w:t>
            </w:r>
            <w:r>
              <w:rPr>
                <w:rFonts w:hint="eastAsia" w:hAnsi="宋体" w:cs="宋体"/>
                <w:bCs/>
                <w:color w:val="auto"/>
                <w:sz w:val="24"/>
                <w:highlight w:val="none"/>
              </w:rPr>
              <w:t>灯光系统、机械吊挂系统安装调试方案</w:t>
            </w:r>
            <w:r>
              <w:rPr>
                <w:rFonts w:hint="eastAsia" w:hAnsi="宋体" w:cs="宋体"/>
                <w:bCs/>
                <w:color w:val="auto"/>
                <w:sz w:val="24"/>
                <w:highlight w:val="none"/>
                <w:lang w:eastAsia="zh-CN"/>
              </w:rPr>
              <w:t>；</w:t>
            </w:r>
            <w:r>
              <w:rPr>
                <w:rFonts w:hint="eastAsia" w:hAnsi="宋体" w:cs="宋体"/>
                <w:bCs/>
                <w:color w:val="auto"/>
                <w:sz w:val="24"/>
                <w:highlight w:val="none"/>
                <w:lang w:val="en-US" w:eastAsia="zh-CN"/>
              </w:rPr>
              <w:t>⑤</w:t>
            </w:r>
            <w:r>
              <w:rPr>
                <w:rFonts w:hint="eastAsia" w:hAnsi="宋体" w:cs="宋体"/>
                <w:bCs/>
                <w:color w:val="auto"/>
                <w:sz w:val="24"/>
                <w:highlight w:val="none"/>
              </w:rPr>
              <w:t>音响系统安装调试方案</w:t>
            </w:r>
            <w:r>
              <w:rPr>
                <w:rFonts w:hint="eastAsia" w:hAnsi="宋体" w:cs="宋体"/>
                <w:bCs/>
                <w:color w:val="auto"/>
                <w:sz w:val="24"/>
                <w:highlight w:val="none"/>
                <w:lang w:eastAsia="zh-CN"/>
              </w:rPr>
              <w:t>；</w:t>
            </w:r>
            <w:r>
              <w:rPr>
                <w:rFonts w:hint="eastAsia" w:hAnsi="宋体" w:cs="宋体"/>
                <w:bCs/>
                <w:color w:val="auto"/>
                <w:sz w:val="24"/>
                <w:highlight w:val="none"/>
                <w:lang w:val="en-US" w:eastAsia="zh-CN"/>
              </w:rPr>
              <w:t>⑥</w:t>
            </w:r>
            <w:r>
              <w:rPr>
                <w:rFonts w:hint="eastAsia" w:hAnsi="宋体" w:cs="宋体"/>
                <w:bCs/>
                <w:color w:val="auto"/>
                <w:sz w:val="24"/>
                <w:highlight w:val="none"/>
              </w:rPr>
              <w:t>蓝箱舞美置景实施方案；</w:t>
            </w:r>
            <w:r>
              <w:rPr>
                <w:rFonts w:hint="eastAsia" w:hAnsi="宋体" w:cs="宋体"/>
                <w:bCs/>
                <w:color w:val="auto"/>
                <w:sz w:val="24"/>
                <w:highlight w:val="none"/>
                <w:lang w:val="en-US" w:eastAsia="zh-CN"/>
              </w:rPr>
              <w:t>⑦项目风险控制和质量保障措施；⑧项目实施过程中突然事件的应急预案</w:t>
            </w:r>
            <w:r>
              <w:rPr>
                <w:rFonts w:hint="eastAsia" w:hAnsi="宋体" w:cs="宋体"/>
                <w:bCs/>
                <w:color w:val="auto"/>
                <w:sz w:val="24"/>
                <w:highlight w:val="none"/>
              </w:rPr>
              <w:t>。</w:t>
            </w:r>
            <w:r>
              <w:rPr>
                <w:rFonts w:hint="eastAsia" w:ascii="宋体" w:hAnsi="宋体" w:cs="宋体"/>
                <w:color w:val="auto"/>
                <w:sz w:val="24"/>
                <w:highlight w:val="none"/>
              </w:rPr>
              <w:t>涵盖以上</w:t>
            </w:r>
            <w:r>
              <w:rPr>
                <w:rFonts w:hint="eastAsia" w:hAnsi="宋体" w:cs="宋体"/>
                <w:color w:val="auto"/>
                <w:sz w:val="24"/>
                <w:highlight w:val="none"/>
                <w:lang w:val="en-US" w:eastAsia="zh-CN"/>
              </w:rPr>
              <w:t>8</w:t>
            </w:r>
            <w:r>
              <w:rPr>
                <w:rFonts w:hint="eastAsia" w:ascii="宋体" w:hAnsi="宋体" w:cs="宋体"/>
                <w:color w:val="auto"/>
                <w:sz w:val="24"/>
                <w:highlight w:val="none"/>
              </w:rPr>
              <w:t>项内容且不存在</w:t>
            </w:r>
            <w:r>
              <w:rPr>
                <w:rFonts w:hint="eastAsia" w:ascii="宋体" w:hAnsi="宋体" w:eastAsia="宋体" w:cs="宋体"/>
                <w:b w:val="0"/>
                <w:bCs w:val="0"/>
                <w:color w:val="auto"/>
                <w:kern w:val="0"/>
                <w:sz w:val="24"/>
                <w:szCs w:val="24"/>
                <w:highlight w:val="none"/>
                <w:lang w:val="en-US" w:eastAsia="zh-CN"/>
              </w:rPr>
              <w:t>缺项或漏项</w:t>
            </w:r>
            <w:r>
              <w:rPr>
                <w:rFonts w:hint="eastAsia" w:ascii="宋体" w:hAnsi="宋体" w:cs="宋体"/>
                <w:color w:val="auto"/>
                <w:sz w:val="24"/>
                <w:highlight w:val="none"/>
              </w:rPr>
              <w:t>得</w:t>
            </w:r>
            <w:r>
              <w:rPr>
                <w:rFonts w:hint="eastAsia" w:hAnsi="宋体" w:cs="宋体"/>
                <w:color w:val="auto"/>
                <w:sz w:val="24"/>
                <w:highlight w:val="none"/>
                <w:lang w:val="en-US" w:eastAsia="zh-CN"/>
              </w:rPr>
              <w:t>12</w:t>
            </w:r>
            <w:r>
              <w:rPr>
                <w:rFonts w:hint="eastAsia" w:ascii="宋体" w:hAnsi="宋体" w:cs="宋体"/>
                <w:color w:val="auto"/>
                <w:sz w:val="24"/>
                <w:highlight w:val="none"/>
              </w:rPr>
              <w:t>分，</w:t>
            </w:r>
            <w:r>
              <w:rPr>
                <w:rFonts w:hint="eastAsia" w:ascii="宋体" w:hAnsi="宋体" w:eastAsia="宋体" w:cs="宋体"/>
                <w:b w:val="0"/>
                <w:bCs w:val="0"/>
                <w:color w:val="auto"/>
                <w:kern w:val="0"/>
                <w:sz w:val="24"/>
                <w:szCs w:val="24"/>
                <w:highlight w:val="none"/>
                <w:lang w:val="en-US" w:eastAsia="zh-CN"/>
              </w:rPr>
              <w:t>每有一项单项内容缺项或漏项的扣</w:t>
            </w:r>
            <w:r>
              <w:rPr>
                <w:rFonts w:hint="eastAsia" w:hAnsi="宋体" w:cs="宋体"/>
                <w:b w:val="0"/>
                <w:bCs w:val="0"/>
                <w:color w:val="auto"/>
                <w:kern w:val="0"/>
                <w:sz w:val="24"/>
                <w:szCs w:val="24"/>
                <w:highlight w:val="none"/>
                <w:lang w:val="en-US" w:eastAsia="zh-CN"/>
              </w:rPr>
              <w:t>1.5</w:t>
            </w:r>
            <w:r>
              <w:rPr>
                <w:rFonts w:hint="eastAsia" w:ascii="宋体" w:hAnsi="宋体" w:eastAsia="宋体" w:cs="宋体"/>
                <w:b w:val="0"/>
                <w:bCs w:val="0"/>
                <w:color w:val="auto"/>
                <w:kern w:val="0"/>
                <w:sz w:val="24"/>
                <w:szCs w:val="24"/>
                <w:highlight w:val="none"/>
                <w:lang w:val="en-US" w:eastAsia="zh-CN"/>
              </w:rPr>
              <w:t>分，扣完为止。上述</w:t>
            </w:r>
            <w:r>
              <w:rPr>
                <w:rFonts w:hint="eastAsia" w:hAnsi="宋体" w:cs="宋体"/>
                <w:b w:val="0"/>
                <w:bCs w:val="0"/>
                <w:color w:val="auto"/>
                <w:kern w:val="0"/>
                <w:sz w:val="24"/>
                <w:szCs w:val="24"/>
                <w:highlight w:val="none"/>
                <w:lang w:val="en-US" w:eastAsia="zh-CN"/>
              </w:rPr>
              <w:t>8</w:t>
            </w:r>
            <w:r>
              <w:rPr>
                <w:rFonts w:hint="eastAsia" w:ascii="宋体" w:hAnsi="宋体" w:eastAsia="宋体" w:cs="宋体"/>
                <w:b w:val="0"/>
                <w:bCs w:val="0"/>
                <w:color w:val="auto"/>
                <w:kern w:val="0"/>
                <w:sz w:val="24"/>
                <w:szCs w:val="24"/>
                <w:highlight w:val="none"/>
                <w:lang w:val="en-US" w:eastAsia="zh-CN"/>
              </w:rPr>
              <w:t>个单项内容存在不足或缺陷的，每个单项内容对应分值扣0.</w:t>
            </w:r>
            <w:r>
              <w:rPr>
                <w:rFonts w:hint="eastAsia" w:hAnsi="宋体" w:cs="宋体"/>
                <w:b w:val="0"/>
                <w:bCs w:val="0"/>
                <w:color w:val="auto"/>
                <w:kern w:val="0"/>
                <w:sz w:val="24"/>
                <w:szCs w:val="24"/>
                <w:highlight w:val="none"/>
                <w:lang w:val="en-US" w:eastAsia="zh-CN"/>
              </w:rPr>
              <w:t>7</w:t>
            </w:r>
            <w:r>
              <w:rPr>
                <w:rFonts w:hint="eastAsia" w:ascii="宋体" w:hAnsi="宋体" w:eastAsia="宋体" w:cs="宋体"/>
                <w:b w:val="0"/>
                <w:bCs w:val="0"/>
                <w:color w:val="auto"/>
                <w:kern w:val="0"/>
                <w:sz w:val="24"/>
                <w:szCs w:val="24"/>
                <w:highlight w:val="none"/>
                <w:lang w:val="en-US" w:eastAsia="zh-CN"/>
              </w:rPr>
              <w:t>5分（单项内容扣减分值不超过</w:t>
            </w:r>
            <w:r>
              <w:rPr>
                <w:rFonts w:hint="eastAsia" w:hAnsi="宋体" w:cs="宋体"/>
                <w:b w:val="0"/>
                <w:bCs w:val="0"/>
                <w:color w:val="auto"/>
                <w:kern w:val="0"/>
                <w:sz w:val="24"/>
                <w:szCs w:val="24"/>
                <w:highlight w:val="none"/>
                <w:lang w:val="en-US" w:eastAsia="zh-CN"/>
              </w:rPr>
              <w:t>1.5</w:t>
            </w:r>
            <w:r>
              <w:rPr>
                <w:rFonts w:hint="eastAsia" w:ascii="宋体" w:hAnsi="宋体" w:eastAsia="宋体" w:cs="宋体"/>
                <w:b w:val="0"/>
                <w:bCs w:val="0"/>
                <w:color w:val="auto"/>
                <w:kern w:val="0"/>
                <w:sz w:val="24"/>
                <w:szCs w:val="24"/>
                <w:highlight w:val="none"/>
                <w:lang w:val="en-US" w:eastAsia="zh-CN"/>
              </w:rPr>
              <w:t>分），扣完为止。</w:t>
            </w:r>
          </w:p>
          <w:p w14:paraId="6A490689">
            <w:pPr>
              <w:shd w:val="clear"/>
              <w:snapToGrid w:val="0"/>
              <w:spacing w:line="400" w:lineRule="exact"/>
              <w:ind w:firstLine="480"/>
              <w:jc w:val="left"/>
              <w:rPr>
                <w:rFonts w:hAnsi="宋体" w:cs="宋体"/>
                <w:bCs/>
                <w:color w:val="auto"/>
                <w:sz w:val="24"/>
                <w:highlight w:val="none"/>
              </w:rPr>
            </w:pPr>
            <w:r>
              <w:rPr>
                <w:rFonts w:hint="eastAsia" w:ascii="宋体" w:hAnsi="宋体" w:eastAsia="宋体" w:cs="宋体"/>
                <w:b w:val="0"/>
                <w:bCs w:val="0"/>
                <w:color w:val="auto"/>
                <w:kern w:val="0"/>
                <w:sz w:val="24"/>
                <w:szCs w:val="24"/>
                <w:highlight w:val="none"/>
                <w:lang w:val="en-US" w:eastAsia="zh-CN"/>
              </w:rPr>
              <w:t>注：1、内容满足需求是指：①内容与项目服务需求吻合、层次细化，有具体详细的阐述；②阐述能够切合项目背景、项目需求，并提出专业技术建议或者解决方案；③内容符合国家、地方、行业标准、行业惯例以及项目特点。2、“不足”具体是指：对应单项内容缺失（不完整）、对应单项内容的要求缺少重要节点（如仅有框架或标题、单项内容仅有复制采购人需求内容的要求、涉及内容无重点。3、“缺陷”具体是指：单项内容中出现内容脱离了实际情况不具备实施的可能性、套用其他项目方案或内容、存在与本项目无关的文字内容、内容中出现前后描述不一致现象、引用科学原理错误、文字表述错误、实施地点区域错误的任意一种情形。</w:t>
            </w:r>
          </w:p>
        </w:tc>
        <w:tc>
          <w:tcPr>
            <w:tcW w:w="1177" w:type="dxa"/>
            <w:tcBorders>
              <w:top w:val="single" w:color="auto" w:sz="4" w:space="0"/>
              <w:left w:val="single" w:color="auto" w:sz="4" w:space="0"/>
              <w:bottom w:val="single" w:color="auto" w:sz="4" w:space="0"/>
              <w:right w:val="single" w:color="auto" w:sz="4" w:space="0"/>
            </w:tcBorders>
            <w:vAlign w:val="center"/>
          </w:tcPr>
          <w:p w14:paraId="0CFC8723">
            <w:pPr>
              <w:shd w:val="clear"/>
              <w:snapToGrid w:val="0"/>
              <w:spacing w:line="360" w:lineRule="auto"/>
              <w:jc w:val="center"/>
              <w:rPr>
                <w:rFonts w:hAnsi="宋体" w:cs="宋体"/>
                <w:bCs/>
                <w:color w:val="auto"/>
                <w:sz w:val="24"/>
                <w:highlight w:val="none"/>
              </w:rPr>
            </w:pPr>
            <w:r>
              <w:rPr>
                <w:rFonts w:hint="eastAsia" w:hAnsi="宋体" w:cs="宋体"/>
                <w:bCs/>
                <w:color w:val="auto"/>
                <w:sz w:val="24"/>
                <w:highlight w:val="none"/>
              </w:rPr>
              <w:t>技术类评审因素</w:t>
            </w:r>
          </w:p>
        </w:tc>
      </w:tr>
      <w:tr w14:paraId="5A498C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02" w:hRule="atLeast"/>
          <w:jc w:val="center"/>
        </w:trPr>
        <w:tc>
          <w:tcPr>
            <w:tcW w:w="811" w:type="dxa"/>
            <w:tcBorders>
              <w:top w:val="single" w:color="auto" w:sz="4" w:space="0"/>
              <w:left w:val="single" w:color="auto" w:sz="4" w:space="0"/>
              <w:bottom w:val="single" w:color="auto" w:sz="4" w:space="0"/>
              <w:right w:val="single" w:color="auto" w:sz="4" w:space="0"/>
            </w:tcBorders>
            <w:vAlign w:val="center"/>
          </w:tcPr>
          <w:p w14:paraId="64093ED4">
            <w:pPr>
              <w:shd w:val="clear"/>
              <w:spacing w:line="360" w:lineRule="auto"/>
              <w:jc w:val="center"/>
              <w:rPr>
                <w:rFonts w:hint="eastAsia" w:hAnsi="宋体" w:eastAsia="宋体" w:cs="宋体"/>
                <w:color w:val="auto"/>
                <w:sz w:val="24"/>
                <w:highlight w:val="none"/>
                <w:lang w:val="en-US" w:eastAsia="zh-CN"/>
              </w:rPr>
            </w:pPr>
            <w:r>
              <w:rPr>
                <w:rFonts w:hint="eastAsia" w:hAnsi="宋体" w:cs="宋体"/>
                <w:color w:val="auto"/>
                <w:sz w:val="24"/>
                <w:highlight w:val="none"/>
                <w:lang w:val="en-US" w:eastAsia="zh-CN"/>
              </w:rPr>
              <w:t>4</w:t>
            </w:r>
          </w:p>
        </w:tc>
        <w:tc>
          <w:tcPr>
            <w:tcW w:w="1350" w:type="dxa"/>
            <w:tcBorders>
              <w:top w:val="single" w:color="auto" w:sz="4" w:space="0"/>
              <w:left w:val="single" w:color="auto" w:sz="4" w:space="0"/>
              <w:bottom w:val="single" w:color="auto" w:sz="4" w:space="0"/>
              <w:right w:val="single" w:color="auto" w:sz="4" w:space="0"/>
            </w:tcBorders>
            <w:vAlign w:val="center"/>
          </w:tcPr>
          <w:p w14:paraId="2DE8E9D0">
            <w:pPr>
              <w:shd w:val="clear"/>
              <w:snapToGrid w:val="0"/>
              <w:spacing w:line="360" w:lineRule="auto"/>
              <w:jc w:val="center"/>
              <w:rPr>
                <w:rFonts w:hint="eastAsia" w:hAnsi="宋体" w:cs="宋体"/>
                <w:color w:val="auto"/>
                <w:sz w:val="24"/>
                <w:highlight w:val="none"/>
              </w:rPr>
            </w:pPr>
            <w:r>
              <w:rPr>
                <w:rFonts w:hint="eastAsia" w:hAnsi="宋体" w:cs="宋体"/>
                <w:color w:val="auto"/>
                <w:sz w:val="24"/>
                <w:highlight w:val="none"/>
              </w:rPr>
              <w:t>售后服务</w:t>
            </w:r>
            <w:r>
              <w:rPr>
                <w:rFonts w:hint="eastAsia" w:hAnsi="宋体" w:cs="宋体"/>
                <w:color w:val="auto"/>
                <w:sz w:val="24"/>
                <w:highlight w:val="none"/>
                <w:lang w:val="en-US" w:eastAsia="zh-CN"/>
              </w:rPr>
              <w:t>方案4</w:t>
            </w:r>
            <w:r>
              <w:rPr>
                <w:rFonts w:hint="eastAsia" w:hAnsi="宋体" w:cs="宋体"/>
                <w:color w:val="auto"/>
                <w:sz w:val="24"/>
                <w:highlight w:val="none"/>
              </w:rPr>
              <w:t>%</w:t>
            </w:r>
          </w:p>
        </w:tc>
        <w:tc>
          <w:tcPr>
            <w:tcW w:w="930" w:type="dxa"/>
            <w:tcBorders>
              <w:top w:val="single" w:color="auto" w:sz="4" w:space="0"/>
              <w:left w:val="single" w:color="auto" w:sz="4" w:space="0"/>
              <w:bottom w:val="single" w:color="auto" w:sz="4" w:space="0"/>
              <w:right w:val="single" w:color="auto" w:sz="4" w:space="0"/>
            </w:tcBorders>
            <w:vAlign w:val="center"/>
          </w:tcPr>
          <w:p w14:paraId="30FEF605">
            <w:pPr>
              <w:shd w:val="clear"/>
              <w:spacing w:line="360" w:lineRule="auto"/>
              <w:jc w:val="center"/>
              <w:rPr>
                <w:rFonts w:hint="default" w:hAnsi="宋体" w:eastAsia="宋体" w:cs="宋体"/>
                <w:color w:val="auto"/>
                <w:sz w:val="24"/>
                <w:highlight w:val="none"/>
                <w:lang w:val="en-US" w:eastAsia="zh-CN"/>
              </w:rPr>
            </w:pPr>
            <w:r>
              <w:rPr>
                <w:rFonts w:hint="eastAsia" w:hAnsi="宋体" w:cs="宋体"/>
                <w:color w:val="auto"/>
                <w:sz w:val="24"/>
                <w:highlight w:val="none"/>
                <w:lang w:val="en-US" w:eastAsia="zh-CN"/>
              </w:rPr>
              <w:t>4分</w:t>
            </w:r>
          </w:p>
        </w:tc>
        <w:tc>
          <w:tcPr>
            <w:tcW w:w="5543" w:type="dxa"/>
            <w:tcBorders>
              <w:top w:val="single" w:color="auto" w:sz="4" w:space="0"/>
              <w:left w:val="single" w:color="auto" w:sz="4" w:space="0"/>
              <w:bottom w:val="single" w:color="auto" w:sz="4" w:space="0"/>
              <w:right w:val="single" w:color="auto" w:sz="4" w:space="0"/>
            </w:tcBorders>
            <w:vAlign w:val="center"/>
          </w:tcPr>
          <w:p w14:paraId="79063386">
            <w:pPr>
              <w:keepNext w:val="0"/>
              <w:keepLines w:val="0"/>
              <w:pageBreakBefore w:val="0"/>
              <w:widowControl w:val="0"/>
              <w:shd w:val="clear"/>
              <w:kinsoku/>
              <w:wordWrap/>
              <w:overflowPunct/>
              <w:topLinePunct w:val="0"/>
              <w:autoSpaceDE/>
              <w:autoSpaceDN/>
              <w:bidi w:val="0"/>
              <w:adjustRightInd/>
              <w:snapToGrid/>
              <w:spacing w:line="440" w:lineRule="exact"/>
              <w:textAlignment w:val="auto"/>
              <w:rPr>
                <w:rFonts w:ascii="宋体" w:hAnsi="宋体" w:eastAsia="宋体" w:cs="宋体"/>
                <w:color w:val="auto"/>
                <w:sz w:val="24"/>
                <w:highlight w:val="none"/>
              </w:rPr>
            </w:pPr>
            <w:r>
              <w:rPr>
                <w:rFonts w:hint="eastAsia" w:hAnsi="宋体" w:cs="宋体"/>
                <w:color w:val="auto"/>
                <w:sz w:val="24"/>
                <w:highlight w:val="none"/>
                <w:lang w:val="en-US" w:eastAsia="zh-CN"/>
              </w:rPr>
              <w:t>根据</w:t>
            </w:r>
            <w:r>
              <w:rPr>
                <w:rFonts w:hint="eastAsia" w:ascii="宋体" w:hAnsi="宋体" w:eastAsia="宋体" w:cs="宋体"/>
                <w:color w:val="auto"/>
                <w:sz w:val="24"/>
                <w:highlight w:val="none"/>
              </w:rPr>
              <w:t>投标人提供的本项目</w:t>
            </w:r>
            <w:r>
              <w:rPr>
                <w:rFonts w:hint="eastAsia" w:ascii="宋体" w:hAnsi="宋体" w:eastAsia="宋体" w:cs="宋体"/>
                <w:color w:val="auto"/>
                <w:sz w:val="24"/>
                <w:highlight w:val="none"/>
                <w:lang w:eastAsia="zh-CN"/>
              </w:rPr>
              <w:t>《</w:t>
            </w:r>
            <w:r>
              <w:rPr>
                <w:rFonts w:hint="eastAsia" w:ascii="宋体" w:hAnsi="宋体" w:eastAsia="宋体" w:cs="宋体"/>
                <w:color w:val="auto"/>
                <w:sz w:val="24"/>
                <w:highlight w:val="none"/>
                <w:lang w:val="en-US" w:eastAsia="zh-CN"/>
              </w:rPr>
              <w:t>售后服务</w:t>
            </w:r>
            <w:r>
              <w:rPr>
                <w:rFonts w:hint="eastAsia" w:ascii="宋体" w:hAnsi="宋体" w:eastAsia="宋体" w:cs="宋体"/>
                <w:color w:val="auto"/>
                <w:sz w:val="24"/>
                <w:highlight w:val="none"/>
              </w:rPr>
              <w:t>方案</w:t>
            </w:r>
            <w:r>
              <w:rPr>
                <w:rFonts w:hint="eastAsia" w:ascii="宋体" w:hAnsi="宋体" w:eastAsia="宋体" w:cs="宋体"/>
                <w:color w:val="auto"/>
                <w:sz w:val="24"/>
                <w:highlight w:val="none"/>
                <w:lang w:eastAsia="zh-CN"/>
              </w:rPr>
              <w:t>》</w:t>
            </w:r>
            <w:r>
              <w:rPr>
                <w:rFonts w:hint="eastAsia" w:ascii="宋体" w:hAnsi="宋体" w:eastAsia="宋体" w:cs="宋体"/>
                <w:color w:val="auto"/>
                <w:sz w:val="24"/>
                <w:highlight w:val="none"/>
              </w:rPr>
              <w:t>进行综合评审，</w:t>
            </w:r>
            <w:r>
              <w:rPr>
                <w:rFonts w:hint="eastAsia" w:hAnsi="宋体" w:cs="宋体"/>
                <w:color w:val="auto"/>
                <w:sz w:val="24"/>
                <w:highlight w:val="none"/>
                <w:lang w:val="en-US" w:eastAsia="zh-CN"/>
              </w:rPr>
              <w:t>内容</w:t>
            </w:r>
            <w:r>
              <w:rPr>
                <w:rFonts w:hint="eastAsia" w:ascii="宋体" w:hAnsi="宋体" w:eastAsia="宋体" w:cs="宋体"/>
                <w:color w:val="auto"/>
                <w:sz w:val="24"/>
                <w:highlight w:val="none"/>
              </w:rPr>
              <w:t>应包括</w:t>
            </w:r>
            <w:r>
              <w:rPr>
                <w:rFonts w:hint="eastAsia" w:hAnsi="宋体" w:cs="宋体"/>
                <w:color w:val="auto"/>
                <w:sz w:val="24"/>
                <w:highlight w:val="none"/>
                <w:lang w:eastAsia="zh-CN"/>
              </w:rPr>
              <w:t>：</w:t>
            </w:r>
            <w:r>
              <w:rPr>
                <w:rFonts w:hint="eastAsia" w:ascii="宋体" w:hAnsi="宋体" w:cs="宋体"/>
                <w:color w:val="auto"/>
                <w:kern w:val="0"/>
                <w:sz w:val="24"/>
                <w:highlight w:val="none"/>
              </w:rPr>
              <w:t>①售后服务流程；②现场</w:t>
            </w:r>
            <w:r>
              <w:rPr>
                <w:rFonts w:hint="eastAsia" w:ascii="宋体" w:hAnsi="宋体" w:cs="宋体"/>
                <w:color w:val="auto"/>
                <w:kern w:val="0"/>
                <w:sz w:val="24"/>
                <w:highlight w:val="none"/>
                <w:lang w:val="en-US" w:eastAsia="zh-CN"/>
              </w:rPr>
              <w:t>质保</w:t>
            </w:r>
            <w:r>
              <w:rPr>
                <w:rFonts w:hint="eastAsia" w:ascii="宋体" w:hAnsi="宋体" w:cs="宋体"/>
                <w:color w:val="auto"/>
                <w:kern w:val="0"/>
                <w:sz w:val="24"/>
                <w:highlight w:val="none"/>
              </w:rPr>
              <w:t>服务支持能力</w:t>
            </w:r>
            <w:r>
              <w:rPr>
                <w:rFonts w:hint="eastAsia" w:ascii="宋体" w:hAnsi="宋体" w:cs="宋体"/>
                <w:color w:val="auto"/>
                <w:kern w:val="0"/>
                <w:sz w:val="24"/>
                <w:highlight w:val="none"/>
                <w:lang w:val="en-US" w:eastAsia="zh-CN"/>
              </w:rPr>
              <w:t>保障措施；③质保</w:t>
            </w:r>
            <w:r>
              <w:rPr>
                <w:rFonts w:hint="eastAsia" w:ascii="宋体" w:hAnsi="宋体" w:cs="宋体"/>
                <w:color w:val="auto"/>
                <w:kern w:val="0"/>
                <w:sz w:val="24"/>
                <w:highlight w:val="none"/>
              </w:rPr>
              <w:t>备品备件</w:t>
            </w:r>
            <w:r>
              <w:rPr>
                <w:rFonts w:hint="eastAsia" w:ascii="宋体" w:hAnsi="宋体" w:cs="宋体"/>
                <w:color w:val="auto"/>
                <w:kern w:val="0"/>
                <w:sz w:val="24"/>
                <w:highlight w:val="none"/>
                <w:lang w:val="en-US" w:eastAsia="zh-CN"/>
              </w:rPr>
              <w:t>供给</w:t>
            </w:r>
            <w:r>
              <w:rPr>
                <w:rFonts w:hint="eastAsia" w:ascii="宋体" w:hAnsi="宋体" w:cs="宋体"/>
                <w:color w:val="auto"/>
                <w:kern w:val="0"/>
                <w:sz w:val="24"/>
                <w:highlight w:val="none"/>
              </w:rPr>
              <w:t>方案；</w:t>
            </w:r>
            <w:r>
              <w:rPr>
                <w:rFonts w:hint="eastAsia" w:ascii="宋体" w:hAnsi="宋体" w:cs="宋体"/>
                <w:color w:val="auto"/>
                <w:kern w:val="0"/>
                <w:sz w:val="24"/>
                <w:highlight w:val="none"/>
                <w:lang w:val="en-US" w:eastAsia="zh-CN"/>
              </w:rPr>
              <w:t>④售后服务</w:t>
            </w:r>
            <w:r>
              <w:rPr>
                <w:rFonts w:hint="eastAsia" w:ascii="宋体" w:hAnsi="宋体" w:cs="宋体"/>
                <w:color w:val="auto"/>
                <w:kern w:val="0"/>
                <w:sz w:val="24"/>
                <w:highlight w:val="none"/>
              </w:rPr>
              <w:t>质量保障范围</w:t>
            </w:r>
            <w:r>
              <w:rPr>
                <w:rFonts w:hint="eastAsia" w:ascii="宋体" w:hAnsi="宋体" w:cs="宋体"/>
                <w:color w:val="auto"/>
                <w:kern w:val="0"/>
                <w:sz w:val="24"/>
                <w:highlight w:val="none"/>
                <w:lang w:val="en-US" w:eastAsia="zh-CN"/>
              </w:rPr>
              <w:t>与措施</w:t>
            </w:r>
            <w:r>
              <w:rPr>
                <w:rFonts w:hint="eastAsia" w:ascii="宋体" w:hAnsi="宋体" w:cs="宋体"/>
                <w:color w:val="auto"/>
                <w:kern w:val="0"/>
                <w:sz w:val="24"/>
                <w:highlight w:val="none"/>
                <w:lang w:eastAsia="zh-CN"/>
              </w:rPr>
              <w:t>。</w:t>
            </w:r>
            <w:r>
              <w:rPr>
                <w:rFonts w:hint="eastAsia" w:ascii="宋体" w:hAnsi="宋体" w:cs="宋体"/>
                <w:color w:val="auto"/>
                <w:sz w:val="24"/>
                <w:highlight w:val="none"/>
              </w:rPr>
              <w:t>涵盖以上</w:t>
            </w:r>
            <w:r>
              <w:rPr>
                <w:rFonts w:hint="eastAsia" w:ascii="宋体" w:hAnsi="宋体" w:cs="宋体"/>
                <w:color w:val="auto"/>
                <w:sz w:val="24"/>
                <w:highlight w:val="none"/>
                <w:lang w:val="en-US" w:eastAsia="zh-CN"/>
              </w:rPr>
              <w:t>4</w:t>
            </w:r>
            <w:r>
              <w:rPr>
                <w:rFonts w:hint="eastAsia" w:ascii="宋体" w:hAnsi="宋体" w:cs="宋体"/>
                <w:color w:val="auto"/>
                <w:sz w:val="24"/>
                <w:highlight w:val="none"/>
              </w:rPr>
              <w:t>项内容且不存在</w:t>
            </w:r>
            <w:r>
              <w:rPr>
                <w:rFonts w:hint="eastAsia" w:ascii="宋体" w:hAnsi="宋体" w:eastAsia="宋体" w:cs="宋体"/>
                <w:b w:val="0"/>
                <w:bCs w:val="0"/>
                <w:color w:val="auto"/>
                <w:kern w:val="0"/>
                <w:sz w:val="24"/>
                <w:szCs w:val="24"/>
                <w:highlight w:val="none"/>
                <w:lang w:val="en-US" w:eastAsia="zh-CN"/>
              </w:rPr>
              <w:t>缺项或漏项</w:t>
            </w:r>
            <w:r>
              <w:rPr>
                <w:rFonts w:hint="eastAsia" w:ascii="宋体" w:hAnsi="宋体" w:cs="宋体"/>
                <w:color w:val="auto"/>
                <w:sz w:val="24"/>
                <w:highlight w:val="none"/>
              </w:rPr>
              <w:t>得</w:t>
            </w:r>
            <w:r>
              <w:rPr>
                <w:rFonts w:hint="eastAsia" w:hAnsi="宋体" w:cs="宋体"/>
                <w:color w:val="auto"/>
                <w:sz w:val="24"/>
                <w:highlight w:val="none"/>
                <w:lang w:val="en-US" w:eastAsia="zh-CN"/>
              </w:rPr>
              <w:t>4</w:t>
            </w:r>
            <w:r>
              <w:rPr>
                <w:rFonts w:hint="eastAsia" w:ascii="宋体" w:hAnsi="宋体" w:cs="宋体"/>
                <w:color w:val="auto"/>
                <w:sz w:val="24"/>
                <w:highlight w:val="none"/>
              </w:rPr>
              <w:t>分，</w:t>
            </w:r>
            <w:r>
              <w:rPr>
                <w:rFonts w:hint="eastAsia" w:ascii="宋体" w:hAnsi="宋体" w:eastAsia="宋体" w:cs="宋体"/>
                <w:b w:val="0"/>
                <w:bCs w:val="0"/>
                <w:color w:val="auto"/>
                <w:kern w:val="0"/>
                <w:sz w:val="24"/>
                <w:szCs w:val="24"/>
                <w:highlight w:val="none"/>
                <w:lang w:val="en-US" w:eastAsia="zh-CN"/>
              </w:rPr>
              <w:t>每有一项单项内容缺项或漏项的扣</w:t>
            </w:r>
            <w:r>
              <w:rPr>
                <w:rFonts w:hint="eastAsia" w:hAnsi="宋体" w:cs="宋体"/>
                <w:b w:val="0"/>
                <w:bCs w:val="0"/>
                <w:color w:val="auto"/>
                <w:kern w:val="0"/>
                <w:sz w:val="24"/>
                <w:szCs w:val="24"/>
                <w:highlight w:val="none"/>
                <w:lang w:val="en-US" w:eastAsia="zh-CN"/>
              </w:rPr>
              <w:t>1</w:t>
            </w:r>
            <w:r>
              <w:rPr>
                <w:rFonts w:hint="eastAsia" w:ascii="宋体" w:hAnsi="宋体" w:eastAsia="宋体" w:cs="宋体"/>
                <w:b w:val="0"/>
                <w:bCs w:val="0"/>
                <w:color w:val="auto"/>
                <w:kern w:val="0"/>
                <w:sz w:val="24"/>
                <w:szCs w:val="24"/>
                <w:highlight w:val="none"/>
                <w:lang w:val="en-US" w:eastAsia="zh-CN"/>
              </w:rPr>
              <w:t>分，扣完为止。上述</w:t>
            </w:r>
            <w:r>
              <w:rPr>
                <w:rFonts w:hint="eastAsia" w:hAnsi="宋体" w:cs="宋体"/>
                <w:b w:val="0"/>
                <w:bCs w:val="0"/>
                <w:color w:val="auto"/>
                <w:kern w:val="0"/>
                <w:sz w:val="24"/>
                <w:szCs w:val="24"/>
                <w:highlight w:val="none"/>
                <w:lang w:val="en-US" w:eastAsia="zh-CN"/>
              </w:rPr>
              <w:t>4</w:t>
            </w:r>
            <w:r>
              <w:rPr>
                <w:rFonts w:hint="eastAsia" w:ascii="宋体" w:hAnsi="宋体" w:eastAsia="宋体" w:cs="宋体"/>
                <w:b w:val="0"/>
                <w:bCs w:val="0"/>
                <w:color w:val="auto"/>
                <w:kern w:val="0"/>
                <w:sz w:val="24"/>
                <w:szCs w:val="24"/>
                <w:highlight w:val="none"/>
                <w:lang w:val="en-US" w:eastAsia="zh-CN"/>
              </w:rPr>
              <w:t>个单项内容存在不足或缺陷的，每个单项内容对应分值扣0.5分（单项内容扣减分值不超过</w:t>
            </w:r>
            <w:r>
              <w:rPr>
                <w:rFonts w:hint="eastAsia" w:hAnsi="宋体" w:cs="宋体"/>
                <w:b w:val="0"/>
                <w:bCs w:val="0"/>
                <w:color w:val="auto"/>
                <w:kern w:val="0"/>
                <w:sz w:val="24"/>
                <w:szCs w:val="24"/>
                <w:highlight w:val="none"/>
                <w:lang w:val="en-US" w:eastAsia="zh-CN"/>
              </w:rPr>
              <w:t>1</w:t>
            </w:r>
            <w:r>
              <w:rPr>
                <w:rFonts w:hint="eastAsia" w:ascii="宋体" w:hAnsi="宋体" w:eastAsia="宋体" w:cs="宋体"/>
                <w:b w:val="0"/>
                <w:bCs w:val="0"/>
                <w:color w:val="auto"/>
                <w:kern w:val="0"/>
                <w:sz w:val="24"/>
                <w:szCs w:val="24"/>
                <w:highlight w:val="none"/>
                <w:lang w:val="en-US" w:eastAsia="zh-CN"/>
              </w:rPr>
              <w:t>分），扣完为止。</w:t>
            </w:r>
          </w:p>
          <w:p w14:paraId="71B922C4">
            <w:pPr>
              <w:shd w:val="clear"/>
              <w:snapToGrid w:val="0"/>
              <w:spacing w:line="400" w:lineRule="exact"/>
              <w:ind w:firstLine="480"/>
              <w:jc w:val="left"/>
              <w:rPr>
                <w:rFonts w:hint="eastAsia" w:hAnsi="宋体" w:cs="宋体"/>
                <w:color w:val="auto"/>
                <w:sz w:val="24"/>
                <w:highlight w:val="none"/>
              </w:rPr>
            </w:pPr>
            <w:r>
              <w:rPr>
                <w:rFonts w:hint="eastAsia" w:ascii="宋体" w:hAnsi="宋体" w:eastAsia="宋体" w:cs="宋体"/>
                <w:b w:val="0"/>
                <w:bCs w:val="0"/>
                <w:color w:val="auto"/>
                <w:kern w:val="0"/>
                <w:sz w:val="24"/>
                <w:szCs w:val="24"/>
                <w:highlight w:val="none"/>
                <w:lang w:val="en-US" w:eastAsia="zh-CN"/>
              </w:rPr>
              <w:t>注：1、内容满足需求是指：①内容与项目服务需求吻合、层次细化，有具体详细的阐述；②阐述能够切合项目背景、项目需求，并提出专业技术建议或者解决方案；③内容符合国家、地方、行业标准、行业惯例以及项目特点。2、“不足”具体是指：对应单项内容缺失（不完整）、对应单项内容的要求缺少重要节点（如仅有框架或标题、单项内容仅有复制采购人需求内容的要求、涉及内容无重点。3、“缺陷”具体是指：单项内容中出现内容脱离了实际情况不具备实施的可能性、套用其他项目方案或内容、存在与本项目无关的文字内容、内容中出现前后描述不一致现象、引用科学原理错误、文字表述错误、实施地点区域错误的任意一种情形。</w:t>
            </w:r>
          </w:p>
        </w:tc>
        <w:tc>
          <w:tcPr>
            <w:tcW w:w="1177" w:type="dxa"/>
            <w:tcBorders>
              <w:top w:val="single" w:color="auto" w:sz="4" w:space="0"/>
              <w:left w:val="single" w:color="auto" w:sz="4" w:space="0"/>
              <w:bottom w:val="single" w:color="auto" w:sz="4" w:space="0"/>
              <w:right w:val="single" w:color="auto" w:sz="4" w:space="0"/>
            </w:tcBorders>
            <w:vAlign w:val="center"/>
          </w:tcPr>
          <w:p w14:paraId="6703AD2B">
            <w:pPr>
              <w:shd w:val="clear"/>
              <w:snapToGrid w:val="0"/>
              <w:spacing w:line="360" w:lineRule="auto"/>
              <w:jc w:val="center"/>
              <w:rPr>
                <w:rFonts w:hint="eastAsia" w:hAnsi="宋体" w:cs="宋体"/>
                <w:bCs/>
                <w:color w:val="auto"/>
                <w:sz w:val="24"/>
                <w:highlight w:val="none"/>
              </w:rPr>
            </w:pPr>
          </w:p>
        </w:tc>
      </w:tr>
      <w:tr w14:paraId="1BF373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02" w:hRule="atLeast"/>
          <w:jc w:val="center"/>
        </w:trPr>
        <w:tc>
          <w:tcPr>
            <w:tcW w:w="811" w:type="dxa"/>
            <w:tcBorders>
              <w:top w:val="single" w:color="auto" w:sz="4" w:space="0"/>
              <w:left w:val="single" w:color="auto" w:sz="4" w:space="0"/>
              <w:bottom w:val="single" w:color="auto" w:sz="4" w:space="0"/>
              <w:right w:val="single" w:color="auto" w:sz="4" w:space="0"/>
            </w:tcBorders>
            <w:vAlign w:val="center"/>
          </w:tcPr>
          <w:p w14:paraId="048C5565">
            <w:pPr>
              <w:shd w:val="clear"/>
              <w:spacing w:line="360" w:lineRule="auto"/>
              <w:jc w:val="center"/>
              <w:rPr>
                <w:rFonts w:hint="eastAsia" w:hAnsi="宋体" w:eastAsia="宋体" w:cs="宋体"/>
                <w:color w:val="auto"/>
                <w:sz w:val="24"/>
                <w:highlight w:val="none"/>
                <w:lang w:val="en-US" w:eastAsia="zh-CN"/>
              </w:rPr>
            </w:pPr>
            <w:r>
              <w:rPr>
                <w:rFonts w:hint="eastAsia" w:hAnsi="宋体" w:cs="宋体"/>
                <w:color w:val="auto"/>
                <w:sz w:val="24"/>
                <w:highlight w:val="none"/>
                <w:lang w:val="en-US" w:eastAsia="zh-CN"/>
              </w:rPr>
              <w:t>5</w:t>
            </w:r>
          </w:p>
        </w:tc>
        <w:tc>
          <w:tcPr>
            <w:tcW w:w="1350" w:type="dxa"/>
            <w:tcBorders>
              <w:top w:val="single" w:color="auto" w:sz="4" w:space="0"/>
              <w:left w:val="single" w:color="auto" w:sz="4" w:space="0"/>
              <w:bottom w:val="single" w:color="auto" w:sz="4" w:space="0"/>
              <w:right w:val="single" w:color="auto" w:sz="4" w:space="0"/>
            </w:tcBorders>
            <w:vAlign w:val="center"/>
          </w:tcPr>
          <w:p w14:paraId="4A75B7BC">
            <w:pPr>
              <w:shd w:val="clear"/>
              <w:spacing w:line="360" w:lineRule="auto"/>
              <w:jc w:val="center"/>
              <w:rPr>
                <w:rFonts w:hint="default" w:hAnsi="宋体" w:eastAsia="宋体" w:cs="宋体"/>
                <w:color w:val="auto"/>
                <w:sz w:val="24"/>
                <w:highlight w:val="none"/>
                <w:lang w:val="en-US" w:eastAsia="zh-CN"/>
              </w:rPr>
            </w:pPr>
            <w:r>
              <w:rPr>
                <w:rFonts w:hint="eastAsia" w:hAnsi="宋体" w:cs="宋体"/>
                <w:color w:val="auto"/>
                <w:sz w:val="24"/>
                <w:highlight w:val="none"/>
                <w:lang w:val="en-US" w:eastAsia="zh-CN"/>
              </w:rPr>
              <w:t>培训方案2%</w:t>
            </w:r>
          </w:p>
        </w:tc>
        <w:tc>
          <w:tcPr>
            <w:tcW w:w="930" w:type="dxa"/>
            <w:tcBorders>
              <w:top w:val="single" w:color="auto" w:sz="4" w:space="0"/>
              <w:left w:val="single" w:color="auto" w:sz="4" w:space="0"/>
              <w:bottom w:val="single" w:color="auto" w:sz="4" w:space="0"/>
              <w:right w:val="single" w:color="auto" w:sz="4" w:space="0"/>
            </w:tcBorders>
            <w:vAlign w:val="center"/>
          </w:tcPr>
          <w:p w14:paraId="1370AE86">
            <w:pPr>
              <w:shd w:val="clear"/>
              <w:spacing w:line="360" w:lineRule="auto"/>
              <w:jc w:val="center"/>
              <w:rPr>
                <w:rFonts w:hint="default" w:hAnsi="宋体" w:eastAsia="宋体" w:cs="宋体"/>
                <w:color w:val="auto"/>
                <w:sz w:val="24"/>
                <w:highlight w:val="none"/>
                <w:lang w:val="en-US" w:eastAsia="zh-CN"/>
              </w:rPr>
            </w:pPr>
            <w:r>
              <w:rPr>
                <w:rFonts w:hint="eastAsia" w:hAnsi="宋体" w:cs="宋体"/>
                <w:color w:val="auto"/>
                <w:sz w:val="24"/>
                <w:highlight w:val="none"/>
                <w:lang w:val="en-US" w:eastAsia="zh-CN"/>
              </w:rPr>
              <w:t>2分</w:t>
            </w:r>
          </w:p>
        </w:tc>
        <w:tc>
          <w:tcPr>
            <w:tcW w:w="5543" w:type="dxa"/>
            <w:tcBorders>
              <w:top w:val="single" w:color="auto" w:sz="4" w:space="0"/>
              <w:left w:val="single" w:color="auto" w:sz="4" w:space="0"/>
              <w:bottom w:val="single" w:color="auto" w:sz="4" w:space="0"/>
              <w:right w:val="single" w:color="auto" w:sz="4" w:space="0"/>
            </w:tcBorders>
            <w:vAlign w:val="center"/>
          </w:tcPr>
          <w:p w14:paraId="0D07EEA8">
            <w:pPr>
              <w:keepNext w:val="0"/>
              <w:keepLines w:val="0"/>
              <w:pageBreakBefore w:val="0"/>
              <w:widowControl w:val="0"/>
              <w:shd w:val="clear"/>
              <w:kinsoku/>
              <w:wordWrap/>
              <w:overflowPunct/>
              <w:topLinePunct w:val="0"/>
              <w:autoSpaceDE/>
              <w:autoSpaceDN/>
              <w:bidi w:val="0"/>
              <w:adjustRightInd/>
              <w:snapToGrid/>
              <w:spacing w:line="440" w:lineRule="exact"/>
              <w:textAlignment w:val="auto"/>
              <w:rPr>
                <w:rFonts w:hint="eastAsia" w:ascii="宋体" w:hAnsi="宋体" w:eastAsia="宋体" w:cs="宋体"/>
                <w:b w:val="0"/>
                <w:bCs w:val="0"/>
                <w:color w:val="auto"/>
                <w:kern w:val="0"/>
                <w:sz w:val="24"/>
                <w:szCs w:val="24"/>
                <w:highlight w:val="none"/>
                <w:lang w:val="en-US" w:eastAsia="zh-CN"/>
              </w:rPr>
            </w:pPr>
            <w:r>
              <w:rPr>
                <w:rFonts w:hint="eastAsia" w:hAnsi="宋体" w:cs="宋体"/>
                <w:color w:val="auto"/>
                <w:sz w:val="24"/>
                <w:highlight w:val="none"/>
                <w:lang w:val="en-US" w:eastAsia="zh-CN"/>
              </w:rPr>
              <w:t>根据</w:t>
            </w:r>
            <w:r>
              <w:rPr>
                <w:rFonts w:hint="eastAsia" w:ascii="宋体" w:hAnsi="宋体" w:eastAsia="宋体" w:cs="宋体"/>
                <w:color w:val="auto"/>
                <w:sz w:val="24"/>
                <w:highlight w:val="none"/>
              </w:rPr>
              <w:t>投标人提供的本项目</w:t>
            </w:r>
            <w:r>
              <w:rPr>
                <w:rFonts w:hint="eastAsia" w:ascii="宋体" w:hAnsi="宋体" w:eastAsia="宋体" w:cs="宋体"/>
                <w:color w:val="auto"/>
                <w:sz w:val="24"/>
                <w:highlight w:val="none"/>
                <w:lang w:eastAsia="zh-CN"/>
              </w:rPr>
              <w:t>《</w:t>
            </w:r>
            <w:r>
              <w:rPr>
                <w:rFonts w:hint="eastAsia" w:ascii="宋体" w:hAnsi="宋体" w:eastAsia="宋体" w:cs="宋体"/>
                <w:color w:val="auto"/>
                <w:sz w:val="24"/>
                <w:highlight w:val="none"/>
                <w:lang w:val="en-US" w:eastAsia="zh-CN"/>
              </w:rPr>
              <w:t>培训</w:t>
            </w:r>
            <w:r>
              <w:rPr>
                <w:rFonts w:hint="eastAsia" w:ascii="宋体" w:hAnsi="宋体" w:eastAsia="宋体" w:cs="宋体"/>
                <w:color w:val="auto"/>
                <w:sz w:val="24"/>
                <w:highlight w:val="none"/>
              </w:rPr>
              <w:t>方案</w:t>
            </w:r>
            <w:r>
              <w:rPr>
                <w:rFonts w:hint="eastAsia" w:ascii="宋体" w:hAnsi="宋体" w:eastAsia="宋体" w:cs="宋体"/>
                <w:color w:val="auto"/>
                <w:sz w:val="24"/>
                <w:highlight w:val="none"/>
                <w:lang w:eastAsia="zh-CN"/>
              </w:rPr>
              <w:t>》</w:t>
            </w:r>
            <w:r>
              <w:rPr>
                <w:rFonts w:hint="eastAsia" w:ascii="宋体" w:hAnsi="宋体" w:eastAsia="宋体" w:cs="宋体"/>
                <w:color w:val="auto"/>
                <w:sz w:val="24"/>
                <w:highlight w:val="none"/>
              </w:rPr>
              <w:t>进行综合评审，</w:t>
            </w:r>
            <w:r>
              <w:rPr>
                <w:rFonts w:hint="eastAsia" w:hAnsi="宋体" w:cs="宋体"/>
                <w:color w:val="auto"/>
                <w:sz w:val="24"/>
                <w:highlight w:val="none"/>
                <w:lang w:val="en-US" w:eastAsia="zh-CN"/>
              </w:rPr>
              <w:t>内容</w:t>
            </w:r>
            <w:r>
              <w:rPr>
                <w:rFonts w:hint="eastAsia" w:ascii="宋体" w:hAnsi="宋体" w:eastAsia="宋体" w:cs="宋体"/>
                <w:color w:val="auto"/>
                <w:sz w:val="24"/>
                <w:highlight w:val="none"/>
              </w:rPr>
              <w:t>应包括</w:t>
            </w:r>
            <w:r>
              <w:rPr>
                <w:rFonts w:hint="eastAsia" w:hAnsi="宋体" w:cs="宋体"/>
                <w:color w:val="auto"/>
                <w:sz w:val="24"/>
                <w:highlight w:val="none"/>
                <w:lang w:eastAsia="zh-CN"/>
              </w:rPr>
              <w:t>：</w:t>
            </w:r>
            <w:r>
              <w:rPr>
                <w:rFonts w:hint="eastAsia" w:hAnsi="宋体" w:cs="宋体"/>
                <w:color w:val="auto"/>
                <w:sz w:val="24"/>
                <w:highlight w:val="none"/>
                <w:lang w:val="en-US" w:eastAsia="zh-CN"/>
              </w:rPr>
              <w:t>①</w:t>
            </w:r>
            <w:r>
              <w:rPr>
                <w:rFonts w:hint="eastAsia" w:ascii="宋体" w:hAnsi="宋体" w:eastAsia="宋体" w:cs="宋体"/>
                <w:color w:val="auto"/>
                <w:sz w:val="24"/>
                <w:highlight w:val="none"/>
              </w:rPr>
              <w:t>培训时间</w:t>
            </w:r>
            <w:r>
              <w:rPr>
                <w:rFonts w:hint="eastAsia" w:ascii="宋体" w:hAnsi="宋体" w:eastAsia="宋体" w:cs="宋体"/>
                <w:color w:val="auto"/>
                <w:sz w:val="24"/>
                <w:highlight w:val="none"/>
                <w:lang w:val="en-US" w:eastAsia="zh-CN"/>
              </w:rPr>
              <w:t>与</w:t>
            </w:r>
            <w:r>
              <w:rPr>
                <w:rFonts w:hint="eastAsia" w:ascii="宋体" w:hAnsi="宋体" w:eastAsia="宋体" w:cs="宋体"/>
                <w:color w:val="auto"/>
                <w:sz w:val="24"/>
                <w:highlight w:val="none"/>
              </w:rPr>
              <w:t>培训内容</w:t>
            </w:r>
            <w:r>
              <w:rPr>
                <w:rFonts w:hint="eastAsia" w:ascii="宋体" w:hAnsi="宋体" w:eastAsia="宋体" w:cs="宋体"/>
                <w:color w:val="auto"/>
                <w:sz w:val="24"/>
                <w:highlight w:val="none"/>
                <w:lang w:eastAsia="zh-CN"/>
              </w:rPr>
              <w:t>；</w:t>
            </w:r>
            <w:r>
              <w:rPr>
                <w:rFonts w:hint="eastAsia" w:ascii="宋体" w:hAnsi="宋体" w:eastAsia="宋体" w:cs="宋体"/>
                <w:color w:val="auto"/>
                <w:sz w:val="24"/>
                <w:highlight w:val="none"/>
                <w:lang w:val="en-US" w:eastAsia="zh-CN"/>
              </w:rPr>
              <w:t>②培训过程中的重难点剖析</w:t>
            </w:r>
            <w:r>
              <w:rPr>
                <w:rFonts w:hint="eastAsia" w:ascii="宋体" w:hAnsi="宋体" w:eastAsia="宋体" w:cs="宋体"/>
                <w:color w:val="auto"/>
                <w:sz w:val="24"/>
                <w:highlight w:val="none"/>
              </w:rPr>
              <w:t>。</w:t>
            </w:r>
            <w:r>
              <w:rPr>
                <w:rFonts w:hint="eastAsia" w:ascii="宋体" w:hAnsi="宋体" w:cs="宋体"/>
                <w:color w:val="auto"/>
                <w:sz w:val="24"/>
                <w:highlight w:val="none"/>
              </w:rPr>
              <w:t>涵盖以上</w:t>
            </w:r>
            <w:r>
              <w:rPr>
                <w:rFonts w:hint="eastAsia" w:ascii="宋体" w:hAnsi="宋体" w:cs="宋体"/>
                <w:color w:val="auto"/>
                <w:sz w:val="24"/>
                <w:highlight w:val="none"/>
                <w:lang w:val="en-US" w:eastAsia="zh-CN"/>
              </w:rPr>
              <w:t>2</w:t>
            </w:r>
            <w:r>
              <w:rPr>
                <w:rFonts w:hint="eastAsia" w:ascii="宋体" w:hAnsi="宋体" w:cs="宋体"/>
                <w:color w:val="auto"/>
                <w:sz w:val="24"/>
                <w:highlight w:val="none"/>
              </w:rPr>
              <w:t>项内容且不存在</w:t>
            </w:r>
            <w:r>
              <w:rPr>
                <w:rFonts w:hint="eastAsia" w:ascii="宋体" w:hAnsi="宋体" w:eastAsia="宋体" w:cs="宋体"/>
                <w:b w:val="0"/>
                <w:bCs w:val="0"/>
                <w:color w:val="auto"/>
                <w:kern w:val="0"/>
                <w:sz w:val="24"/>
                <w:szCs w:val="24"/>
                <w:highlight w:val="none"/>
                <w:lang w:val="en-US" w:eastAsia="zh-CN"/>
              </w:rPr>
              <w:t>缺项或漏项</w:t>
            </w:r>
            <w:r>
              <w:rPr>
                <w:rFonts w:hint="eastAsia" w:ascii="宋体" w:hAnsi="宋体" w:cs="宋体"/>
                <w:color w:val="auto"/>
                <w:sz w:val="24"/>
                <w:highlight w:val="none"/>
              </w:rPr>
              <w:t>得</w:t>
            </w:r>
            <w:r>
              <w:rPr>
                <w:rFonts w:hint="eastAsia" w:ascii="宋体" w:hAnsi="宋体" w:cs="宋体"/>
                <w:color w:val="auto"/>
                <w:sz w:val="24"/>
                <w:highlight w:val="none"/>
                <w:lang w:val="en-US" w:eastAsia="zh-CN"/>
              </w:rPr>
              <w:t>2</w:t>
            </w:r>
            <w:r>
              <w:rPr>
                <w:rFonts w:hint="eastAsia" w:ascii="宋体" w:hAnsi="宋体" w:cs="宋体"/>
                <w:color w:val="auto"/>
                <w:sz w:val="24"/>
                <w:highlight w:val="none"/>
              </w:rPr>
              <w:t>分，</w:t>
            </w:r>
            <w:r>
              <w:rPr>
                <w:rFonts w:hint="eastAsia" w:ascii="宋体" w:hAnsi="宋体" w:eastAsia="宋体" w:cs="宋体"/>
                <w:b w:val="0"/>
                <w:bCs w:val="0"/>
                <w:color w:val="auto"/>
                <w:kern w:val="0"/>
                <w:sz w:val="24"/>
                <w:szCs w:val="24"/>
                <w:highlight w:val="none"/>
                <w:lang w:val="en-US" w:eastAsia="zh-CN"/>
              </w:rPr>
              <w:t>每有一项单项内容缺项或漏项的扣1分，扣完为止。上述2个单项内容存在不足或缺陷的，每个单项内容对应分值扣0.5分（单项内容扣减分值不超过1分），扣完为止。</w:t>
            </w:r>
          </w:p>
          <w:p w14:paraId="2D83B0C5">
            <w:pPr>
              <w:shd w:val="clear"/>
              <w:snapToGrid w:val="0"/>
              <w:spacing w:line="400" w:lineRule="exact"/>
              <w:ind w:firstLine="480"/>
              <w:jc w:val="left"/>
              <w:rPr>
                <w:rFonts w:hint="eastAsia" w:hAnsi="宋体" w:cs="宋体"/>
                <w:color w:val="auto"/>
                <w:sz w:val="24"/>
                <w:highlight w:val="none"/>
              </w:rPr>
            </w:pPr>
            <w:r>
              <w:rPr>
                <w:rFonts w:hint="eastAsia" w:ascii="宋体" w:hAnsi="宋体" w:eastAsia="宋体" w:cs="宋体"/>
                <w:b w:val="0"/>
                <w:bCs w:val="0"/>
                <w:color w:val="auto"/>
                <w:kern w:val="0"/>
                <w:sz w:val="24"/>
                <w:szCs w:val="24"/>
                <w:highlight w:val="none"/>
                <w:lang w:val="en-US" w:eastAsia="zh-CN"/>
              </w:rPr>
              <w:t>注：1、内容满足需求是指：①内容与项目服务需求吻合、层次细化，有具体详细的阐述；②阐述能够切合项目背景、项目需求，并提出专业技术建议或者解决方案；③内容符合国家、地方、行业标准、行业惯例以及项目特点。2、“不足”具体是指：对应单项内容缺失（不完整）、对应单项内容的要求缺少重要节点（如仅有框架或标题、单项内容仅有复制采购人需求内容的要求、涉及内容无重点。3、“缺陷”具体是指：单项内容中出现内容脱离了实际情况不具备实施的可能性、套用其他项目方案或内容、存在与本项目无关的文字内容、内容中出现前后描述不一致现象、引用科学原理错误、文字表述错误、实施地点区域错误的任意一种情形。</w:t>
            </w:r>
          </w:p>
        </w:tc>
        <w:tc>
          <w:tcPr>
            <w:tcW w:w="1177" w:type="dxa"/>
            <w:tcBorders>
              <w:top w:val="single" w:color="auto" w:sz="4" w:space="0"/>
              <w:left w:val="single" w:color="auto" w:sz="4" w:space="0"/>
              <w:bottom w:val="single" w:color="auto" w:sz="4" w:space="0"/>
              <w:right w:val="single" w:color="auto" w:sz="4" w:space="0"/>
            </w:tcBorders>
            <w:vAlign w:val="center"/>
          </w:tcPr>
          <w:p w14:paraId="08D55142">
            <w:pPr>
              <w:shd w:val="clear"/>
              <w:snapToGrid w:val="0"/>
              <w:spacing w:line="360" w:lineRule="auto"/>
              <w:jc w:val="center"/>
              <w:rPr>
                <w:rFonts w:hint="eastAsia" w:hAnsi="宋体" w:cs="宋体"/>
                <w:bCs/>
                <w:color w:val="auto"/>
                <w:sz w:val="24"/>
                <w:highlight w:val="none"/>
              </w:rPr>
            </w:pPr>
          </w:p>
        </w:tc>
      </w:tr>
      <w:tr w14:paraId="4F8806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486" w:hRule="atLeast"/>
          <w:jc w:val="center"/>
        </w:trPr>
        <w:tc>
          <w:tcPr>
            <w:tcW w:w="811" w:type="dxa"/>
            <w:tcBorders>
              <w:top w:val="single" w:color="auto" w:sz="4" w:space="0"/>
              <w:left w:val="single" w:color="auto" w:sz="4" w:space="0"/>
              <w:bottom w:val="single" w:color="auto" w:sz="4" w:space="0"/>
              <w:right w:val="single" w:color="auto" w:sz="4" w:space="0"/>
            </w:tcBorders>
            <w:vAlign w:val="center"/>
          </w:tcPr>
          <w:p w14:paraId="7A3FBE3B">
            <w:pPr>
              <w:shd w:val="clear"/>
              <w:spacing w:line="360" w:lineRule="auto"/>
              <w:jc w:val="center"/>
              <w:rPr>
                <w:rFonts w:hint="eastAsia" w:hAnsi="宋体" w:eastAsia="宋体" w:cs="宋体"/>
                <w:color w:val="auto"/>
                <w:sz w:val="24"/>
                <w:highlight w:val="none"/>
                <w:lang w:eastAsia="zh-CN"/>
              </w:rPr>
            </w:pPr>
            <w:r>
              <w:rPr>
                <w:rFonts w:hint="eastAsia" w:hAnsi="宋体" w:cs="宋体"/>
                <w:color w:val="auto"/>
                <w:sz w:val="24"/>
                <w:highlight w:val="none"/>
                <w:lang w:val="en-US" w:eastAsia="zh-CN"/>
              </w:rPr>
              <w:t>6</w:t>
            </w:r>
          </w:p>
        </w:tc>
        <w:tc>
          <w:tcPr>
            <w:tcW w:w="1350" w:type="dxa"/>
            <w:tcBorders>
              <w:top w:val="single" w:color="auto" w:sz="4" w:space="0"/>
              <w:left w:val="single" w:color="auto" w:sz="4" w:space="0"/>
              <w:bottom w:val="single" w:color="auto" w:sz="4" w:space="0"/>
              <w:right w:val="single" w:color="auto" w:sz="4" w:space="0"/>
            </w:tcBorders>
            <w:vAlign w:val="center"/>
          </w:tcPr>
          <w:p w14:paraId="0A7DA0AD">
            <w:pPr>
              <w:shd w:val="clear"/>
              <w:spacing w:line="360" w:lineRule="auto"/>
              <w:jc w:val="center"/>
              <w:rPr>
                <w:rFonts w:hAnsi="宋体" w:cs="宋体"/>
                <w:color w:val="auto"/>
                <w:sz w:val="24"/>
                <w:highlight w:val="none"/>
              </w:rPr>
            </w:pPr>
            <w:r>
              <w:rPr>
                <w:rFonts w:hint="eastAsia" w:hAnsi="宋体" w:cs="宋体"/>
                <w:color w:val="auto"/>
                <w:sz w:val="24"/>
                <w:highlight w:val="none"/>
              </w:rPr>
              <w:t>履约能力</w:t>
            </w:r>
            <w:r>
              <w:rPr>
                <w:rFonts w:hint="eastAsia" w:hAnsi="宋体" w:cs="宋体"/>
                <w:color w:val="auto"/>
                <w:sz w:val="24"/>
                <w:highlight w:val="none"/>
                <w:lang w:val="en-US" w:eastAsia="zh-CN"/>
              </w:rPr>
              <w:t>2</w:t>
            </w:r>
            <w:r>
              <w:rPr>
                <w:rFonts w:hint="eastAsia" w:hAnsi="宋体" w:cs="宋体"/>
                <w:color w:val="auto"/>
                <w:sz w:val="24"/>
                <w:highlight w:val="none"/>
              </w:rPr>
              <w:t>%</w:t>
            </w:r>
          </w:p>
        </w:tc>
        <w:tc>
          <w:tcPr>
            <w:tcW w:w="930" w:type="dxa"/>
            <w:tcBorders>
              <w:top w:val="single" w:color="auto" w:sz="4" w:space="0"/>
              <w:left w:val="single" w:color="auto" w:sz="4" w:space="0"/>
              <w:bottom w:val="single" w:color="auto" w:sz="4" w:space="0"/>
              <w:right w:val="single" w:color="auto" w:sz="4" w:space="0"/>
            </w:tcBorders>
            <w:vAlign w:val="center"/>
          </w:tcPr>
          <w:p w14:paraId="271BD6F3">
            <w:pPr>
              <w:shd w:val="clear"/>
              <w:spacing w:line="360" w:lineRule="auto"/>
              <w:jc w:val="center"/>
              <w:rPr>
                <w:rFonts w:hAnsi="宋体" w:cs="宋体"/>
                <w:color w:val="auto"/>
                <w:sz w:val="24"/>
                <w:highlight w:val="none"/>
              </w:rPr>
            </w:pPr>
            <w:r>
              <w:rPr>
                <w:rFonts w:hint="eastAsia" w:hAnsi="宋体" w:cs="宋体"/>
                <w:color w:val="auto"/>
                <w:sz w:val="24"/>
                <w:highlight w:val="none"/>
                <w:lang w:val="en-US" w:eastAsia="zh-CN"/>
              </w:rPr>
              <w:t>2</w:t>
            </w:r>
            <w:r>
              <w:rPr>
                <w:rFonts w:hint="eastAsia" w:hAnsi="宋体" w:cs="宋体"/>
                <w:color w:val="auto"/>
                <w:sz w:val="24"/>
                <w:highlight w:val="none"/>
              </w:rPr>
              <w:t>分</w:t>
            </w:r>
          </w:p>
        </w:tc>
        <w:tc>
          <w:tcPr>
            <w:tcW w:w="5543" w:type="dxa"/>
            <w:tcBorders>
              <w:top w:val="single" w:color="auto" w:sz="4" w:space="0"/>
              <w:left w:val="single" w:color="auto" w:sz="4" w:space="0"/>
              <w:bottom w:val="single" w:color="auto" w:sz="4" w:space="0"/>
              <w:right w:val="single" w:color="auto" w:sz="4" w:space="0"/>
            </w:tcBorders>
            <w:vAlign w:val="center"/>
          </w:tcPr>
          <w:p w14:paraId="4DA733A9">
            <w:pPr>
              <w:keepNext w:val="0"/>
              <w:keepLines w:val="0"/>
              <w:pageBreakBefore w:val="0"/>
              <w:widowControl w:val="0"/>
              <w:numPr>
                <w:ilvl w:val="0"/>
                <w:numId w:val="0"/>
              </w:numPr>
              <w:shd w:val="clear"/>
              <w:kinsoku/>
              <w:wordWrap/>
              <w:overflowPunct/>
              <w:topLinePunct w:val="0"/>
              <w:autoSpaceDE/>
              <w:autoSpaceDN/>
              <w:bidi w:val="0"/>
              <w:adjustRightInd/>
              <w:spacing w:line="440" w:lineRule="exact"/>
              <w:textAlignment w:val="auto"/>
              <w:rPr>
                <w:rFonts w:ascii="宋体" w:hAnsi="宋体" w:cs="宋体"/>
                <w:color w:val="auto"/>
                <w:kern w:val="0"/>
                <w:sz w:val="24"/>
                <w:highlight w:val="none"/>
              </w:rPr>
            </w:pPr>
            <w:r>
              <w:rPr>
                <w:rFonts w:hint="eastAsia" w:ascii="宋体" w:hAnsi="宋体" w:cs="宋体"/>
                <w:color w:val="auto"/>
                <w:kern w:val="0"/>
                <w:sz w:val="24"/>
                <w:highlight w:val="none"/>
              </w:rPr>
              <w:t>投标人自</w:t>
            </w:r>
            <w:r>
              <w:rPr>
                <w:rFonts w:hint="default" w:ascii="Times New Roman" w:hAnsi="Times New Roman" w:cs="Times New Roman"/>
                <w:color w:val="auto"/>
                <w:kern w:val="0"/>
                <w:sz w:val="24"/>
                <w:highlight w:val="none"/>
              </w:rPr>
              <w:t>202</w:t>
            </w:r>
            <w:r>
              <w:rPr>
                <w:rFonts w:hint="eastAsia" w:ascii="Times New Roman" w:hAnsi="Times New Roman" w:cs="Times New Roman"/>
                <w:color w:val="auto"/>
                <w:kern w:val="0"/>
                <w:sz w:val="24"/>
                <w:highlight w:val="none"/>
                <w:lang w:val="en-US" w:eastAsia="zh-CN"/>
              </w:rPr>
              <w:t>2</w:t>
            </w:r>
            <w:r>
              <w:rPr>
                <w:rFonts w:hint="default" w:ascii="Times New Roman" w:hAnsi="Times New Roman" w:cs="Times New Roman"/>
                <w:color w:val="auto"/>
                <w:kern w:val="0"/>
                <w:sz w:val="24"/>
                <w:highlight w:val="none"/>
              </w:rPr>
              <w:t>年1月1</w:t>
            </w:r>
            <w:r>
              <w:rPr>
                <w:rFonts w:hint="eastAsia" w:ascii="宋体" w:hAnsi="宋体" w:cs="宋体"/>
                <w:color w:val="auto"/>
                <w:kern w:val="0"/>
                <w:sz w:val="24"/>
                <w:highlight w:val="none"/>
              </w:rPr>
              <w:t>日</w:t>
            </w:r>
            <w:r>
              <w:rPr>
                <w:rFonts w:hint="eastAsia" w:ascii="宋体" w:hAnsi="宋体" w:cs="宋体"/>
                <w:color w:val="auto"/>
                <w:sz w:val="24"/>
                <w:highlight w:val="none"/>
              </w:rPr>
              <w:t>（含）至递交投标文件截止时间</w:t>
            </w:r>
            <w:r>
              <w:rPr>
                <w:rFonts w:hint="eastAsia" w:ascii="宋体" w:hAnsi="宋体" w:cs="宋体"/>
                <w:color w:val="auto"/>
                <w:kern w:val="0"/>
                <w:sz w:val="24"/>
                <w:highlight w:val="none"/>
              </w:rPr>
              <w:t>，每有</w:t>
            </w:r>
            <w:r>
              <w:rPr>
                <w:rFonts w:hint="eastAsia" w:ascii="Times New Roman" w:hAnsi="Times New Roman" w:cs="Times New Roman"/>
                <w:color w:val="auto"/>
                <w:kern w:val="0"/>
                <w:sz w:val="24"/>
                <w:highlight w:val="none"/>
              </w:rPr>
              <w:t>1个类似项目业绩得</w:t>
            </w:r>
            <w:r>
              <w:rPr>
                <w:rFonts w:hint="eastAsia" w:ascii="Times New Roman" w:hAnsi="Times New Roman" w:cs="Times New Roman"/>
                <w:color w:val="auto"/>
                <w:kern w:val="0"/>
                <w:sz w:val="24"/>
                <w:highlight w:val="none"/>
                <w:lang w:val="en-US" w:eastAsia="zh-CN"/>
              </w:rPr>
              <w:t>1</w:t>
            </w:r>
            <w:r>
              <w:rPr>
                <w:rFonts w:hint="eastAsia" w:ascii="Times New Roman" w:hAnsi="Times New Roman" w:cs="Times New Roman"/>
                <w:color w:val="auto"/>
                <w:kern w:val="0"/>
                <w:sz w:val="24"/>
                <w:highlight w:val="none"/>
              </w:rPr>
              <w:t>分，</w:t>
            </w:r>
            <w:r>
              <w:rPr>
                <w:rFonts w:hint="eastAsia" w:ascii="Times New Roman" w:hAnsi="Times New Roman" w:cs="Times New Roman"/>
                <w:color w:val="auto"/>
                <w:kern w:val="0"/>
                <w:sz w:val="24"/>
                <w:highlight w:val="none"/>
                <w:lang w:val="en-US" w:eastAsia="zh-CN"/>
              </w:rPr>
              <w:t>本项</w:t>
            </w:r>
            <w:r>
              <w:rPr>
                <w:rFonts w:hint="eastAsia" w:ascii="Times New Roman" w:hAnsi="Times New Roman" w:cs="Times New Roman"/>
                <w:color w:val="auto"/>
                <w:kern w:val="0"/>
                <w:sz w:val="24"/>
                <w:highlight w:val="none"/>
              </w:rPr>
              <w:t>最多得</w:t>
            </w:r>
            <w:r>
              <w:rPr>
                <w:rFonts w:hint="eastAsia" w:ascii="Times New Roman" w:hAnsi="Times New Roman" w:cs="Times New Roman"/>
                <w:color w:val="auto"/>
                <w:kern w:val="0"/>
                <w:sz w:val="24"/>
                <w:highlight w:val="none"/>
                <w:lang w:val="en-US" w:eastAsia="zh-CN"/>
              </w:rPr>
              <w:t>2</w:t>
            </w:r>
            <w:r>
              <w:rPr>
                <w:rFonts w:hint="eastAsia" w:ascii="Times New Roman" w:hAnsi="Times New Roman" w:cs="Times New Roman"/>
                <w:color w:val="auto"/>
                <w:kern w:val="0"/>
                <w:sz w:val="24"/>
                <w:highlight w:val="none"/>
              </w:rPr>
              <w:t>分</w:t>
            </w:r>
            <w:r>
              <w:rPr>
                <w:rFonts w:hint="eastAsia" w:ascii="宋体" w:hAnsi="宋体" w:cs="宋体"/>
                <w:color w:val="auto"/>
                <w:kern w:val="0"/>
                <w:sz w:val="24"/>
                <w:highlight w:val="none"/>
              </w:rPr>
              <w:t>。（类似项目业绩是指：含有本</w:t>
            </w:r>
            <w:r>
              <w:rPr>
                <w:rFonts w:hint="eastAsia" w:ascii="宋体" w:hAnsi="宋体" w:cs="宋体"/>
                <w:color w:val="auto"/>
                <w:kern w:val="0"/>
                <w:sz w:val="24"/>
                <w:highlight w:val="none"/>
                <w:lang w:val="en-US" w:eastAsia="zh-CN"/>
              </w:rPr>
              <w:t>采购包涉及</w:t>
            </w:r>
            <w:r>
              <w:rPr>
                <w:rFonts w:hint="eastAsia" w:ascii="宋体" w:hAnsi="宋体" w:cs="宋体"/>
                <w:color w:val="auto"/>
                <w:kern w:val="0"/>
                <w:sz w:val="24"/>
                <w:highlight w:val="none"/>
              </w:rPr>
              <w:t>采购</w:t>
            </w:r>
            <w:r>
              <w:rPr>
                <w:rFonts w:hint="eastAsia" w:ascii="宋体" w:hAnsi="宋体" w:cs="宋体"/>
                <w:color w:val="auto"/>
                <w:kern w:val="0"/>
                <w:sz w:val="24"/>
                <w:highlight w:val="none"/>
                <w:lang w:val="en-US" w:eastAsia="zh-CN"/>
              </w:rPr>
              <w:t>标的当中</w:t>
            </w:r>
            <w:r>
              <w:rPr>
                <w:rFonts w:hint="eastAsia" w:ascii="宋体" w:hAnsi="宋体" w:cs="宋体"/>
                <w:color w:val="auto"/>
                <w:kern w:val="0"/>
                <w:sz w:val="24"/>
                <w:highlight w:val="none"/>
              </w:rPr>
              <w:t>的任一产品）。</w:t>
            </w:r>
          </w:p>
          <w:p w14:paraId="3921BAC8">
            <w:pPr>
              <w:keepNext w:val="0"/>
              <w:keepLines w:val="0"/>
              <w:pageBreakBefore w:val="0"/>
              <w:widowControl w:val="0"/>
              <w:shd w:val="clear"/>
              <w:kinsoku/>
              <w:wordWrap/>
              <w:overflowPunct/>
              <w:topLinePunct w:val="0"/>
              <w:autoSpaceDE/>
              <w:autoSpaceDN/>
              <w:bidi w:val="0"/>
              <w:adjustRightInd/>
              <w:snapToGrid w:val="0"/>
              <w:spacing w:line="440" w:lineRule="exact"/>
              <w:textAlignment w:val="auto"/>
              <w:rPr>
                <w:rFonts w:hAnsi="宋体" w:cs="宋体"/>
                <w:bCs/>
                <w:color w:val="auto"/>
                <w:sz w:val="24"/>
                <w:highlight w:val="none"/>
              </w:rPr>
            </w:pPr>
            <w:r>
              <w:rPr>
                <w:rFonts w:hint="eastAsia" w:ascii="宋体" w:hAnsi="宋体" w:cs="宋体"/>
                <w:color w:val="auto"/>
                <w:kern w:val="0"/>
                <w:sz w:val="24"/>
                <w:highlight w:val="none"/>
              </w:rPr>
              <w:t>注：</w:t>
            </w:r>
            <w:r>
              <w:rPr>
                <w:rFonts w:hint="eastAsia" w:hAnsi="宋体" w:cs="宋体"/>
                <w:color w:val="auto"/>
                <w:kern w:val="0"/>
                <w:sz w:val="24"/>
                <w:highlight w:val="none"/>
                <w:lang w:val="en-US" w:eastAsia="zh-CN"/>
              </w:rPr>
              <w:t>须</w:t>
            </w:r>
            <w:r>
              <w:rPr>
                <w:rFonts w:hint="eastAsia" w:ascii="宋体" w:hAnsi="宋体" w:cs="宋体"/>
                <w:color w:val="auto"/>
                <w:kern w:val="0"/>
                <w:sz w:val="24"/>
                <w:highlight w:val="none"/>
              </w:rPr>
              <w:t>提供</w:t>
            </w:r>
            <w:r>
              <w:rPr>
                <w:rFonts w:hint="eastAsia" w:hAnsi="宋体" w:cs="宋体"/>
                <w:color w:val="auto"/>
                <w:kern w:val="0"/>
                <w:sz w:val="24"/>
                <w:highlight w:val="none"/>
                <w:lang w:val="en-US" w:eastAsia="zh-CN"/>
              </w:rPr>
              <w:t>类似业绩项目的采购</w:t>
            </w:r>
            <w:r>
              <w:rPr>
                <w:rFonts w:hint="eastAsia" w:ascii="宋体" w:hAnsi="宋体" w:cs="宋体"/>
                <w:color w:val="auto"/>
                <w:kern w:val="0"/>
                <w:sz w:val="24"/>
                <w:highlight w:val="none"/>
              </w:rPr>
              <w:t>合同复印件</w:t>
            </w:r>
            <w:r>
              <w:rPr>
                <w:rFonts w:hint="eastAsia" w:hAnsi="宋体" w:cs="宋体"/>
                <w:color w:val="auto"/>
                <w:kern w:val="0"/>
                <w:sz w:val="24"/>
                <w:highlight w:val="none"/>
                <w:lang w:eastAsia="zh-CN"/>
              </w:rPr>
              <w:t>，</w:t>
            </w:r>
            <w:r>
              <w:rPr>
                <w:rFonts w:hint="eastAsia" w:ascii="宋体" w:hAnsi="宋体" w:cs="宋体"/>
                <w:color w:val="auto"/>
                <w:kern w:val="0"/>
                <w:sz w:val="24"/>
                <w:highlight w:val="none"/>
              </w:rPr>
              <w:t>并加盖投标人公章。</w:t>
            </w:r>
          </w:p>
        </w:tc>
        <w:tc>
          <w:tcPr>
            <w:tcW w:w="1177" w:type="dxa"/>
            <w:tcBorders>
              <w:top w:val="single" w:color="auto" w:sz="4" w:space="0"/>
              <w:left w:val="single" w:color="auto" w:sz="4" w:space="0"/>
              <w:bottom w:val="single" w:color="auto" w:sz="4" w:space="0"/>
              <w:right w:val="single" w:color="auto" w:sz="4" w:space="0"/>
            </w:tcBorders>
            <w:vAlign w:val="center"/>
          </w:tcPr>
          <w:p w14:paraId="670B97C2">
            <w:pPr>
              <w:shd w:val="clear"/>
              <w:snapToGrid w:val="0"/>
              <w:spacing w:line="360" w:lineRule="auto"/>
              <w:jc w:val="center"/>
              <w:rPr>
                <w:rFonts w:hAnsi="宋体" w:cs="宋体"/>
                <w:bCs/>
                <w:color w:val="auto"/>
                <w:sz w:val="24"/>
                <w:highlight w:val="none"/>
              </w:rPr>
            </w:pPr>
            <w:r>
              <w:rPr>
                <w:rFonts w:hint="eastAsia" w:hAnsi="宋体" w:cs="宋体"/>
                <w:bCs/>
                <w:color w:val="auto"/>
                <w:sz w:val="24"/>
                <w:highlight w:val="none"/>
              </w:rPr>
              <w:t>共同评审因素</w:t>
            </w:r>
          </w:p>
        </w:tc>
      </w:tr>
      <w:tr w14:paraId="20775F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591" w:hRule="atLeast"/>
          <w:jc w:val="center"/>
        </w:trPr>
        <w:tc>
          <w:tcPr>
            <w:tcW w:w="811" w:type="dxa"/>
            <w:tcBorders>
              <w:top w:val="single" w:color="auto" w:sz="4" w:space="0"/>
              <w:left w:val="single" w:color="auto" w:sz="4" w:space="0"/>
              <w:bottom w:val="single" w:color="auto" w:sz="4" w:space="0"/>
              <w:right w:val="single" w:color="auto" w:sz="4" w:space="0"/>
            </w:tcBorders>
            <w:vAlign w:val="center"/>
          </w:tcPr>
          <w:p w14:paraId="223E967E">
            <w:pPr>
              <w:shd w:val="clear"/>
              <w:spacing w:line="360" w:lineRule="auto"/>
              <w:jc w:val="center"/>
              <w:rPr>
                <w:rFonts w:hint="eastAsia" w:hAnsi="宋体" w:eastAsia="宋体" w:cs="宋体"/>
                <w:color w:val="auto"/>
                <w:sz w:val="24"/>
                <w:highlight w:val="none"/>
                <w:lang w:eastAsia="zh-CN"/>
              </w:rPr>
            </w:pPr>
            <w:r>
              <w:rPr>
                <w:rFonts w:hint="eastAsia" w:hAnsi="宋体" w:cs="宋体"/>
                <w:color w:val="auto"/>
                <w:sz w:val="24"/>
                <w:highlight w:val="none"/>
                <w:lang w:val="en-US" w:eastAsia="zh-CN"/>
              </w:rPr>
              <w:t>7</w:t>
            </w:r>
          </w:p>
        </w:tc>
        <w:tc>
          <w:tcPr>
            <w:tcW w:w="1350" w:type="dxa"/>
            <w:tcBorders>
              <w:top w:val="single" w:color="auto" w:sz="4" w:space="0"/>
              <w:left w:val="single" w:color="auto" w:sz="4" w:space="0"/>
              <w:bottom w:val="single" w:color="auto" w:sz="4" w:space="0"/>
              <w:right w:val="single" w:color="auto" w:sz="4" w:space="0"/>
            </w:tcBorders>
            <w:vAlign w:val="center"/>
          </w:tcPr>
          <w:p w14:paraId="6AC39C37">
            <w:pPr>
              <w:shd w:val="clear"/>
              <w:spacing w:line="360" w:lineRule="auto"/>
              <w:jc w:val="center"/>
              <w:rPr>
                <w:rFonts w:hAnsi="宋体" w:cs="宋体"/>
                <w:color w:val="auto"/>
                <w:sz w:val="24"/>
                <w:highlight w:val="none"/>
              </w:rPr>
            </w:pPr>
            <w:r>
              <w:rPr>
                <w:rFonts w:hint="eastAsia" w:hAnsi="宋体" w:cs="宋体"/>
                <w:color w:val="auto"/>
                <w:sz w:val="24"/>
                <w:highlight w:val="none"/>
              </w:rPr>
              <w:t>节能、环境标志产品</w:t>
            </w:r>
            <w:r>
              <w:rPr>
                <w:rFonts w:hint="eastAsia" w:hAnsi="宋体" w:cs="宋体"/>
                <w:color w:val="auto"/>
                <w:sz w:val="24"/>
                <w:highlight w:val="none"/>
                <w:lang w:val="en-US" w:eastAsia="zh-CN"/>
              </w:rPr>
              <w:t>1</w:t>
            </w:r>
            <w:r>
              <w:rPr>
                <w:rFonts w:hint="eastAsia" w:hAnsi="宋体" w:cs="宋体"/>
                <w:color w:val="auto"/>
                <w:sz w:val="24"/>
                <w:highlight w:val="none"/>
              </w:rPr>
              <w:t>%</w:t>
            </w:r>
          </w:p>
        </w:tc>
        <w:tc>
          <w:tcPr>
            <w:tcW w:w="930" w:type="dxa"/>
            <w:tcBorders>
              <w:top w:val="single" w:color="auto" w:sz="4" w:space="0"/>
              <w:left w:val="single" w:color="auto" w:sz="4" w:space="0"/>
              <w:bottom w:val="single" w:color="auto" w:sz="4" w:space="0"/>
              <w:right w:val="single" w:color="auto" w:sz="4" w:space="0"/>
            </w:tcBorders>
            <w:vAlign w:val="center"/>
          </w:tcPr>
          <w:p w14:paraId="10E93C0B">
            <w:pPr>
              <w:shd w:val="clear"/>
              <w:spacing w:line="360" w:lineRule="auto"/>
              <w:jc w:val="center"/>
              <w:rPr>
                <w:rFonts w:hAnsi="宋体" w:cs="宋体"/>
                <w:color w:val="auto"/>
                <w:sz w:val="24"/>
                <w:highlight w:val="none"/>
              </w:rPr>
            </w:pPr>
            <w:r>
              <w:rPr>
                <w:rFonts w:hint="eastAsia" w:hAnsi="宋体" w:cs="宋体"/>
                <w:color w:val="auto"/>
                <w:sz w:val="24"/>
                <w:highlight w:val="none"/>
                <w:lang w:val="en-US" w:eastAsia="zh-CN"/>
              </w:rPr>
              <w:t>1</w:t>
            </w:r>
            <w:r>
              <w:rPr>
                <w:rFonts w:hint="eastAsia" w:hAnsi="宋体" w:cs="宋体"/>
                <w:color w:val="auto"/>
                <w:sz w:val="24"/>
                <w:highlight w:val="none"/>
              </w:rPr>
              <w:t>分</w:t>
            </w:r>
          </w:p>
        </w:tc>
        <w:tc>
          <w:tcPr>
            <w:tcW w:w="5543" w:type="dxa"/>
            <w:tcBorders>
              <w:top w:val="single" w:color="auto" w:sz="4" w:space="0"/>
              <w:left w:val="single" w:color="auto" w:sz="4" w:space="0"/>
              <w:bottom w:val="single" w:color="auto" w:sz="4" w:space="0"/>
              <w:right w:val="single" w:color="auto" w:sz="4" w:space="0"/>
            </w:tcBorders>
            <w:vAlign w:val="center"/>
          </w:tcPr>
          <w:p w14:paraId="0455CAEC">
            <w:pPr>
              <w:shd w:val="clear"/>
              <w:spacing w:line="460" w:lineRule="exact"/>
              <w:rPr>
                <w:rFonts w:hAnsi="宋体" w:cs="宋体"/>
                <w:color w:val="auto"/>
                <w:sz w:val="24"/>
                <w:highlight w:val="none"/>
              </w:rPr>
            </w:pPr>
            <w:r>
              <w:rPr>
                <w:rFonts w:hint="eastAsia" w:hAnsi="宋体" w:cs="宋体"/>
                <w:color w:val="auto"/>
                <w:sz w:val="24"/>
                <w:highlight w:val="none"/>
              </w:rPr>
              <w:t>投标</w:t>
            </w:r>
            <w:r>
              <w:rPr>
                <w:rFonts w:hAnsi="宋体" w:cs="宋体"/>
                <w:color w:val="auto"/>
                <w:sz w:val="24"/>
                <w:highlight w:val="none"/>
              </w:rPr>
              <w:t>产品中除强制采购产品外属于政府采购优先采购范围的，则每有一项为节能产品或者环境标志产品的得</w:t>
            </w:r>
            <w:r>
              <w:rPr>
                <w:rFonts w:hint="eastAsia" w:hAnsi="宋体" w:cs="宋体"/>
                <w:color w:val="auto"/>
                <w:sz w:val="24"/>
                <w:highlight w:val="none"/>
                <w:lang w:val="en-US" w:eastAsia="zh-CN"/>
              </w:rPr>
              <w:t>0.5</w:t>
            </w:r>
            <w:r>
              <w:rPr>
                <w:rFonts w:hAnsi="宋体" w:cs="宋体"/>
                <w:color w:val="auto"/>
                <w:sz w:val="24"/>
                <w:highlight w:val="none"/>
              </w:rPr>
              <w:t>分，非节能、环境标志产品的不得分。本项最多得</w:t>
            </w:r>
            <w:r>
              <w:rPr>
                <w:rFonts w:hint="eastAsia" w:hAnsi="宋体" w:cs="宋体"/>
                <w:color w:val="auto"/>
                <w:sz w:val="24"/>
                <w:highlight w:val="none"/>
                <w:lang w:val="en-US" w:eastAsia="zh-CN"/>
              </w:rPr>
              <w:t>1</w:t>
            </w:r>
            <w:r>
              <w:rPr>
                <w:rFonts w:hAnsi="宋体" w:cs="宋体"/>
                <w:color w:val="auto"/>
                <w:sz w:val="24"/>
                <w:highlight w:val="none"/>
              </w:rPr>
              <w:t>分。</w:t>
            </w:r>
          </w:p>
          <w:p w14:paraId="6DFD2E71">
            <w:pPr>
              <w:shd w:val="clear"/>
              <w:spacing w:line="460" w:lineRule="exact"/>
              <w:rPr>
                <w:rFonts w:hAnsi="宋体" w:cs="宋体"/>
                <w:color w:val="auto"/>
                <w:sz w:val="24"/>
                <w:highlight w:val="none"/>
              </w:rPr>
            </w:pPr>
            <w:r>
              <w:rPr>
                <w:rFonts w:hAnsi="宋体" w:cs="宋体"/>
                <w:color w:val="auto"/>
                <w:sz w:val="24"/>
                <w:highlight w:val="none"/>
              </w:rPr>
              <w:t>【注：1.节能产品、环境标志产品优先采购范围以品目清单为准。财政部、发展改革委、生态环境部等部门根据产品节能环保性能、技术水平和市场成熟程度等因素，确定实施政府优先采购和强制采购的产品类别及所依据的相关标准规范，以品目清单的形式发布并适时调整。</w:t>
            </w:r>
          </w:p>
          <w:p w14:paraId="344E0605">
            <w:pPr>
              <w:shd w:val="clear"/>
              <w:spacing w:line="460" w:lineRule="exact"/>
              <w:rPr>
                <w:rFonts w:hAnsi="宋体" w:cs="宋体"/>
                <w:color w:val="auto"/>
                <w:sz w:val="24"/>
                <w:highlight w:val="none"/>
              </w:rPr>
            </w:pPr>
            <w:r>
              <w:rPr>
                <w:rFonts w:hAnsi="宋体" w:cs="宋体"/>
                <w:color w:val="auto"/>
                <w:sz w:val="24"/>
                <w:highlight w:val="none"/>
              </w:rPr>
              <w:t>2.</w:t>
            </w:r>
            <w:r>
              <w:rPr>
                <w:rFonts w:hint="eastAsia" w:hAnsi="宋体" w:cs="宋体"/>
                <w:color w:val="auto"/>
                <w:sz w:val="24"/>
                <w:highlight w:val="none"/>
              </w:rPr>
              <w:t>投标</w:t>
            </w:r>
            <w:r>
              <w:rPr>
                <w:rFonts w:hAnsi="宋体" w:cs="宋体"/>
                <w:color w:val="auto"/>
                <w:sz w:val="24"/>
                <w:highlight w:val="none"/>
              </w:rPr>
              <w:t>产品属于优先采购范围内的节能产品或者环境标志产品的，提供国家确定的认证机构出具的、处于有效期之内的节能产品、环境标志产品认证证书复印件加盖投标人公章。</w:t>
            </w:r>
          </w:p>
        </w:tc>
        <w:tc>
          <w:tcPr>
            <w:tcW w:w="1177" w:type="dxa"/>
            <w:tcBorders>
              <w:top w:val="single" w:color="auto" w:sz="4" w:space="0"/>
              <w:left w:val="single" w:color="auto" w:sz="4" w:space="0"/>
              <w:bottom w:val="single" w:color="auto" w:sz="4" w:space="0"/>
              <w:right w:val="single" w:color="auto" w:sz="4" w:space="0"/>
            </w:tcBorders>
            <w:vAlign w:val="center"/>
          </w:tcPr>
          <w:p w14:paraId="66838B04">
            <w:pPr>
              <w:shd w:val="clear"/>
              <w:snapToGrid w:val="0"/>
              <w:spacing w:line="360" w:lineRule="auto"/>
              <w:jc w:val="center"/>
              <w:rPr>
                <w:rFonts w:hAnsi="宋体" w:cs="宋体"/>
                <w:bCs/>
                <w:color w:val="auto"/>
                <w:sz w:val="24"/>
                <w:highlight w:val="none"/>
              </w:rPr>
            </w:pPr>
            <w:r>
              <w:rPr>
                <w:rFonts w:hint="eastAsia" w:hAnsi="宋体" w:cs="宋体"/>
                <w:bCs/>
                <w:color w:val="auto"/>
                <w:sz w:val="24"/>
                <w:highlight w:val="none"/>
              </w:rPr>
              <w:t>技术类评审因素</w:t>
            </w:r>
          </w:p>
        </w:tc>
      </w:tr>
    </w:tbl>
    <w:p w14:paraId="25F4E5E5">
      <w:pPr>
        <w:pStyle w:val="10"/>
        <w:shd w:val="clear"/>
        <w:spacing w:line="480" w:lineRule="exact"/>
        <w:ind w:firstLine="480" w:firstLineChars="200"/>
        <w:rPr>
          <w:rFonts w:hAnsi="宋体" w:cs="宋体"/>
          <w:color w:val="auto"/>
          <w:sz w:val="24"/>
          <w:highlight w:val="none"/>
        </w:rPr>
      </w:pPr>
      <w:r>
        <w:rPr>
          <w:rFonts w:hint="eastAsia" w:hAnsi="宋体" w:cs="宋体"/>
          <w:color w:val="auto"/>
          <w:sz w:val="24"/>
          <w:highlight w:val="none"/>
        </w:rPr>
        <w:t>本次综合评分法由评标委员会各成员独立对通过初审（资格检查和符合性检查）的投标人的投标文件进行评审和打分，评标得分＝（A1＋A2＋……＋An）/N</w:t>
      </w:r>
      <w:r>
        <w:rPr>
          <w:rFonts w:hint="eastAsia" w:hAnsi="宋体" w:cs="宋体"/>
          <w:color w:val="auto"/>
          <w:sz w:val="24"/>
          <w:highlight w:val="none"/>
          <w:vertAlign w:val="subscript"/>
        </w:rPr>
        <w:t>A</w:t>
      </w:r>
      <w:r>
        <w:rPr>
          <w:rFonts w:hint="eastAsia" w:hAnsi="宋体" w:cs="宋体"/>
          <w:color w:val="auto"/>
          <w:sz w:val="24"/>
          <w:highlight w:val="none"/>
        </w:rPr>
        <w:t>＋（B1＋B2＋……＋Bn）/ N</w:t>
      </w:r>
      <w:r>
        <w:rPr>
          <w:rFonts w:hint="eastAsia" w:hAnsi="宋体" w:cs="宋体"/>
          <w:color w:val="auto"/>
          <w:sz w:val="24"/>
          <w:highlight w:val="none"/>
          <w:vertAlign w:val="subscript"/>
        </w:rPr>
        <w:t>B</w:t>
      </w:r>
      <w:r>
        <w:rPr>
          <w:rFonts w:hint="eastAsia" w:hAnsi="宋体" w:cs="宋体"/>
          <w:color w:val="auto"/>
          <w:sz w:val="24"/>
          <w:highlight w:val="none"/>
        </w:rPr>
        <w:t>＋（C1＋C2＋……＋Cn）/ N</w:t>
      </w:r>
      <w:r>
        <w:rPr>
          <w:rFonts w:hint="eastAsia" w:hAnsi="宋体" w:cs="宋体"/>
          <w:color w:val="auto"/>
          <w:sz w:val="24"/>
          <w:highlight w:val="none"/>
          <w:vertAlign w:val="subscript"/>
        </w:rPr>
        <w:t>C</w:t>
      </w:r>
      <w:r>
        <w:rPr>
          <w:rFonts w:hint="eastAsia" w:hAnsi="宋体" w:cs="宋体"/>
          <w:color w:val="auto"/>
          <w:sz w:val="24"/>
          <w:highlight w:val="none"/>
        </w:rPr>
        <w:t>＋（D1＋D2＋……＋Dn）/ N</w:t>
      </w:r>
      <w:r>
        <w:rPr>
          <w:rFonts w:hint="eastAsia" w:hAnsi="宋体" w:cs="宋体"/>
          <w:color w:val="auto"/>
          <w:sz w:val="24"/>
          <w:highlight w:val="none"/>
          <w:vertAlign w:val="subscript"/>
        </w:rPr>
        <w:t>D，</w:t>
      </w:r>
      <w:r>
        <w:rPr>
          <w:rFonts w:hint="eastAsia" w:hAnsi="宋体" w:cs="宋体"/>
          <w:color w:val="auto"/>
          <w:sz w:val="24"/>
          <w:highlight w:val="none"/>
        </w:rPr>
        <w:t>A1、A2……An分别为每个经济类评委（经济类专家）的打分，N</w:t>
      </w:r>
      <w:r>
        <w:rPr>
          <w:rFonts w:hint="eastAsia" w:hAnsi="宋体" w:cs="宋体"/>
          <w:color w:val="auto"/>
          <w:sz w:val="24"/>
          <w:highlight w:val="none"/>
          <w:vertAlign w:val="subscript"/>
        </w:rPr>
        <w:t>A</w:t>
      </w:r>
      <w:r>
        <w:rPr>
          <w:rFonts w:hint="eastAsia" w:hAnsi="宋体" w:cs="宋体"/>
          <w:color w:val="auto"/>
          <w:sz w:val="24"/>
          <w:highlight w:val="none"/>
        </w:rPr>
        <w:t>为经济类评委（经济类专家）人数；B1、B2＋……Bn 分别为每个技术类评委（技术类专家和采购人代表）的打分，N</w:t>
      </w:r>
      <w:r>
        <w:rPr>
          <w:rFonts w:hint="eastAsia" w:hAnsi="宋体" w:cs="宋体"/>
          <w:color w:val="auto"/>
          <w:sz w:val="24"/>
          <w:highlight w:val="none"/>
          <w:vertAlign w:val="subscript"/>
        </w:rPr>
        <w:t>B</w:t>
      </w:r>
      <w:r>
        <w:rPr>
          <w:rFonts w:hint="eastAsia" w:hAnsi="宋体" w:cs="宋体"/>
          <w:color w:val="auto"/>
          <w:sz w:val="24"/>
          <w:highlight w:val="none"/>
        </w:rPr>
        <w:t>为技术类评委（技术类专家和采购人代表）人数；C1、C2……Cn 分别为每个政策合同类评委（法律类专家）的打分，N</w:t>
      </w:r>
      <w:r>
        <w:rPr>
          <w:rFonts w:hint="eastAsia" w:hAnsi="宋体" w:cs="宋体"/>
          <w:color w:val="auto"/>
          <w:sz w:val="24"/>
          <w:highlight w:val="none"/>
          <w:vertAlign w:val="subscript"/>
        </w:rPr>
        <w:t>C</w:t>
      </w:r>
      <w:r>
        <w:rPr>
          <w:rFonts w:hint="eastAsia" w:hAnsi="宋体" w:cs="宋体"/>
          <w:color w:val="auto"/>
          <w:sz w:val="24"/>
          <w:highlight w:val="none"/>
        </w:rPr>
        <w:t>为政策合同类评委（法律类专家）人数；D1、D2……Dn 分别为评标委员会每个成员的打分（共同评分类），N</w:t>
      </w:r>
      <w:r>
        <w:rPr>
          <w:rFonts w:hint="eastAsia" w:hAnsi="宋体" w:cs="宋体"/>
          <w:color w:val="auto"/>
          <w:sz w:val="24"/>
          <w:highlight w:val="none"/>
          <w:vertAlign w:val="subscript"/>
        </w:rPr>
        <w:t>D</w:t>
      </w:r>
      <w:r>
        <w:rPr>
          <w:rFonts w:hint="eastAsia" w:hAnsi="宋体" w:cs="宋体"/>
          <w:color w:val="auto"/>
          <w:sz w:val="24"/>
          <w:highlight w:val="none"/>
        </w:rPr>
        <w:t>为评标委员会人</w:t>
      </w:r>
      <w:r>
        <w:rPr>
          <w:rFonts w:hint="eastAsia" w:hAnsi="宋体" w:cs="宋体"/>
          <w:bCs/>
          <w:color w:val="auto"/>
          <w:sz w:val="24"/>
          <w:highlight w:val="none"/>
        </w:rPr>
        <w:t>数。</w:t>
      </w:r>
    </w:p>
    <w:p w14:paraId="13834588">
      <w:pPr>
        <w:shd w:val="clear"/>
        <w:spacing w:line="460" w:lineRule="exact"/>
        <w:ind w:firstLine="480" w:firstLineChars="200"/>
        <w:rPr>
          <w:rFonts w:hAnsi="宋体" w:cs="宋体"/>
          <w:color w:val="auto"/>
          <w:sz w:val="24"/>
          <w:szCs w:val="22"/>
          <w:highlight w:val="none"/>
        </w:rPr>
      </w:pPr>
      <w:r>
        <w:rPr>
          <w:rFonts w:hint="eastAsia" w:hAnsi="宋体" w:cs="宋体"/>
          <w:color w:val="auto"/>
          <w:sz w:val="24"/>
          <w:szCs w:val="22"/>
          <w:highlight w:val="none"/>
        </w:rPr>
        <w:t>注：</w:t>
      </w:r>
    </w:p>
    <w:p w14:paraId="41D56D36">
      <w:pPr>
        <w:shd w:val="clear"/>
        <w:spacing w:line="460" w:lineRule="exact"/>
        <w:ind w:firstLine="480" w:firstLineChars="200"/>
        <w:rPr>
          <w:rFonts w:hAnsi="宋体" w:cs="宋体"/>
          <w:color w:val="auto"/>
          <w:sz w:val="24"/>
          <w:szCs w:val="22"/>
          <w:highlight w:val="none"/>
        </w:rPr>
      </w:pPr>
      <w:r>
        <w:rPr>
          <w:rFonts w:hint="eastAsia" w:hAnsi="宋体" w:cs="宋体"/>
          <w:color w:val="auto"/>
          <w:sz w:val="24"/>
          <w:szCs w:val="22"/>
          <w:highlight w:val="none"/>
        </w:rPr>
        <w:t>1、评分的取值按四舍五入法，保留小数点后两位。</w:t>
      </w:r>
    </w:p>
    <w:p w14:paraId="4F9EE87E">
      <w:pPr>
        <w:shd w:val="clear"/>
        <w:spacing w:line="460" w:lineRule="exact"/>
        <w:ind w:firstLine="480" w:firstLineChars="200"/>
        <w:rPr>
          <w:rFonts w:hAnsi="宋体" w:cs="宋体"/>
          <w:color w:val="auto"/>
          <w:sz w:val="24"/>
          <w:szCs w:val="22"/>
          <w:highlight w:val="none"/>
        </w:rPr>
      </w:pPr>
      <w:r>
        <w:rPr>
          <w:rFonts w:hint="eastAsia" w:hAnsi="宋体" w:cs="宋体"/>
          <w:color w:val="auto"/>
          <w:sz w:val="24"/>
          <w:szCs w:val="22"/>
          <w:highlight w:val="none"/>
        </w:rPr>
        <w:t>2、（若有）联合体投标的，以牵头人为准（联合体中有同类资质的投标人按照联合体分工承担相同工作的，应当按照资质等级较低的投标人确定资质等级）。</w:t>
      </w:r>
    </w:p>
    <w:p w14:paraId="2D7FB8DA">
      <w:pPr>
        <w:pStyle w:val="4"/>
        <w:shd w:val="clear"/>
        <w:spacing w:line="460" w:lineRule="exact"/>
        <w:ind w:firstLine="472" w:firstLineChars="196"/>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5.废 标</w:t>
      </w:r>
    </w:p>
    <w:p w14:paraId="5A6A2C91">
      <w:pPr>
        <w:shd w:val="clear"/>
        <w:spacing w:line="460" w:lineRule="exact"/>
        <w:ind w:firstLine="480" w:firstLineChars="200"/>
        <w:rPr>
          <w:rFonts w:hAnsi="宋体" w:cs="宋体"/>
          <w:color w:val="auto"/>
          <w:sz w:val="24"/>
          <w:highlight w:val="none"/>
        </w:rPr>
      </w:pPr>
      <w:r>
        <w:rPr>
          <w:rFonts w:hint="eastAsia" w:hAnsi="宋体" w:cs="宋体"/>
          <w:color w:val="auto"/>
          <w:sz w:val="24"/>
          <w:highlight w:val="none"/>
        </w:rPr>
        <w:t>5.1本次政府采购活动中，出现下列情形之一的，予以废标：</w:t>
      </w:r>
    </w:p>
    <w:p w14:paraId="61571FEE">
      <w:pPr>
        <w:shd w:val="clear"/>
        <w:spacing w:line="460" w:lineRule="exact"/>
        <w:ind w:firstLine="480" w:firstLineChars="200"/>
        <w:rPr>
          <w:rFonts w:hAnsi="宋体" w:cs="宋体"/>
          <w:color w:val="auto"/>
          <w:sz w:val="24"/>
          <w:highlight w:val="none"/>
        </w:rPr>
      </w:pPr>
      <w:r>
        <w:rPr>
          <w:rFonts w:hint="eastAsia" w:hAnsi="宋体" w:cs="宋体"/>
          <w:color w:val="auto"/>
          <w:sz w:val="24"/>
          <w:highlight w:val="none"/>
        </w:rPr>
        <w:t>（1）符合专业条件的投标人或者对招标文件作实质响应的投标人不足三家的；</w:t>
      </w:r>
    </w:p>
    <w:p w14:paraId="383440B2">
      <w:pPr>
        <w:shd w:val="clear"/>
        <w:spacing w:line="460" w:lineRule="exact"/>
        <w:ind w:firstLine="480" w:firstLineChars="200"/>
        <w:rPr>
          <w:rFonts w:hAnsi="宋体" w:cs="宋体"/>
          <w:color w:val="auto"/>
          <w:sz w:val="24"/>
          <w:highlight w:val="none"/>
        </w:rPr>
      </w:pPr>
      <w:r>
        <w:rPr>
          <w:rFonts w:hint="eastAsia" w:hAnsi="宋体" w:cs="宋体"/>
          <w:color w:val="auto"/>
          <w:sz w:val="24"/>
          <w:highlight w:val="none"/>
        </w:rPr>
        <w:t>（2）出现影响采购公正的违法、违规行为的；</w:t>
      </w:r>
    </w:p>
    <w:p w14:paraId="55D012B9">
      <w:pPr>
        <w:shd w:val="clear"/>
        <w:spacing w:line="460" w:lineRule="exact"/>
        <w:ind w:firstLine="480" w:firstLineChars="200"/>
        <w:rPr>
          <w:rFonts w:hAnsi="宋体" w:cs="宋体"/>
          <w:color w:val="auto"/>
          <w:sz w:val="24"/>
          <w:highlight w:val="none"/>
        </w:rPr>
      </w:pPr>
      <w:r>
        <w:rPr>
          <w:rFonts w:hint="eastAsia" w:hAnsi="宋体" w:cs="宋体"/>
          <w:color w:val="auto"/>
          <w:sz w:val="24"/>
          <w:highlight w:val="none"/>
        </w:rPr>
        <w:t>（3）投标人的报价均超过了采购预算，采购人不能支付的；</w:t>
      </w:r>
    </w:p>
    <w:p w14:paraId="274E3EDD">
      <w:pPr>
        <w:shd w:val="clear"/>
        <w:spacing w:line="460" w:lineRule="exact"/>
        <w:ind w:firstLine="480" w:firstLineChars="200"/>
        <w:rPr>
          <w:rFonts w:hAnsi="宋体" w:cs="宋体"/>
          <w:color w:val="auto"/>
          <w:sz w:val="24"/>
          <w:highlight w:val="none"/>
        </w:rPr>
      </w:pPr>
      <w:r>
        <w:rPr>
          <w:rFonts w:hint="eastAsia" w:hAnsi="宋体" w:cs="宋体"/>
          <w:color w:val="auto"/>
          <w:sz w:val="24"/>
          <w:highlight w:val="none"/>
        </w:rPr>
        <w:t>（4）因重大变故，采购任务取消的。</w:t>
      </w:r>
    </w:p>
    <w:p w14:paraId="15311949">
      <w:pPr>
        <w:shd w:val="clear"/>
        <w:spacing w:line="460" w:lineRule="exact"/>
        <w:ind w:firstLine="480" w:firstLineChars="200"/>
        <w:rPr>
          <w:rFonts w:hAnsi="宋体" w:cs="宋体"/>
          <w:color w:val="auto"/>
          <w:sz w:val="24"/>
          <w:highlight w:val="none"/>
        </w:rPr>
      </w:pPr>
      <w:r>
        <w:rPr>
          <w:rFonts w:hint="eastAsia" w:hAnsi="宋体" w:cs="宋体"/>
          <w:color w:val="auto"/>
          <w:sz w:val="24"/>
          <w:highlight w:val="none"/>
        </w:rPr>
        <w:t>废标后，采购代理机构应在四川政府采购网上公告，并公告废标的情形。投标人需要知晓导致废标情形的具体原因和理由的，可以通过书面形式询问招标采购单位。</w:t>
      </w:r>
    </w:p>
    <w:p w14:paraId="131AB9EC">
      <w:pPr>
        <w:shd w:val="clear"/>
        <w:spacing w:line="460" w:lineRule="exact"/>
        <w:ind w:firstLine="480" w:firstLineChars="200"/>
        <w:rPr>
          <w:rFonts w:hAnsi="宋体" w:cs="宋体"/>
          <w:color w:val="auto"/>
          <w:sz w:val="24"/>
          <w:highlight w:val="none"/>
        </w:rPr>
      </w:pPr>
      <w:r>
        <w:rPr>
          <w:rFonts w:hint="eastAsia" w:hAnsi="宋体" w:cs="宋体"/>
          <w:color w:val="auto"/>
          <w:sz w:val="24"/>
          <w:highlight w:val="none"/>
        </w:rPr>
        <w:t>5.2对于评标过程中废标的采购项目，评标委员会应当对招标文件是否存在倾向性和歧视性、是否存在不合理条款进行论证，并出具书面论证意见。</w:t>
      </w:r>
    </w:p>
    <w:p w14:paraId="1C2E2C70">
      <w:pPr>
        <w:pStyle w:val="4"/>
        <w:shd w:val="clear"/>
        <w:spacing w:line="460" w:lineRule="exact"/>
        <w:ind w:firstLine="472" w:firstLineChars="196"/>
        <w:rPr>
          <w:rFonts w:ascii="宋体" w:hAnsi="宋体" w:eastAsia="宋体" w:cs="宋体"/>
          <w:color w:val="auto"/>
          <w:sz w:val="24"/>
          <w:szCs w:val="24"/>
          <w:highlight w:val="none"/>
        </w:rPr>
      </w:pPr>
      <w:r>
        <w:rPr>
          <w:rFonts w:hint="eastAsia" w:ascii="宋体" w:hAnsi="宋体" w:eastAsia="宋体" w:cs="宋体"/>
          <w:color w:val="auto"/>
          <w:sz w:val="24"/>
          <w:szCs w:val="24"/>
          <w:highlight w:val="none"/>
        </w:rPr>
        <w:t>6.定标</w:t>
      </w:r>
      <w:bookmarkEnd w:id="146"/>
      <w:bookmarkStart w:id="147" w:name="_Toc217446061"/>
    </w:p>
    <w:p w14:paraId="236BCFCC">
      <w:pPr>
        <w:shd w:val="clear"/>
        <w:spacing w:line="460" w:lineRule="exact"/>
        <w:ind w:firstLine="480" w:firstLineChars="200"/>
        <w:rPr>
          <w:rFonts w:hAnsi="宋体" w:cs="宋体"/>
          <w:color w:val="auto"/>
          <w:sz w:val="24"/>
          <w:highlight w:val="none"/>
        </w:rPr>
      </w:pPr>
      <w:r>
        <w:rPr>
          <w:rFonts w:hint="eastAsia" w:hAnsi="宋体" w:cs="宋体"/>
          <w:color w:val="auto"/>
          <w:sz w:val="24"/>
          <w:highlight w:val="none"/>
        </w:rPr>
        <w:t>6.1. 定标原则</w:t>
      </w:r>
      <w:bookmarkEnd w:id="147"/>
      <w:r>
        <w:rPr>
          <w:rFonts w:hint="eastAsia" w:hAnsi="宋体" w:cs="宋体"/>
          <w:color w:val="auto"/>
          <w:sz w:val="24"/>
          <w:highlight w:val="none"/>
        </w:rPr>
        <w:t>：本项目根据评标委员会推荐的中标候选投标人名单，按顺序确定中标投标人。</w:t>
      </w:r>
    </w:p>
    <w:p w14:paraId="2E91665F">
      <w:pPr>
        <w:shd w:val="clear"/>
        <w:spacing w:line="460" w:lineRule="exact"/>
        <w:ind w:firstLine="480" w:firstLineChars="200"/>
        <w:rPr>
          <w:rFonts w:hAnsi="宋体" w:cs="宋体"/>
          <w:color w:val="auto"/>
          <w:sz w:val="24"/>
          <w:highlight w:val="none"/>
        </w:rPr>
      </w:pPr>
      <w:bookmarkStart w:id="148" w:name="_Toc217446062"/>
      <w:r>
        <w:rPr>
          <w:rFonts w:hint="eastAsia" w:hAnsi="宋体" w:cs="宋体"/>
          <w:color w:val="auto"/>
          <w:sz w:val="24"/>
          <w:highlight w:val="none"/>
        </w:rPr>
        <w:t>6.2. 定标程序</w:t>
      </w:r>
      <w:bookmarkEnd w:id="148"/>
    </w:p>
    <w:p w14:paraId="38F53AF7">
      <w:pPr>
        <w:shd w:val="clear"/>
        <w:spacing w:line="460" w:lineRule="exact"/>
        <w:ind w:firstLine="480" w:firstLineChars="200"/>
        <w:rPr>
          <w:rFonts w:hAnsi="宋体" w:cs="宋体"/>
          <w:color w:val="auto"/>
          <w:sz w:val="24"/>
          <w:highlight w:val="none"/>
        </w:rPr>
      </w:pPr>
      <w:r>
        <w:rPr>
          <w:rFonts w:hint="eastAsia" w:hAnsi="宋体" w:cs="宋体"/>
          <w:color w:val="auto"/>
          <w:sz w:val="24"/>
          <w:highlight w:val="none"/>
        </w:rPr>
        <w:t>6.2.1 评标委员会将评标情况写出书面报告，推荐中标候选投标人。</w:t>
      </w:r>
    </w:p>
    <w:p w14:paraId="20B85832">
      <w:pPr>
        <w:shd w:val="clear"/>
        <w:spacing w:line="460" w:lineRule="exact"/>
        <w:ind w:firstLine="480" w:firstLineChars="200"/>
        <w:rPr>
          <w:rFonts w:hAnsi="宋体" w:cs="宋体"/>
          <w:color w:val="auto"/>
          <w:sz w:val="24"/>
          <w:highlight w:val="none"/>
        </w:rPr>
      </w:pPr>
      <w:r>
        <w:rPr>
          <w:rFonts w:hint="eastAsia" w:hAnsi="宋体" w:cs="宋体"/>
          <w:color w:val="auto"/>
          <w:sz w:val="24"/>
          <w:highlight w:val="none"/>
        </w:rPr>
        <w:t>6.2.2 采购代理机构在评标结束后2个工作日内将评标报告及有关资料送交采购人确定中标人。</w:t>
      </w:r>
    </w:p>
    <w:p w14:paraId="45B7C6A3">
      <w:pPr>
        <w:shd w:val="clear"/>
        <w:spacing w:line="460" w:lineRule="exact"/>
        <w:ind w:firstLine="480" w:firstLineChars="200"/>
        <w:rPr>
          <w:rFonts w:hAnsi="宋体" w:cs="宋体"/>
          <w:color w:val="auto"/>
          <w:sz w:val="24"/>
          <w:highlight w:val="none"/>
        </w:rPr>
      </w:pPr>
      <w:r>
        <w:rPr>
          <w:rFonts w:hint="eastAsia" w:hAnsi="宋体" w:cs="宋体"/>
          <w:color w:val="auto"/>
          <w:sz w:val="24"/>
          <w:highlight w:val="none"/>
        </w:rPr>
        <w:t>6.2.3 采购人在收到评标报告及有关资料后5个工作日内，按照评标报告中推荐的中标候选投标人顺序确定中标人</w:t>
      </w:r>
      <w:r>
        <w:rPr>
          <w:rFonts w:hint="eastAsia" w:hAnsi="宋体" w:cs="宋体"/>
          <w:color w:val="auto"/>
          <w:sz w:val="24"/>
          <w:szCs w:val="22"/>
          <w:highlight w:val="none"/>
        </w:rPr>
        <w:t>。如果中标候选人及其现任法定代表人存在行贿犯罪记录，采购人将不确定其为中标人。采购人在确认中标人前，应在中国裁判文书网（http://wenshu.court.gov.cn/）查询中标候选人及其现任法定代表人是否存在行贿犯罪记录。</w:t>
      </w:r>
      <w:r>
        <w:rPr>
          <w:rFonts w:hint="eastAsia" w:hAnsi="宋体" w:cs="宋体"/>
          <w:color w:val="auto"/>
          <w:sz w:val="24"/>
          <w:highlight w:val="none"/>
        </w:rPr>
        <w:t>评标结果按评审后得分由高到低顺序排列；得分相同的，按投标报价由低到高顺序排列；得分且投标报价相同的并列，投标文件满足招标文件全部实质性要求且按照评审因素的量化指标评审得分最高的投标人为中标候选投标人；报价相同且满足招标文件全部实质性要求且按照评审因素的量化指标评审得分也相同的并列，由采购人自主采取公平、择优的方式选择中标投标人。</w:t>
      </w:r>
    </w:p>
    <w:p w14:paraId="5CE3F3F5">
      <w:pPr>
        <w:shd w:val="clear"/>
        <w:spacing w:line="460" w:lineRule="exact"/>
        <w:ind w:firstLine="482" w:firstLineChars="200"/>
        <w:rPr>
          <w:rFonts w:hAnsi="宋体" w:cs="宋体"/>
          <w:b/>
          <w:color w:val="auto"/>
          <w:sz w:val="24"/>
          <w:highlight w:val="none"/>
        </w:rPr>
      </w:pPr>
      <w:r>
        <w:rPr>
          <w:rFonts w:hint="eastAsia" w:hAnsi="宋体" w:cs="宋体"/>
          <w:b/>
          <w:color w:val="auto"/>
          <w:sz w:val="24"/>
          <w:highlight w:val="none"/>
        </w:rPr>
        <w:t>注意：采购人按照推荐的中标候选投标人顺序确定中标投标人，不能认为采购人只能确定第一中标候选投标人为中标投标人，采购人有正当理由的，可以确定后一顺序中标候选投标人为中标投标人，依次类推。</w:t>
      </w:r>
    </w:p>
    <w:p w14:paraId="0532EF2F">
      <w:pPr>
        <w:shd w:val="clear"/>
        <w:spacing w:line="460" w:lineRule="exact"/>
        <w:ind w:firstLine="480" w:firstLineChars="200"/>
        <w:rPr>
          <w:rFonts w:hAnsi="宋体" w:cs="宋体"/>
          <w:color w:val="auto"/>
          <w:sz w:val="24"/>
          <w:highlight w:val="none"/>
        </w:rPr>
      </w:pPr>
      <w:r>
        <w:rPr>
          <w:rFonts w:hint="eastAsia" w:hAnsi="宋体" w:cs="宋体"/>
          <w:color w:val="auto"/>
          <w:sz w:val="24"/>
          <w:highlight w:val="none"/>
        </w:rPr>
        <w:t>6.2.4 采购人确定中标人后，应当及时书面通知采购代理机构，采购代理机构在四川政府采购网上发布中标公告，并自采购人确定中标之日起2个工作日内向中标投标人发出中标通知书。</w:t>
      </w:r>
    </w:p>
    <w:p w14:paraId="27C2C1FB">
      <w:pPr>
        <w:shd w:val="clear"/>
        <w:spacing w:line="460" w:lineRule="exact"/>
        <w:ind w:firstLine="480" w:firstLineChars="200"/>
        <w:rPr>
          <w:rFonts w:hAnsi="宋体" w:cs="宋体"/>
          <w:color w:val="auto"/>
          <w:sz w:val="24"/>
          <w:highlight w:val="none"/>
        </w:rPr>
      </w:pPr>
      <w:r>
        <w:rPr>
          <w:rFonts w:hint="eastAsia" w:hAnsi="宋体" w:cs="宋体"/>
          <w:color w:val="auto"/>
          <w:sz w:val="24"/>
          <w:highlight w:val="none"/>
        </w:rPr>
        <w:t>6.2.5 招标采购单位不退回投标人投标文件和其他投标资料</w:t>
      </w:r>
      <w:r>
        <w:rPr>
          <w:rFonts w:hint="eastAsia" w:hAnsi="宋体" w:cs="宋体"/>
          <w:color w:val="auto"/>
          <w:spacing w:val="-1"/>
          <w:sz w:val="24"/>
          <w:highlight w:val="none"/>
        </w:rPr>
        <w:t>（招标文件另有约定的除外）</w:t>
      </w:r>
      <w:r>
        <w:rPr>
          <w:rFonts w:hint="eastAsia" w:hAnsi="宋体" w:cs="宋体"/>
          <w:color w:val="auto"/>
          <w:sz w:val="24"/>
          <w:highlight w:val="none"/>
        </w:rPr>
        <w:t>。</w:t>
      </w:r>
    </w:p>
    <w:bookmarkEnd w:id="145"/>
    <w:p w14:paraId="754F0C2A">
      <w:pPr>
        <w:pStyle w:val="4"/>
        <w:shd w:val="clear"/>
        <w:spacing w:line="460" w:lineRule="exact"/>
        <w:ind w:firstLine="482" w:firstLineChars="200"/>
        <w:rPr>
          <w:rFonts w:ascii="宋体" w:hAnsi="宋体" w:eastAsia="宋体" w:cs="宋体"/>
          <w:bCs w:val="0"/>
          <w:color w:val="auto"/>
          <w:sz w:val="24"/>
          <w:szCs w:val="24"/>
          <w:highlight w:val="none"/>
        </w:rPr>
      </w:pPr>
      <w:bookmarkStart w:id="149" w:name="_Toc183582297"/>
      <w:bookmarkStart w:id="150" w:name="_Toc217446105"/>
      <w:bookmarkStart w:id="151" w:name="_Toc208849022"/>
      <w:bookmarkStart w:id="152" w:name="_Toc183682432"/>
      <w:r>
        <w:rPr>
          <w:rFonts w:hint="eastAsia" w:ascii="宋体" w:hAnsi="宋体" w:eastAsia="宋体" w:cs="宋体"/>
          <w:bCs w:val="0"/>
          <w:color w:val="auto"/>
          <w:sz w:val="24"/>
          <w:szCs w:val="24"/>
          <w:highlight w:val="none"/>
        </w:rPr>
        <w:t xml:space="preserve">7. </w:t>
      </w:r>
      <w:bookmarkEnd w:id="149"/>
      <w:bookmarkEnd w:id="150"/>
      <w:bookmarkEnd w:id="151"/>
      <w:bookmarkEnd w:id="152"/>
      <w:r>
        <w:rPr>
          <w:rFonts w:hint="eastAsia" w:ascii="宋体" w:hAnsi="宋体" w:eastAsia="宋体" w:cs="宋体"/>
          <w:color w:val="auto"/>
          <w:sz w:val="24"/>
          <w:szCs w:val="24"/>
          <w:highlight w:val="none"/>
        </w:rPr>
        <w:t>评标专家在</w:t>
      </w:r>
      <w:r>
        <w:rPr>
          <w:rFonts w:hint="eastAsia" w:ascii="宋体" w:hAnsi="宋体" w:eastAsia="宋体" w:cs="宋体"/>
          <w:color w:val="auto"/>
          <w:sz w:val="24"/>
          <w:highlight w:val="none"/>
        </w:rPr>
        <w:t>政府采购活动</w:t>
      </w:r>
      <w:r>
        <w:rPr>
          <w:rFonts w:hint="eastAsia" w:ascii="宋体" w:hAnsi="宋体" w:eastAsia="宋体" w:cs="宋体"/>
          <w:color w:val="auto"/>
          <w:sz w:val="24"/>
          <w:szCs w:val="24"/>
          <w:highlight w:val="none"/>
        </w:rPr>
        <w:t>中承担以下义务：</w:t>
      </w:r>
    </w:p>
    <w:p w14:paraId="70B14392">
      <w:pPr>
        <w:shd w:val="clear"/>
        <w:spacing w:line="460" w:lineRule="exact"/>
        <w:ind w:firstLine="480" w:firstLineChars="200"/>
        <w:rPr>
          <w:rFonts w:hAnsi="宋体" w:cs="宋体"/>
          <w:color w:val="auto"/>
          <w:sz w:val="24"/>
          <w:highlight w:val="none"/>
        </w:rPr>
      </w:pPr>
      <w:r>
        <w:rPr>
          <w:rFonts w:hint="eastAsia" w:hAnsi="宋体" w:cs="宋体"/>
          <w:color w:val="auto"/>
          <w:sz w:val="24"/>
          <w:highlight w:val="none"/>
        </w:rPr>
        <w:t xml:space="preserve">（一）遵守评审工作纪律； </w:t>
      </w:r>
    </w:p>
    <w:p w14:paraId="4444C484">
      <w:pPr>
        <w:shd w:val="clear"/>
        <w:spacing w:line="460" w:lineRule="exact"/>
        <w:ind w:firstLine="480" w:firstLineChars="200"/>
        <w:rPr>
          <w:rFonts w:hAnsi="宋体" w:cs="宋体"/>
          <w:color w:val="auto"/>
          <w:sz w:val="24"/>
          <w:highlight w:val="none"/>
        </w:rPr>
      </w:pPr>
      <w:r>
        <w:rPr>
          <w:rFonts w:hint="eastAsia" w:hAnsi="宋体" w:cs="宋体"/>
          <w:color w:val="auto"/>
          <w:sz w:val="24"/>
          <w:highlight w:val="none"/>
        </w:rPr>
        <w:t>（二）按照客观、公正、审慎的原则，根据采购文件规定的评审程序、评审方法和评审标准进行独立评审；</w:t>
      </w:r>
    </w:p>
    <w:p w14:paraId="357A1B2C">
      <w:pPr>
        <w:shd w:val="clear"/>
        <w:spacing w:line="460" w:lineRule="exact"/>
        <w:ind w:firstLine="480" w:firstLineChars="200"/>
        <w:rPr>
          <w:rFonts w:hAnsi="宋体" w:cs="宋体"/>
          <w:color w:val="auto"/>
          <w:sz w:val="24"/>
          <w:highlight w:val="none"/>
        </w:rPr>
      </w:pPr>
      <w:r>
        <w:rPr>
          <w:rFonts w:hint="eastAsia" w:hAnsi="宋体" w:cs="宋体"/>
          <w:color w:val="auto"/>
          <w:sz w:val="24"/>
          <w:highlight w:val="none"/>
        </w:rPr>
        <w:t>（三）不得泄露评审文件、评审情况和在评审过程中获悉的商业秘密；</w:t>
      </w:r>
    </w:p>
    <w:p w14:paraId="1B92E05C">
      <w:pPr>
        <w:shd w:val="clear"/>
        <w:spacing w:line="460" w:lineRule="exact"/>
        <w:ind w:firstLine="480" w:firstLineChars="200"/>
        <w:rPr>
          <w:rFonts w:hAnsi="宋体" w:cs="宋体"/>
          <w:color w:val="auto"/>
          <w:sz w:val="24"/>
          <w:highlight w:val="none"/>
        </w:rPr>
      </w:pPr>
      <w:r>
        <w:rPr>
          <w:rFonts w:hint="eastAsia" w:hAnsi="宋体" w:cs="宋体"/>
          <w:color w:val="auto"/>
          <w:sz w:val="24"/>
          <w:highlight w:val="none"/>
        </w:rPr>
        <w:t>（四）及时向监督部门报告评审过程中采购组织单位向评审专家做倾向性、误导性的解释或者说明，投标人行贿、提供虚假材料或者串通、受到的非法干预情况等违法违规行为；</w:t>
      </w:r>
    </w:p>
    <w:p w14:paraId="30E9B50A">
      <w:pPr>
        <w:shd w:val="clear"/>
        <w:spacing w:line="460" w:lineRule="exact"/>
        <w:ind w:firstLine="480" w:firstLineChars="200"/>
        <w:rPr>
          <w:rFonts w:hAnsi="宋体" w:cs="宋体"/>
          <w:color w:val="auto"/>
          <w:sz w:val="24"/>
          <w:highlight w:val="none"/>
        </w:rPr>
      </w:pPr>
      <w:r>
        <w:rPr>
          <w:rFonts w:hint="eastAsia" w:hAnsi="宋体" w:cs="宋体"/>
          <w:color w:val="auto"/>
          <w:sz w:val="24"/>
          <w:highlight w:val="none"/>
        </w:rPr>
        <w:t>（五）发现采购文件内容违反国家有关强制性规定或者存在歧义、重大缺陷导致评审工作无法进行时，停止评审并向采购组织单位书面说明情况；</w:t>
      </w:r>
    </w:p>
    <w:p w14:paraId="0DE21737">
      <w:pPr>
        <w:shd w:val="clear"/>
        <w:spacing w:line="460" w:lineRule="exact"/>
        <w:ind w:firstLine="480" w:firstLineChars="200"/>
        <w:rPr>
          <w:rFonts w:hAnsi="宋体" w:cs="宋体"/>
          <w:color w:val="auto"/>
          <w:sz w:val="24"/>
          <w:highlight w:val="none"/>
        </w:rPr>
      </w:pPr>
      <w:r>
        <w:rPr>
          <w:rFonts w:hint="eastAsia" w:hAnsi="宋体" w:cs="宋体"/>
          <w:color w:val="auto"/>
          <w:sz w:val="24"/>
          <w:highlight w:val="none"/>
        </w:rPr>
        <w:t>（六）配合答复处理投标人的询问、质疑和投诉等事项；</w:t>
      </w:r>
    </w:p>
    <w:p w14:paraId="55A1CB10">
      <w:pPr>
        <w:shd w:val="clear"/>
        <w:spacing w:line="460" w:lineRule="exact"/>
        <w:ind w:firstLine="480" w:firstLineChars="200"/>
        <w:rPr>
          <w:rFonts w:hAnsi="宋体" w:cs="宋体"/>
          <w:color w:val="auto"/>
          <w:sz w:val="24"/>
          <w:highlight w:val="none"/>
        </w:rPr>
      </w:pPr>
      <w:r>
        <w:rPr>
          <w:rFonts w:hint="eastAsia" w:hAnsi="宋体" w:cs="宋体"/>
          <w:color w:val="auto"/>
          <w:sz w:val="24"/>
          <w:highlight w:val="none"/>
        </w:rPr>
        <w:t>（七）法律、法规和规章规定的其他义务。</w:t>
      </w:r>
    </w:p>
    <w:p w14:paraId="3946DA10">
      <w:pPr>
        <w:pStyle w:val="4"/>
        <w:shd w:val="clear"/>
        <w:spacing w:line="460" w:lineRule="exact"/>
        <w:ind w:firstLine="482" w:firstLineChars="200"/>
        <w:rPr>
          <w:rFonts w:ascii="宋体" w:hAnsi="宋体" w:eastAsia="宋体" w:cs="宋体"/>
          <w:bCs w:val="0"/>
          <w:color w:val="auto"/>
          <w:sz w:val="24"/>
          <w:szCs w:val="24"/>
          <w:highlight w:val="none"/>
        </w:rPr>
      </w:pPr>
      <w:r>
        <w:rPr>
          <w:rFonts w:hint="eastAsia" w:ascii="宋体" w:hAnsi="宋体" w:eastAsia="宋体" w:cs="宋体"/>
          <w:bCs w:val="0"/>
          <w:color w:val="auto"/>
          <w:sz w:val="24"/>
          <w:szCs w:val="24"/>
          <w:highlight w:val="none"/>
        </w:rPr>
        <w:t>8.评标专家在政府采购活动中应当遵守以下工作纪律：</w:t>
      </w:r>
    </w:p>
    <w:p w14:paraId="19F9A2B3">
      <w:pPr>
        <w:shd w:val="clear"/>
        <w:spacing w:line="460" w:lineRule="exact"/>
        <w:ind w:firstLine="480" w:firstLineChars="200"/>
        <w:rPr>
          <w:rFonts w:hAnsi="宋体" w:cs="宋体"/>
          <w:color w:val="auto"/>
          <w:sz w:val="24"/>
          <w:highlight w:val="none"/>
        </w:rPr>
      </w:pPr>
      <w:r>
        <w:rPr>
          <w:rFonts w:hint="eastAsia" w:hAnsi="宋体" w:cs="宋体"/>
          <w:color w:val="auto"/>
          <w:sz w:val="24"/>
          <w:highlight w:val="none"/>
        </w:rPr>
        <w:t>（一）遵行《中华人民共和国政府采购法》第十二条和《政府采购法实施条例》第九条及财政部关于回避的规定。</w:t>
      </w:r>
    </w:p>
    <w:p w14:paraId="756B8087">
      <w:pPr>
        <w:shd w:val="clear"/>
        <w:spacing w:line="460" w:lineRule="exact"/>
        <w:ind w:firstLine="480" w:firstLineChars="200"/>
        <w:rPr>
          <w:rFonts w:hAnsi="宋体" w:cs="宋体"/>
          <w:color w:val="auto"/>
          <w:sz w:val="24"/>
          <w:highlight w:val="none"/>
        </w:rPr>
      </w:pPr>
      <w:r>
        <w:rPr>
          <w:rFonts w:hint="eastAsia" w:hAnsi="宋体" w:cs="宋体"/>
          <w:color w:val="auto"/>
          <w:sz w:val="24"/>
          <w:highlight w:val="none"/>
        </w:rPr>
        <w:t>（二）评标前，应当将通讯工具或者相关电子设备交由招标采购单位统一保管。</w:t>
      </w:r>
    </w:p>
    <w:p w14:paraId="00F1947D">
      <w:pPr>
        <w:shd w:val="clear"/>
        <w:spacing w:line="460" w:lineRule="exact"/>
        <w:ind w:firstLine="480" w:firstLineChars="200"/>
        <w:rPr>
          <w:rFonts w:hAnsi="宋体" w:cs="宋体"/>
          <w:color w:val="auto"/>
          <w:sz w:val="24"/>
          <w:highlight w:val="none"/>
        </w:rPr>
      </w:pPr>
      <w:r>
        <w:rPr>
          <w:rFonts w:hint="eastAsia" w:hAnsi="宋体" w:cs="宋体"/>
          <w:color w:val="auto"/>
          <w:sz w:val="24"/>
          <w:highlight w:val="none"/>
        </w:rPr>
        <w:t>（三）评标过程中，不得与外界联系，因发生不可预见情况，确实需要与外界联系的，应当在监督人员监督之下办理。</w:t>
      </w:r>
    </w:p>
    <w:p w14:paraId="4FEE3AFD">
      <w:pPr>
        <w:shd w:val="clear"/>
        <w:spacing w:line="460" w:lineRule="exact"/>
        <w:ind w:firstLine="480" w:firstLineChars="200"/>
        <w:rPr>
          <w:rFonts w:hAnsi="宋体" w:cs="宋体"/>
          <w:color w:val="auto"/>
          <w:sz w:val="24"/>
          <w:highlight w:val="none"/>
        </w:rPr>
      </w:pPr>
      <w:r>
        <w:rPr>
          <w:rFonts w:hint="eastAsia" w:hAnsi="宋体" w:cs="宋体"/>
          <w:color w:val="auto"/>
          <w:sz w:val="24"/>
          <w:highlight w:val="none"/>
        </w:rPr>
        <w:t>（四） 在评标过程中不得擅离职守，影响评标程序正常进行；</w:t>
      </w:r>
    </w:p>
    <w:p w14:paraId="2788B488">
      <w:pPr>
        <w:shd w:val="clear"/>
        <w:spacing w:line="460" w:lineRule="exact"/>
        <w:ind w:firstLine="480" w:firstLineChars="200"/>
        <w:rPr>
          <w:rFonts w:hAnsi="宋体" w:cs="宋体"/>
          <w:color w:val="auto"/>
          <w:sz w:val="24"/>
          <w:highlight w:val="none"/>
        </w:rPr>
      </w:pPr>
      <w:r>
        <w:rPr>
          <w:rFonts w:hint="eastAsia" w:hAnsi="宋体" w:cs="宋体"/>
          <w:color w:val="auto"/>
          <w:sz w:val="24"/>
          <w:highlight w:val="none"/>
        </w:rPr>
        <w:t>（五）评标过程中，不得干预或者影响正常评标工作，不得发表倾向性、引导性意见，不得修改或细化招标文件确定的评标程序、评标方法、评标因素和评标标准，不得接受投标人主动提出的澄清和解释，不得征询采购人代表的意见，不得协商评分，不得违反规定的评标格式评分和撰写评标意见，不得拒绝对自己的评标意见签字确认。</w:t>
      </w:r>
    </w:p>
    <w:p w14:paraId="1FCEBE46">
      <w:pPr>
        <w:shd w:val="clear"/>
        <w:spacing w:line="460" w:lineRule="exact"/>
        <w:ind w:firstLine="480" w:firstLineChars="200"/>
        <w:rPr>
          <w:rFonts w:hAnsi="宋体" w:cs="宋体"/>
          <w:color w:val="auto"/>
          <w:sz w:val="24"/>
          <w:highlight w:val="none"/>
        </w:rPr>
      </w:pPr>
      <w:r>
        <w:rPr>
          <w:rFonts w:hint="eastAsia" w:hAnsi="宋体" w:cs="宋体"/>
          <w:color w:val="auto"/>
          <w:sz w:val="24"/>
          <w:szCs w:val="22"/>
          <w:highlight w:val="none"/>
        </w:rPr>
        <w:t>（六）不得接受投标人提出的与投标文件不一致的澄清或者说明，中华人民共和国财政部令第 87 号--政府采购货物和服务招标投标管理办法第五十一条规定的情形除外；</w:t>
      </w:r>
    </w:p>
    <w:p w14:paraId="03433794">
      <w:pPr>
        <w:shd w:val="clear"/>
        <w:spacing w:line="460" w:lineRule="exact"/>
        <w:ind w:firstLine="480" w:firstLineChars="200"/>
        <w:rPr>
          <w:rFonts w:hAnsi="宋体" w:cs="宋体"/>
          <w:color w:val="auto"/>
          <w:sz w:val="24"/>
          <w:highlight w:val="none"/>
        </w:rPr>
      </w:pPr>
      <w:r>
        <w:rPr>
          <w:rFonts w:hint="eastAsia" w:hAnsi="宋体" w:cs="宋体"/>
          <w:color w:val="auto"/>
          <w:sz w:val="24"/>
          <w:highlight w:val="none"/>
        </w:rPr>
        <w:t>（七）在评标过程中和评标结束后，不得记录、复制或带走任何评标资料，除因规定的义务外，不得向外界透露评标内容。</w:t>
      </w:r>
    </w:p>
    <w:p w14:paraId="79D0A7A5">
      <w:pPr>
        <w:shd w:val="clear"/>
        <w:spacing w:line="460" w:lineRule="exact"/>
        <w:ind w:firstLine="480" w:firstLineChars="200"/>
        <w:rPr>
          <w:rFonts w:hAnsi="宋体" w:cs="宋体"/>
          <w:color w:val="auto"/>
          <w:sz w:val="24"/>
          <w:highlight w:val="none"/>
        </w:rPr>
      </w:pPr>
      <w:r>
        <w:rPr>
          <w:rFonts w:hint="eastAsia" w:hAnsi="宋体" w:cs="宋体"/>
          <w:color w:val="auto"/>
          <w:sz w:val="24"/>
          <w:highlight w:val="none"/>
        </w:rPr>
        <w:t>（八）服从评标现场招标采购单位的现场秩序管理，接受评标现场监督人员的合法监督。</w:t>
      </w:r>
    </w:p>
    <w:p w14:paraId="246AE7F2">
      <w:pPr>
        <w:shd w:val="clear"/>
        <w:spacing w:line="460" w:lineRule="exact"/>
        <w:ind w:firstLine="480" w:firstLineChars="200"/>
        <w:rPr>
          <w:rFonts w:hAnsi="宋体" w:cs="宋体"/>
          <w:color w:val="auto"/>
          <w:sz w:val="24"/>
          <w:highlight w:val="none"/>
        </w:rPr>
      </w:pPr>
      <w:r>
        <w:rPr>
          <w:rFonts w:hint="eastAsia" w:hAnsi="宋体" w:cs="宋体"/>
          <w:color w:val="auto"/>
          <w:sz w:val="24"/>
          <w:highlight w:val="none"/>
        </w:rPr>
        <w:t>（九）遵守有关廉洁自律规定，不得私下接触投标人，不得收受投标人及有关业务单位和个人的财物或好处，不得接受采购组织单位的请托。</w:t>
      </w:r>
    </w:p>
    <w:p w14:paraId="0639DCB0">
      <w:pPr>
        <w:shd w:val="clear"/>
        <w:spacing w:line="460" w:lineRule="exact"/>
        <w:ind w:firstLine="480" w:firstLineChars="200"/>
        <w:rPr>
          <w:rFonts w:hAnsi="宋体" w:cs="宋体"/>
          <w:color w:val="auto"/>
          <w:sz w:val="24"/>
          <w:highlight w:val="none"/>
        </w:rPr>
      </w:pPr>
      <w:r>
        <w:rPr>
          <w:rFonts w:hint="eastAsia" w:hAnsi="宋体" w:cs="宋体"/>
          <w:color w:val="auto"/>
          <w:sz w:val="24"/>
          <w:highlight w:val="none"/>
        </w:rPr>
        <w:t>（十）有关部门（机构）制定的其他评审工作纪律。</w:t>
      </w:r>
    </w:p>
    <w:p w14:paraId="0AF8D620">
      <w:pPr>
        <w:pStyle w:val="2"/>
        <w:shd w:val="clear"/>
        <w:rPr>
          <w:rFonts w:hAnsi="宋体" w:cs="宋体"/>
          <w:color w:val="auto"/>
          <w:highlight w:val="none"/>
        </w:rPr>
      </w:pPr>
    </w:p>
    <w:p w14:paraId="7793A77B">
      <w:pPr>
        <w:shd w:val="clear"/>
        <w:rPr>
          <w:rFonts w:hAnsi="宋体" w:cs="宋体"/>
          <w:color w:val="auto"/>
          <w:sz w:val="36"/>
          <w:szCs w:val="36"/>
          <w:highlight w:val="none"/>
        </w:rPr>
      </w:pPr>
      <w:r>
        <w:rPr>
          <w:rFonts w:hAnsi="宋体" w:cs="宋体"/>
          <w:color w:val="auto"/>
          <w:sz w:val="36"/>
          <w:szCs w:val="36"/>
          <w:highlight w:val="none"/>
        </w:rPr>
        <w:br w:type="page"/>
      </w:r>
    </w:p>
    <w:p w14:paraId="0D1404A2">
      <w:pPr>
        <w:pStyle w:val="3"/>
        <w:shd w:val="clear"/>
        <w:spacing w:line="500" w:lineRule="exact"/>
        <w:rPr>
          <w:rFonts w:hAnsi="宋体" w:cs="宋体"/>
          <w:color w:val="auto"/>
          <w:sz w:val="36"/>
          <w:szCs w:val="36"/>
          <w:highlight w:val="none"/>
        </w:rPr>
      </w:pPr>
      <w:bookmarkStart w:id="153" w:name="_Toc11815"/>
      <w:r>
        <w:rPr>
          <w:rFonts w:hint="eastAsia" w:hAnsi="宋体" w:cs="宋体"/>
          <w:color w:val="auto"/>
          <w:sz w:val="36"/>
          <w:szCs w:val="36"/>
          <w:highlight w:val="none"/>
        </w:rPr>
        <w:t>第八章  政府采购合同（样例）</w:t>
      </w:r>
      <w:bookmarkEnd w:id="153"/>
    </w:p>
    <w:p w14:paraId="1383513E">
      <w:pPr>
        <w:shd w:val="clear"/>
        <w:spacing w:line="500" w:lineRule="exact"/>
        <w:rPr>
          <w:rFonts w:hAnsi="宋体" w:cs="宋体"/>
          <w:color w:val="auto"/>
          <w:highlight w:val="none"/>
        </w:rPr>
      </w:pPr>
    </w:p>
    <w:p w14:paraId="471968FE">
      <w:pPr>
        <w:widowControl/>
        <w:shd w:val="clear"/>
        <w:topLinePunct/>
        <w:adjustRightInd w:val="0"/>
        <w:snapToGrid w:val="0"/>
        <w:spacing w:beforeLines="50" w:line="400" w:lineRule="exact"/>
        <w:ind w:firstLine="480" w:firstLineChars="200"/>
        <w:jc w:val="left"/>
        <w:rPr>
          <w:rFonts w:hAnsi="宋体" w:cs="宋体"/>
          <w:color w:val="auto"/>
          <w:sz w:val="24"/>
          <w:szCs w:val="24"/>
          <w:highlight w:val="none"/>
        </w:rPr>
      </w:pPr>
      <w:r>
        <w:rPr>
          <w:rFonts w:hint="eastAsia" w:hAnsi="宋体" w:cs="宋体"/>
          <w:color w:val="auto"/>
          <w:sz w:val="24"/>
          <w:szCs w:val="24"/>
          <w:highlight w:val="none"/>
        </w:rPr>
        <w:t>合同编号：XXXXXXXXXX</w:t>
      </w:r>
    </w:p>
    <w:p w14:paraId="106B9738">
      <w:pPr>
        <w:widowControl/>
        <w:shd w:val="clear"/>
        <w:topLinePunct/>
        <w:adjustRightInd w:val="0"/>
        <w:snapToGrid w:val="0"/>
        <w:spacing w:beforeLines="50" w:line="400" w:lineRule="exact"/>
        <w:ind w:firstLine="480" w:firstLineChars="200"/>
        <w:jc w:val="left"/>
        <w:rPr>
          <w:rFonts w:hAnsi="宋体" w:cs="宋体"/>
          <w:color w:val="auto"/>
          <w:sz w:val="24"/>
          <w:szCs w:val="24"/>
          <w:highlight w:val="none"/>
        </w:rPr>
      </w:pPr>
      <w:r>
        <w:rPr>
          <w:rFonts w:hint="eastAsia" w:hAnsi="宋体" w:cs="宋体"/>
          <w:color w:val="auto"/>
          <w:sz w:val="24"/>
          <w:szCs w:val="24"/>
          <w:highlight w:val="none"/>
        </w:rPr>
        <w:t>签订地点：</w:t>
      </w:r>
    </w:p>
    <w:p w14:paraId="18E71FA8">
      <w:pPr>
        <w:widowControl/>
        <w:shd w:val="clear"/>
        <w:topLinePunct/>
        <w:adjustRightInd w:val="0"/>
        <w:snapToGrid w:val="0"/>
        <w:spacing w:beforeLines="50" w:line="400" w:lineRule="exact"/>
        <w:ind w:firstLine="480" w:firstLineChars="200"/>
        <w:jc w:val="left"/>
        <w:rPr>
          <w:rFonts w:hAnsi="宋体" w:cs="宋体"/>
          <w:color w:val="auto"/>
          <w:sz w:val="24"/>
          <w:szCs w:val="24"/>
          <w:highlight w:val="none"/>
        </w:rPr>
      </w:pPr>
      <w:r>
        <w:rPr>
          <w:rFonts w:hint="eastAsia" w:hAnsi="宋体" w:cs="宋体"/>
          <w:color w:val="auto"/>
          <w:sz w:val="24"/>
          <w:szCs w:val="24"/>
          <w:highlight w:val="none"/>
        </w:rPr>
        <w:t>采购人(甲方)：</w:t>
      </w:r>
    </w:p>
    <w:p w14:paraId="72F26D5E">
      <w:pPr>
        <w:widowControl/>
        <w:shd w:val="clear"/>
        <w:topLinePunct/>
        <w:adjustRightInd w:val="0"/>
        <w:snapToGrid w:val="0"/>
        <w:spacing w:beforeLines="50" w:line="400" w:lineRule="exact"/>
        <w:ind w:firstLine="480" w:firstLineChars="200"/>
        <w:jc w:val="left"/>
        <w:rPr>
          <w:rFonts w:hAnsi="宋体" w:cs="宋体"/>
          <w:color w:val="auto"/>
          <w:sz w:val="24"/>
          <w:szCs w:val="24"/>
          <w:highlight w:val="none"/>
        </w:rPr>
      </w:pPr>
      <w:r>
        <w:rPr>
          <w:rFonts w:hint="eastAsia" w:hAnsi="宋体" w:cs="宋体"/>
          <w:color w:val="auto"/>
          <w:sz w:val="24"/>
          <w:szCs w:val="24"/>
          <w:highlight w:val="none"/>
        </w:rPr>
        <w:t>投标人(乙方)：</w:t>
      </w:r>
    </w:p>
    <w:p w14:paraId="72536FA1">
      <w:pPr>
        <w:shd w:val="clear"/>
        <w:topLinePunct/>
        <w:adjustRightInd w:val="0"/>
        <w:snapToGrid w:val="0"/>
        <w:spacing w:beforeLines="50" w:line="4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根据《中华人民共和国政府采购法》、《中华人民共和国政府采购法实施条例》、《中华人民共和国民法典》及采购项目(项目名称：XXXXXX；招标代理机构：XXXXXX；项目编号：XXXXXXX)的《采购文件》、乙方的《响应文件》及《中标通知书》，甲、乙双方同意签订本合同。详细技术说明及其他有关合同项目的特定信息由合同附件予以说明，合同附件及本项目的采购文件、响应文件、《中标通知书》等均为本合同不可分割的部分。双方同意共同遵守如下条款：</w:t>
      </w:r>
    </w:p>
    <w:p w14:paraId="614F85D2">
      <w:pPr>
        <w:shd w:val="clear"/>
        <w:topLinePunct/>
        <w:adjustRightInd w:val="0"/>
        <w:snapToGrid w:val="0"/>
        <w:spacing w:beforeLines="50" w:line="4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一、合同货物</w:t>
      </w:r>
    </w:p>
    <w:tbl>
      <w:tblPr>
        <w:tblStyle w:val="29"/>
        <w:tblW w:w="891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242"/>
        <w:gridCol w:w="1080"/>
        <w:gridCol w:w="741"/>
        <w:gridCol w:w="925"/>
        <w:gridCol w:w="1111"/>
        <w:gridCol w:w="1219"/>
        <w:gridCol w:w="1296"/>
        <w:gridCol w:w="1296"/>
      </w:tblGrid>
      <w:tr w14:paraId="61A520F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83" w:hRule="atLeast"/>
          <w:jc w:val="center"/>
        </w:trPr>
        <w:tc>
          <w:tcPr>
            <w:tcW w:w="1242" w:type="dxa"/>
            <w:tcBorders>
              <w:top w:val="single" w:color="auto" w:sz="4" w:space="0"/>
              <w:left w:val="single" w:color="auto" w:sz="4" w:space="0"/>
              <w:bottom w:val="single" w:color="auto" w:sz="4" w:space="0"/>
              <w:right w:val="single" w:color="auto" w:sz="4" w:space="0"/>
            </w:tcBorders>
            <w:vAlign w:val="center"/>
          </w:tcPr>
          <w:p w14:paraId="6E0E6C8F">
            <w:pPr>
              <w:shd w:val="clear"/>
              <w:topLinePunct/>
              <w:adjustRightInd w:val="0"/>
              <w:snapToGrid w:val="0"/>
              <w:spacing w:beforeLines="50" w:line="400" w:lineRule="exact"/>
              <w:rPr>
                <w:rFonts w:hAnsi="宋体" w:cs="宋体"/>
                <w:color w:val="auto"/>
                <w:sz w:val="24"/>
                <w:szCs w:val="24"/>
                <w:highlight w:val="none"/>
              </w:rPr>
            </w:pPr>
            <w:r>
              <w:rPr>
                <w:rFonts w:hint="eastAsia" w:hAnsi="宋体" w:cs="宋体"/>
                <w:color w:val="auto"/>
                <w:sz w:val="24"/>
                <w:szCs w:val="24"/>
                <w:highlight w:val="none"/>
              </w:rPr>
              <w:t>货物品名</w:t>
            </w:r>
          </w:p>
        </w:tc>
        <w:tc>
          <w:tcPr>
            <w:tcW w:w="1080" w:type="dxa"/>
            <w:tcBorders>
              <w:top w:val="single" w:color="auto" w:sz="4" w:space="0"/>
              <w:left w:val="single" w:color="auto" w:sz="4" w:space="0"/>
              <w:bottom w:val="single" w:color="auto" w:sz="4" w:space="0"/>
              <w:right w:val="single" w:color="auto" w:sz="4" w:space="0"/>
            </w:tcBorders>
            <w:vAlign w:val="center"/>
          </w:tcPr>
          <w:p w14:paraId="08CB8D6A">
            <w:pPr>
              <w:shd w:val="clear"/>
              <w:topLinePunct/>
              <w:adjustRightInd w:val="0"/>
              <w:snapToGrid w:val="0"/>
              <w:spacing w:beforeLines="50" w:line="400" w:lineRule="exact"/>
              <w:rPr>
                <w:rFonts w:hAnsi="宋体" w:cs="宋体"/>
                <w:color w:val="auto"/>
                <w:sz w:val="24"/>
                <w:szCs w:val="24"/>
                <w:highlight w:val="none"/>
              </w:rPr>
            </w:pPr>
            <w:r>
              <w:rPr>
                <w:rFonts w:hint="eastAsia" w:hAnsi="宋体" w:cs="宋体"/>
                <w:color w:val="auto"/>
                <w:sz w:val="24"/>
                <w:szCs w:val="24"/>
                <w:highlight w:val="none"/>
              </w:rPr>
              <w:t>规格型号</w:t>
            </w:r>
          </w:p>
        </w:tc>
        <w:tc>
          <w:tcPr>
            <w:tcW w:w="741" w:type="dxa"/>
            <w:tcBorders>
              <w:top w:val="single" w:color="auto" w:sz="4" w:space="0"/>
              <w:left w:val="single" w:color="auto" w:sz="4" w:space="0"/>
              <w:bottom w:val="single" w:color="auto" w:sz="4" w:space="0"/>
              <w:right w:val="single" w:color="auto" w:sz="4" w:space="0"/>
            </w:tcBorders>
            <w:vAlign w:val="center"/>
          </w:tcPr>
          <w:p w14:paraId="48AFBC83">
            <w:pPr>
              <w:shd w:val="clear"/>
              <w:topLinePunct/>
              <w:adjustRightInd w:val="0"/>
              <w:snapToGrid w:val="0"/>
              <w:spacing w:beforeLines="50" w:line="400" w:lineRule="exact"/>
              <w:rPr>
                <w:rFonts w:hAnsi="宋体" w:cs="宋体"/>
                <w:color w:val="auto"/>
                <w:sz w:val="24"/>
                <w:szCs w:val="24"/>
                <w:highlight w:val="none"/>
              </w:rPr>
            </w:pPr>
            <w:r>
              <w:rPr>
                <w:rFonts w:hint="eastAsia" w:hAnsi="宋体" w:cs="宋体"/>
                <w:color w:val="auto"/>
                <w:sz w:val="24"/>
                <w:szCs w:val="24"/>
                <w:highlight w:val="none"/>
              </w:rPr>
              <w:t>单位</w:t>
            </w:r>
          </w:p>
        </w:tc>
        <w:tc>
          <w:tcPr>
            <w:tcW w:w="925" w:type="dxa"/>
            <w:tcBorders>
              <w:top w:val="single" w:color="auto" w:sz="4" w:space="0"/>
              <w:left w:val="single" w:color="auto" w:sz="4" w:space="0"/>
              <w:bottom w:val="single" w:color="auto" w:sz="4" w:space="0"/>
              <w:right w:val="single" w:color="auto" w:sz="4" w:space="0"/>
            </w:tcBorders>
            <w:vAlign w:val="center"/>
          </w:tcPr>
          <w:p w14:paraId="63A97A06">
            <w:pPr>
              <w:shd w:val="clear"/>
              <w:topLinePunct/>
              <w:adjustRightInd w:val="0"/>
              <w:snapToGrid w:val="0"/>
              <w:spacing w:beforeLines="50" w:line="400" w:lineRule="exact"/>
              <w:rPr>
                <w:rFonts w:hAnsi="宋体" w:cs="宋体"/>
                <w:color w:val="auto"/>
                <w:sz w:val="24"/>
                <w:szCs w:val="24"/>
                <w:highlight w:val="none"/>
              </w:rPr>
            </w:pPr>
            <w:r>
              <w:rPr>
                <w:rFonts w:hint="eastAsia" w:hAnsi="宋体" w:cs="宋体"/>
                <w:color w:val="auto"/>
                <w:sz w:val="24"/>
                <w:szCs w:val="24"/>
                <w:highlight w:val="none"/>
              </w:rPr>
              <w:t>数量</w:t>
            </w:r>
          </w:p>
        </w:tc>
        <w:tc>
          <w:tcPr>
            <w:tcW w:w="1111" w:type="dxa"/>
            <w:tcBorders>
              <w:top w:val="single" w:color="auto" w:sz="4" w:space="0"/>
              <w:left w:val="single" w:color="auto" w:sz="4" w:space="0"/>
              <w:bottom w:val="single" w:color="auto" w:sz="4" w:space="0"/>
              <w:right w:val="single" w:color="auto" w:sz="4" w:space="0"/>
            </w:tcBorders>
            <w:vAlign w:val="center"/>
          </w:tcPr>
          <w:p w14:paraId="6F36B776">
            <w:pPr>
              <w:shd w:val="clear"/>
              <w:topLinePunct/>
              <w:adjustRightInd w:val="0"/>
              <w:snapToGrid w:val="0"/>
              <w:spacing w:beforeLines="50" w:line="400" w:lineRule="exact"/>
              <w:rPr>
                <w:rFonts w:hAnsi="宋体" w:cs="宋体"/>
                <w:color w:val="auto"/>
                <w:sz w:val="24"/>
                <w:szCs w:val="24"/>
                <w:highlight w:val="none"/>
              </w:rPr>
            </w:pPr>
            <w:r>
              <w:rPr>
                <w:rFonts w:hint="eastAsia" w:hAnsi="宋体" w:cs="宋体"/>
                <w:color w:val="auto"/>
                <w:sz w:val="24"/>
                <w:szCs w:val="24"/>
                <w:highlight w:val="none"/>
              </w:rPr>
              <w:t>单价</w:t>
            </w:r>
          </w:p>
          <w:p w14:paraId="6FDD6BF0">
            <w:pPr>
              <w:shd w:val="clear"/>
              <w:topLinePunct/>
              <w:adjustRightInd w:val="0"/>
              <w:snapToGrid w:val="0"/>
              <w:spacing w:beforeLines="50" w:line="400" w:lineRule="exact"/>
              <w:rPr>
                <w:rFonts w:hAnsi="宋体" w:cs="宋体"/>
                <w:color w:val="auto"/>
                <w:sz w:val="24"/>
                <w:szCs w:val="24"/>
                <w:highlight w:val="none"/>
              </w:rPr>
            </w:pPr>
            <w:r>
              <w:rPr>
                <w:rFonts w:hint="eastAsia" w:hAnsi="宋体" w:cs="宋体"/>
                <w:color w:val="auto"/>
                <w:sz w:val="24"/>
                <w:szCs w:val="24"/>
                <w:highlight w:val="none"/>
              </w:rPr>
              <w:t>（万元）</w:t>
            </w:r>
          </w:p>
        </w:tc>
        <w:tc>
          <w:tcPr>
            <w:tcW w:w="1219" w:type="dxa"/>
            <w:tcBorders>
              <w:top w:val="single" w:color="auto" w:sz="4" w:space="0"/>
              <w:left w:val="single" w:color="auto" w:sz="4" w:space="0"/>
              <w:bottom w:val="single" w:color="auto" w:sz="4" w:space="0"/>
              <w:right w:val="single" w:color="auto" w:sz="4" w:space="0"/>
            </w:tcBorders>
            <w:vAlign w:val="center"/>
          </w:tcPr>
          <w:p w14:paraId="16368D06">
            <w:pPr>
              <w:shd w:val="clear"/>
              <w:topLinePunct/>
              <w:adjustRightInd w:val="0"/>
              <w:snapToGrid w:val="0"/>
              <w:spacing w:beforeLines="50" w:line="400" w:lineRule="exact"/>
              <w:rPr>
                <w:rFonts w:hAnsi="宋体" w:cs="宋体"/>
                <w:color w:val="auto"/>
                <w:sz w:val="24"/>
                <w:szCs w:val="24"/>
                <w:highlight w:val="none"/>
              </w:rPr>
            </w:pPr>
            <w:r>
              <w:rPr>
                <w:rFonts w:hint="eastAsia" w:hAnsi="宋体" w:cs="宋体"/>
                <w:color w:val="auto"/>
                <w:sz w:val="24"/>
                <w:szCs w:val="24"/>
                <w:highlight w:val="none"/>
              </w:rPr>
              <w:t>总价</w:t>
            </w:r>
          </w:p>
          <w:p w14:paraId="15FA7773">
            <w:pPr>
              <w:shd w:val="clear"/>
              <w:topLinePunct/>
              <w:adjustRightInd w:val="0"/>
              <w:snapToGrid w:val="0"/>
              <w:spacing w:beforeLines="50" w:line="400" w:lineRule="exact"/>
              <w:rPr>
                <w:rFonts w:hAnsi="宋体" w:cs="宋体"/>
                <w:color w:val="auto"/>
                <w:sz w:val="24"/>
                <w:szCs w:val="24"/>
                <w:highlight w:val="none"/>
              </w:rPr>
            </w:pPr>
            <w:r>
              <w:rPr>
                <w:rFonts w:hint="eastAsia" w:hAnsi="宋体" w:cs="宋体"/>
                <w:color w:val="auto"/>
                <w:sz w:val="24"/>
                <w:szCs w:val="24"/>
                <w:highlight w:val="none"/>
              </w:rPr>
              <w:t>（万元）</w:t>
            </w:r>
          </w:p>
        </w:tc>
        <w:tc>
          <w:tcPr>
            <w:tcW w:w="1296" w:type="dxa"/>
            <w:tcBorders>
              <w:top w:val="single" w:color="auto" w:sz="4" w:space="0"/>
              <w:left w:val="single" w:color="auto" w:sz="4" w:space="0"/>
              <w:bottom w:val="single" w:color="auto" w:sz="4" w:space="0"/>
              <w:right w:val="single" w:color="auto" w:sz="4" w:space="0"/>
            </w:tcBorders>
            <w:vAlign w:val="center"/>
          </w:tcPr>
          <w:p w14:paraId="04A706E4">
            <w:pPr>
              <w:shd w:val="clear"/>
              <w:topLinePunct/>
              <w:adjustRightInd w:val="0"/>
              <w:snapToGrid w:val="0"/>
              <w:spacing w:beforeLines="50" w:line="400" w:lineRule="exact"/>
              <w:rPr>
                <w:rFonts w:hAnsi="宋体" w:cs="宋体"/>
                <w:color w:val="auto"/>
                <w:sz w:val="24"/>
                <w:szCs w:val="24"/>
                <w:highlight w:val="none"/>
              </w:rPr>
            </w:pPr>
            <w:r>
              <w:rPr>
                <w:rFonts w:hint="eastAsia" w:hAnsi="宋体" w:cs="宋体"/>
                <w:color w:val="auto"/>
                <w:sz w:val="24"/>
                <w:szCs w:val="24"/>
                <w:highlight w:val="none"/>
              </w:rPr>
              <w:t>随机配件</w:t>
            </w:r>
          </w:p>
        </w:tc>
        <w:tc>
          <w:tcPr>
            <w:tcW w:w="1296" w:type="dxa"/>
            <w:tcBorders>
              <w:top w:val="single" w:color="auto" w:sz="4" w:space="0"/>
              <w:left w:val="single" w:color="auto" w:sz="4" w:space="0"/>
              <w:bottom w:val="single" w:color="auto" w:sz="4" w:space="0"/>
              <w:right w:val="single" w:color="auto" w:sz="4" w:space="0"/>
            </w:tcBorders>
            <w:vAlign w:val="center"/>
          </w:tcPr>
          <w:p w14:paraId="7F785E35">
            <w:pPr>
              <w:shd w:val="clear"/>
              <w:topLinePunct/>
              <w:adjustRightInd w:val="0"/>
              <w:snapToGrid w:val="0"/>
              <w:spacing w:beforeLines="50" w:line="400" w:lineRule="exact"/>
              <w:rPr>
                <w:rFonts w:hAnsi="宋体" w:cs="宋体"/>
                <w:color w:val="auto"/>
                <w:sz w:val="24"/>
                <w:szCs w:val="24"/>
                <w:highlight w:val="none"/>
              </w:rPr>
            </w:pPr>
            <w:r>
              <w:rPr>
                <w:rFonts w:hint="eastAsia" w:hAnsi="宋体" w:cs="宋体"/>
                <w:color w:val="auto"/>
                <w:sz w:val="24"/>
                <w:szCs w:val="24"/>
                <w:highlight w:val="none"/>
              </w:rPr>
              <w:t>交货期</w:t>
            </w:r>
          </w:p>
        </w:tc>
      </w:tr>
      <w:tr w14:paraId="06EE528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47" w:hRule="atLeast"/>
          <w:jc w:val="center"/>
        </w:trPr>
        <w:tc>
          <w:tcPr>
            <w:tcW w:w="1242" w:type="dxa"/>
            <w:tcBorders>
              <w:top w:val="single" w:color="auto" w:sz="4" w:space="0"/>
              <w:left w:val="single" w:color="auto" w:sz="4" w:space="0"/>
              <w:bottom w:val="single" w:color="auto" w:sz="4" w:space="0"/>
              <w:right w:val="single" w:color="auto" w:sz="4" w:space="0"/>
            </w:tcBorders>
            <w:vAlign w:val="center"/>
          </w:tcPr>
          <w:p w14:paraId="39C1090A">
            <w:pPr>
              <w:shd w:val="clear"/>
              <w:topLinePunct/>
              <w:adjustRightInd w:val="0"/>
              <w:snapToGrid w:val="0"/>
              <w:spacing w:beforeLines="50" w:line="4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 </w:t>
            </w:r>
          </w:p>
        </w:tc>
        <w:tc>
          <w:tcPr>
            <w:tcW w:w="1080" w:type="dxa"/>
            <w:tcBorders>
              <w:top w:val="single" w:color="auto" w:sz="4" w:space="0"/>
              <w:left w:val="single" w:color="auto" w:sz="4" w:space="0"/>
              <w:bottom w:val="single" w:color="auto" w:sz="4" w:space="0"/>
              <w:right w:val="single" w:color="auto" w:sz="4" w:space="0"/>
            </w:tcBorders>
            <w:vAlign w:val="center"/>
          </w:tcPr>
          <w:p w14:paraId="023F1D8D">
            <w:pPr>
              <w:shd w:val="clear"/>
              <w:topLinePunct/>
              <w:adjustRightInd w:val="0"/>
              <w:snapToGrid w:val="0"/>
              <w:spacing w:beforeLines="50" w:line="4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 </w:t>
            </w:r>
          </w:p>
        </w:tc>
        <w:tc>
          <w:tcPr>
            <w:tcW w:w="741" w:type="dxa"/>
            <w:tcBorders>
              <w:top w:val="single" w:color="auto" w:sz="4" w:space="0"/>
              <w:left w:val="single" w:color="auto" w:sz="4" w:space="0"/>
              <w:bottom w:val="single" w:color="auto" w:sz="4" w:space="0"/>
              <w:right w:val="single" w:color="auto" w:sz="4" w:space="0"/>
            </w:tcBorders>
            <w:vAlign w:val="center"/>
          </w:tcPr>
          <w:p w14:paraId="7FE07DF6">
            <w:pPr>
              <w:shd w:val="clear"/>
              <w:topLinePunct/>
              <w:adjustRightInd w:val="0"/>
              <w:snapToGrid w:val="0"/>
              <w:spacing w:beforeLines="50" w:line="4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 </w:t>
            </w:r>
          </w:p>
        </w:tc>
        <w:tc>
          <w:tcPr>
            <w:tcW w:w="925" w:type="dxa"/>
            <w:tcBorders>
              <w:top w:val="single" w:color="auto" w:sz="4" w:space="0"/>
              <w:left w:val="single" w:color="auto" w:sz="4" w:space="0"/>
              <w:bottom w:val="single" w:color="auto" w:sz="4" w:space="0"/>
              <w:right w:val="single" w:color="auto" w:sz="4" w:space="0"/>
            </w:tcBorders>
            <w:vAlign w:val="center"/>
          </w:tcPr>
          <w:p w14:paraId="3232E800">
            <w:pPr>
              <w:shd w:val="clear"/>
              <w:topLinePunct/>
              <w:adjustRightInd w:val="0"/>
              <w:snapToGrid w:val="0"/>
              <w:spacing w:beforeLines="50" w:line="4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 </w:t>
            </w:r>
          </w:p>
        </w:tc>
        <w:tc>
          <w:tcPr>
            <w:tcW w:w="1111" w:type="dxa"/>
            <w:tcBorders>
              <w:top w:val="single" w:color="auto" w:sz="4" w:space="0"/>
              <w:left w:val="single" w:color="auto" w:sz="4" w:space="0"/>
              <w:bottom w:val="single" w:color="auto" w:sz="4" w:space="0"/>
              <w:right w:val="single" w:color="auto" w:sz="4" w:space="0"/>
            </w:tcBorders>
            <w:vAlign w:val="center"/>
          </w:tcPr>
          <w:p w14:paraId="55C62FFB">
            <w:pPr>
              <w:shd w:val="clear"/>
              <w:topLinePunct/>
              <w:adjustRightInd w:val="0"/>
              <w:snapToGrid w:val="0"/>
              <w:spacing w:beforeLines="50" w:line="4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 </w:t>
            </w:r>
          </w:p>
        </w:tc>
        <w:tc>
          <w:tcPr>
            <w:tcW w:w="1219" w:type="dxa"/>
            <w:tcBorders>
              <w:top w:val="single" w:color="auto" w:sz="4" w:space="0"/>
              <w:left w:val="single" w:color="auto" w:sz="4" w:space="0"/>
              <w:bottom w:val="single" w:color="auto" w:sz="4" w:space="0"/>
              <w:right w:val="single" w:color="auto" w:sz="4" w:space="0"/>
            </w:tcBorders>
            <w:vAlign w:val="center"/>
          </w:tcPr>
          <w:p w14:paraId="6FBDDAB3">
            <w:pPr>
              <w:shd w:val="clear"/>
              <w:topLinePunct/>
              <w:adjustRightInd w:val="0"/>
              <w:snapToGrid w:val="0"/>
              <w:spacing w:beforeLines="50" w:line="4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 </w:t>
            </w:r>
          </w:p>
        </w:tc>
        <w:tc>
          <w:tcPr>
            <w:tcW w:w="1296" w:type="dxa"/>
            <w:tcBorders>
              <w:top w:val="single" w:color="auto" w:sz="4" w:space="0"/>
              <w:left w:val="single" w:color="auto" w:sz="4" w:space="0"/>
              <w:bottom w:val="single" w:color="auto" w:sz="4" w:space="0"/>
              <w:right w:val="single" w:color="auto" w:sz="4" w:space="0"/>
            </w:tcBorders>
            <w:vAlign w:val="center"/>
          </w:tcPr>
          <w:p w14:paraId="58D7910A">
            <w:pPr>
              <w:shd w:val="clear"/>
              <w:topLinePunct/>
              <w:adjustRightInd w:val="0"/>
              <w:snapToGrid w:val="0"/>
              <w:spacing w:beforeLines="50" w:line="4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 </w:t>
            </w:r>
          </w:p>
        </w:tc>
        <w:tc>
          <w:tcPr>
            <w:tcW w:w="1296" w:type="dxa"/>
            <w:tcBorders>
              <w:top w:val="single" w:color="auto" w:sz="4" w:space="0"/>
              <w:left w:val="single" w:color="auto" w:sz="4" w:space="0"/>
              <w:bottom w:val="single" w:color="auto" w:sz="4" w:space="0"/>
              <w:right w:val="single" w:color="auto" w:sz="4" w:space="0"/>
            </w:tcBorders>
            <w:vAlign w:val="center"/>
          </w:tcPr>
          <w:p w14:paraId="584DB69F">
            <w:pPr>
              <w:shd w:val="clear"/>
              <w:topLinePunct/>
              <w:adjustRightInd w:val="0"/>
              <w:snapToGrid w:val="0"/>
              <w:spacing w:beforeLines="50" w:line="4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 </w:t>
            </w:r>
          </w:p>
        </w:tc>
      </w:tr>
      <w:tr w14:paraId="05F7AAD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647" w:hRule="atLeast"/>
          <w:jc w:val="center"/>
        </w:trPr>
        <w:tc>
          <w:tcPr>
            <w:tcW w:w="1242" w:type="dxa"/>
            <w:tcBorders>
              <w:top w:val="single" w:color="auto" w:sz="4" w:space="0"/>
              <w:left w:val="single" w:color="auto" w:sz="4" w:space="0"/>
              <w:bottom w:val="single" w:color="auto" w:sz="4" w:space="0"/>
              <w:right w:val="single" w:color="auto" w:sz="4" w:space="0"/>
            </w:tcBorders>
            <w:vAlign w:val="center"/>
          </w:tcPr>
          <w:p w14:paraId="1CC6F03F">
            <w:pPr>
              <w:shd w:val="clear"/>
              <w:topLinePunct/>
              <w:adjustRightInd w:val="0"/>
              <w:snapToGrid w:val="0"/>
              <w:spacing w:beforeLines="50" w:line="4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 </w:t>
            </w:r>
          </w:p>
        </w:tc>
        <w:tc>
          <w:tcPr>
            <w:tcW w:w="1080" w:type="dxa"/>
            <w:tcBorders>
              <w:top w:val="single" w:color="auto" w:sz="4" w:space="0"/>
              <w:left w:val="single" w:color="auto" w:sz="4" w:space="0"/>
              <w:bottom w:val="single" w:color="auto" w:sz="4" w:space="0"/>
              <w:right w:val="single" w:color="auto" w:sz="4" w:space="0"/>
            </w:tcBorders>
            <w:vAlign w:val="center"/>
          </w:tcPr>
          <w:p w14:paraId="193B120D">
            <w:pPr>
              <w:shd w:val="clear"/>
              <w:topLinePunct/>
              <w:adjustRightInd w:val="0"/>
              <w:snapToGrid w:val="0"/>
              <w:spacing w:beforeLines="50" w:line="4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 </w:t>
            </w:r>
          </w:p>
        </w:tc>
        <w:tc>
          <w:tcPr>
            <w:tcW w:w="741" w:type="dxa"/>
            <w:tcBorders>
              <w:top w:val="single" w:color="auto" w:sz="4" w:space="0"/>
              <w:left w:val="single" w:color="auto" w:sz="4" w:space="0"/>
              <w:bottom w:val="single" w:color="auto" w:sz="4" w:space="0"/>
              <w:right w:val="single" w:color="auto" w:sz="4" w:space="0"/>
            </w:tcBorders>
            <w:vAlign w:val="center"/>
          </w:tcPr>
          <w:p w14:paraId="38BD3A2B">
            <w:pPr>
              <w:shd w:val="clear"/>
              <w:topLinePunct/>
              <w:adjustRightInd w:val="0"/>
              <w:snapToGrid w:val="0"/>
              <w:spacing w:beforeLines="50" w:line="4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 </w:t>
            </w:r>
          </w:p>
        </w:tc>
        <w:tc>
          <w:tcPr>
            <w:tcW w:w="925" w:type="dxa"/>
            <w:tcBorders>
              <w:top w:val="single" w:color="auto" w:sz="4" w:space="0"/>
              <w:left w:val="single" w:color="auto" w:sz="4" w:space="0"/>
              <w:bottom w:val="single" w:color="auto" w:sz="4" w:space="0"/>
              <w:right w:val="single" w:color="auto" w:sz="4" w:space="0"/>
            </w:tcBorders>
            <w:vAlign w:val="center"/>
          </w:tcPr>
          <w:p w14:paraId="26FA3852">
            <w:pPr>
              <w:shd w:val="clear"/>
              <w:topLinePunct/>
              <w:adjustRightInd w:val="0"/>
              <w:snapToGrid w:val="0"/>
              <w:spacing w:beforeLines="50" w:line="4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 </w:t>
            </w:r>
          </w:p>
        </w:tc>
        <w:tc>
          <w:tcPr>
            <w:tcW w:w="1111" w:type="dxa"/>
            <w:tcBorders>
              <w:top w:val="single" w:color="auto" w:sz="4" w:space="0"/>
              <w:left w:val="single" w:color="auto" w:sz="4" w:space="0"/>
              <w:bottom w:val="single" w:color="auto" w:sz="4" w:space="0"/>
              <w:right w:val="single" w:color="auto" w:sz="4" w:space="0"/>
            </w:tcBorders>
            <w:vAlign w:val="center"/>
          </w:tcPr>
          <w:p w14:paraId="431DF0B8">
            <w:pPr>
              <w:shd w:val="clear"/>
              <w:topLinePunct/>
              <w:adjustRightInd w:val="0"/>
              <w:snapToGrid w:val="0"/>
              <w:spacing w:beforeLines="50" w:line="4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 </w:t>
            </w:r>
          </w:p>
        </w:tc>
        <w:tc>
          <w:tcPr>
            <w:tcW w:w="1219" w:type="dxa"/>
            <w:tcBorders>
              <w:top w:val="single" w:color="auto" w:sz="4" w:space="0"/>
              <w:left w:val="single" w:color="auto" w:sz="4" w:space="0"/>
              <w:bottom w:val="single" w:color="auto" w:sz="4" w:space="0"/>
              <w:right w:val="single" w:color="auto" w:sz="4" w:space="0"/>
            </w:tcBorders>
            <w:vAlign w:val="center"/>
          </w:tcPr>
          <w:p w14:paraId="74184337">
            <w:pPr>
              <w:shd w:val="clear"/>
              <w:topLinePunct/>
              <w:adjustRightInd w:val="0"/>
              <w:snapToGrid w:val="0"/>
              <w:spacing w:beforeLines="50" w:line="4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 </w:t>
            </w:r>
          </w:p>
        </w:tc>
        <w:tc>
          <w:tcPr>
            <w:tcW w:w="1296" w:type="dxa"/>
            <w:tcBorders>
              <w:top w:val="single" w:color="auto" w:sz="4" w:space="0"/>
              <w:left w:val="single" w:color="auto" w:sz="4" w:space="0"/>
              <w:bottom w:val="single" w:color="auto" w:sz="4" w:space="0"/>
              <w:right w:val="single" w:color="auto" w:sz="4" w:space="0"/>
            </w:tcBorders>
            <w:vAlign w:val="center"/>
          </w:tcPr>
          <w:p w14:paraId="1E9D14B9">
            <w:pPr>
              <w:shd w:val="clear"/>
              <w:topLinePunct/>
              <w:adjustRightInd w:val="0"/>
              <w:snapToGrid w:val="0"/>
              <w:spacing w:beforeLines="50" w:line="4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 </w:t>
            </w:r>
          </w:p>
        </w:tc>
        <w:tc>
          <w:tcPr>
            <w:tcW w:w="1296" w:type="dxa"/>
            <w:tcBorders>
              <w:top w:val="single" w:color="auto" w:sz="4" w:space="0"/>
              <w:left w:val="single" w:color="auto" w:sz="4" w:space="0"/>
              <w:bottom w:val="single" w:color="auto" w:sz="4" w:space="0"/>
              <w:right w:val="single" w:color="auto" w:sz="4" w:space="0"/>
            </w:tcBorders>
            <w:vAlign w:val="center"/>
          </w:tcPr>
          <w:p w14:paraId="08B52677">
            <w:pPr>
              <w:shd w:val="clear"/>
              <w:topLinePunct/>
              <w:adjustRightInd w:val="0"/>
              <w:snapToGrid w:val="0"/>
              <w:spacing w:beforeLines="50" w:line="4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 </w:t>
            </w:r>
          </w:p>
        </w:tc>
      </w:tr>
    </w:tbl>
    <w:p w14:paraId="5A047520">
      <w:pPr>
        <w:shd w:val="clear"/>
        <w:topLinePunct/>
        <w:adjustRightInd w:val="0"/>
        <w:snapToGrid w:val="0"/>
        <w:spacing w:beforeLines="50" w:line="400" w:lineRule="exact"/>
        <w:ind w:firstLine="480" w:firstLineChars="200"/>
        <w:rPr>
          <w:rFonts w:hAnsi="宋体" w:cs="宋体"/>
          <w:color w:val="auto"/>
          <w:sz w:val="24"/>
          <w:szCs w:val="24"/>
          <w:highlight w:val="none"/>
        </w:rPr>
      </w:pPr>
      <w:bookmarkStart w:id="154" w:name="_Toc217446108"/>
      <w:r>
        <w:rPr>
          <w:rFonts w:hint="eastAsia" w:hAnsi="宋体" w:cs="宋体"/>
          <w:color w:val="auto"/>
          <w:sz w:val="24"/>
          <w:szCs w:val="24"/>
          <w:highlight w:val="none"/>
        </w:rPr>
        <w:t>二、合同总价</w:t>
      </w:r>
      <w:bookmarkEnd w:id="154"/>
    </w:p>
    <w:p w14:paraId="53E3B2C6">
      <w:pPr>
        <w:shd w:val="clear"/>
        <w:topLinePunct/>
        <w:adjustRightInd w:val="0"/>
        <w:snapToGrid w:val="0"/>
        <w:spacing w:beforeLines="50" w:line="4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合同总价为人民币大写：元，即RMB￥元；该合同总价已包括货物设计、材料、制造、包装、运输、安装、调试、检测、验收合格交付使用之前及保修期内保修服务与备用物件等等所有其他有关各项的含税费用。本合同执行期间合同总价不变，甲方无须另向乙方支付本合同规定之外的其他任何费用。</w:t>
      </w:r>
    </w:p>
    <w:p w14:paraId="360769F4">
      <w:pPr>
        <w:shd w:val="clear"/>
        <w:topLinePunct/>
        <w:adjustRightInd w:val="0"/>
        <w:snapToGrid w:val="0"/>
        <w:spacing w:beforeLines="50" w:line="400" w:lineRule="exact"/>
        <w:ind w:firstLine="480" w:firstLineChars="200"/>
        <w:rPr>
          <w:rFonts w:hAnsi="宋体" w:cs="宋体"/>
          <w:color w:val="auto"/>
          <w:sz w:val="24"/>
          <w:szCs w:val="24"/>
          <w:highlight w:val="none"/>
        </w:rPr>
      </w:pPr>
      <w:bookmarkStart w:id="155" w:name="_Toc217446109"/>
      <w:r>
        <w:rPr>
          <w:rFonts w:hint="eastAsia" w:hAnsi="宋体" w:cs="宋体"/>
          <w:color w:val="auto"/>
          <w:sz w:val="24"/>
          <w:szCs w:val="24"/>
          <w:highlight w:val="none"/>
        </w:rPr>
        <w:t>三、质量要求</w:t>
      </w:r>
      <w:bookmarkEnd w:id="155"/>
    </w:p>
    <w:p w14:paraId="052BAA48">
      <w:pPr>
        <w:shd w:val="clear"/>
        <w:topLinePunct/>
        <w:adjustRightInd w:val="0"/>
        <w:snapToGrid w:val="0"/>
        <w:spacing w:beforeLines="50" w:line="4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1、乙方须提供全新的货物（含零部件、配件等），表面无划伤、无碰撞痕迹，且权属清楚，不得侵害他人的知识产权。</w:t>
      </w:r>
    </w:p>
    <w:p w14:paraId="4B181E4A">
      <w:pPr>
        <w:shd w:val="clear"/>
        <w:topLinePunct/>
        <w:adjustRightInd w:val="0"/>
        <w:snapToGrid w:val="0"/>
        <w:spacing w:beforeLines="50" w:line="4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2、货物必须符合或优于国家（行业）标准，以及本项目招标文件的质量要求和技术指标与出厂标准。</w:t>
      </w:r>
    </w:p>
    <w:p w14:paraId="3303EA06">
      <w:pPr>
        <w:shd w:val="clear"/>
        <w:topLinePunct/>
        <w:adjustRightInd w:val="0"/>
        <w:snapToGrid w:val="0"/>
        <w:spacing w:beforeLines="50" w:line="4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3、乙方须在本合同签订之日起日内送交货物成品样品给甲方确认，在甲方出具样品确认书并封存成品样品外观尺寸后，乙方才能按样生产，并以此样品作为验收样品；每台货物上均应有产品质量检验合格标志。</w:t>
      </w:r>
    </w:p>
    <w:p w14:paraId="1CC7CA6E">
      <w:pPr>
        <w:shd w:val="clear"/>
        <w:topLinePunct/>
        <w:adjustRightInd w:val="0"/>
        <w:snapToGrid w:val="0"/>
        <w:spacing w:beforeLines="50" w:line="4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4、货物制造质量出现问题，乙方应负责三包（包修、包换、包退），费用由乙方负担，甲方有权到乙方生产场地检查货物质量和生产进度。</w:t>
      </w:r>
    </w:p>
    <w:p w14:paraId="354D012E">
      <w:pPr>
        <w:shd w:val="clear"/>
        <w:topLinePunct/>
        <w:adjustRightInd w:val="0"/>
        <w:snapToGrid w:val="0"/>
        <w:spacing w:beforeLines="50" w:line="4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5、货到现场后由于甲方保管不当造成的质量问题，乙方亦应负责修理，但费用由甲方负担。</w:t>
      </w:r>
    </w:p>
    <w:p w14:paraId="73736C2D">
      <w:pPr>
        <w:shd w:val="clear"/>
        <w:topLinePunct/>
        <w:adjustRightInd w:val="0"/>
        <w:snapToGrid w:val="0"/>
        <w:spacing w:beforeLines="50" w:line="400" w:lineRule="exact"/>
        <w:ind w:firstLine="480" w:firstLineChars="200"/>
        <w:rPr>
          <w:rFonts w:hAnsi="宋体" w:cs="宋体"/>
          <w:color w:val="auto"/>
          <w:sz w:val="24"/>
          <w:szCs w:val="24"/>
          <w:highlight w:val="none"/>
        </w:rPr>
      </w:pPr>
      <w:bookmarkStart w:id="156" w:name="_Toc217446110"/>
      <w:r>
        <w:rPr>
          <w:rFonts w:hint="eastAsia" w:hAnsi="宋体" w:cs="宋体"/>
          <w:color w:val="auto"/>
          <w:sz w:val="24"/>
          <w:szCs w:val="24"/>
          <w:highlight w:val="none"/>
        </w:rPr>
        <w:t>四、交货及验收</w:t>
      </w:r>
      <w:bookmarkEnd w:id="156"/>
    </w:p>
    <w:p w14:paraId="29021EA8">
      <w:pPr>
        <w:widowControl/>
        <w:shd w:val="clear"/>
        <w:spacing w:line="360" w:lineRule="auto"/>
        <w:ind w:firstLine="480" w:firstLineChars="200"/>
        <w:jc w:val="left"/>
        <w:rPr>
          <w:rFonts w:hAnsi="宋体" w:cs="宋体"/>
          <w:color w:val="auto"/>
          <w:kern w:val="2"/>
          <w:sz w:val="24"/>
          <w:szCs w:val="24"/>
          <w:highlight w:val="none"/>
        </w:rPr>
      </w:pPr>
      <w:bookmarkStart w:id="157" w:name="_Toc217446111"/>
      <w:r>
        <w:rPr>
          <w:rFonts w:hint="eastAsia" w:hAnsi="宋体" w:cs="宋体"/>
          <w:color w:val="auto"/>
          <w:kern w:val="2"/>
          <w:sz w:val="24"/>
          <w:szCs w:val="24"/>
          <w:highlight w:val="none"/>
        </w:rPr>
        <w:t>（一）交货</w:t>
      </w:r>
    </w:p>
    <w:p w14:paraId="1A76B66E">
      <w:pPr>
        <w:shd w:val="clear"/>
        <w:spacing w:line="360" w:lineRule="auto"/>
        <w:ind w:firstLine="480" w:firstLineChars="200"/>
        <w:rPr>
          <w:rFonts w:hAnsi="宋体" w:cs="宋体"/>
          <w:color w:val="auto"/>
          <w:sz w:val="24"/>
          <w:szCs w:val="24"/>
          <w:highlight w:val="none"/>
        </w:rPr>
      </w:pPr>
      <w:r>
        <w:rPr>
          <w:rFonts w:hint="eastAsia" w:hAnsi="宋体" w:cs="宋体"/>
          <w:color w:val="auto"/>
          <w:sz w:val="24"/>
          <w:szCs w:val="24"/>
          <w:highlight w:val="none"/>
        </w:rPr>
        <w:t xml:space="preserve">1、交货时间: </w:t>
      </w:r>
    </w:p>
    <w:p w14:paraId="7E09C2E6">
      <w:pPr>
        <w:widowControl/>
        <w:shd w:val="clear"/>
        <w:spacing w:line="360" w:lineRule="auto"/>
        <w:ind w:firstLine="480" w:firstLineChars="200"/>
        <w:jc w:val="left"/>
        <w:rPr>
          <w:rFonts w:hAnsi="宋体" w:cs="宋体"/>
          <w:color w:val="auto"/>
          <w:sz w:val="24"/>
          <w:szCs w:val="24"/>
          <w:highlight w:val="none"/>
        </w:rPr>
      </w:pPr>
      <w:r>
        <w:rPr>
          <w:rFonts w:hint="eastAsia" w:hAnsi="宋体" w:cs="宋体"/>
          <w:color w:val="auto"/>
          <w:sz w:val="24"/>
          <w:szCs w:val="24"/>
          <w:highlight w:val="none"/>
        </w:rPr>
        <w:t xml:space="preserve">2、交货地点: </w:t>
      </w:r>
    </w:p>
    <w:p w14:paraId="375374F7">
      <w:pPr>
        <w:widowControl/>
        <w:numPr>
          <w:ilvl w:val="0"/>
          <w:numId w:val="5"/>
        </w:numPr>
        <w:shd w:val="clear"/>
        <w:spacing w:line="360" w:lineRule="auto"/>
        <w:ind w:firstLine="480" w:firstLineChars="200"/>
        <w:jc w:val="left"/>
        <w:rPr>
          <w:rFonts w:hAnsi="宋体" w:cs="宋体"/>
          <w:color w:val="auto"/>
          <w:sz w:val="24"/>
          <w:szCs w:val="24"/>
          <w:highlight w:val="none"/>
        </w:rPr>
      </w:pPr>
      <w:r>
        <w:rPr>
          <w:rFonts w:hint="eastAsia" w:hAnsi="宋体" w:cs="宋体"/>
          <w:color w:val="auto"/>
          <w:kern w:val="2"/>
          <w:sz w:val="24"/>
          <w:szCs w:val="24"/>
          <w:highlight w:val="none"/>
        </w:rPr>
        <w:t>验收：</w:t>
      </w:r>
    </w:p>
    <w:p w14:paraId="464F1D57">
      <w:pPr>
        <w:shd w:val="clear"/>
        <w:topLinePunct/>
        <w:adjustRightInd w:val="0"/>
        <w:snapToGrid w:val="0"/>
        <w:spacing w:beforeLines="50" w:line="4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五、付款方式</w:t>
      </w:r>
      <w:bookmarkEnd w:id="157"/>
      <w:bookmarkStart w:id="158" w:name="_Toc217446112"/>
    </w:p>
    <w:p w14:paraId="6AEF49F6">
      <w:pPr>
        <w:shd w:val="clear"/>
        <w:topLinePunct/>
        <w:adjustRightInd w:val="0"/>
        <w:snapToGrid w:val="0"/>
        <w:spacing w:beforeLines="50" w:line="400" w:lineRule="exact"/>
        <w:ind w:firstLine="480" w:firstLineChars="200"/>
        <w:rPr>
          <w:rFonts w:hAnsi="宋体" w:cs="宋体"/>
          <w:color w:val="auto"/>
          <w:sz w:val="24"/>
          <w:szCs w:val="24"/>
          <w:highlight w:val="none"/>
        </w:rPr>
      </w:pPr>
      <w:r>
        <w:rPr>
          <w:rFonts w:hint="eastAsia" w:hAnsi="宋体" w:cs="宋体"/>
          <w:color w:val="auto"/>
          <w:sz w:val="24"/>
          <w:highlight w:val="none"/>
          <w:lang w:val="zh-CN"/>
        </w:rPr>
        <w:t>达到付款条件起（</w:t>
      </w:r>
      <w:r>
        <w:rPr>
          <w:rFonts w:hint="eastAsia" w:hAnsi="宋体" w:cs="宋体"/>
          <w:color w:val="auto"/>
          <w:sz w:val="24"/>
          <w:highlight w:val="none"/>
          <w:lang w:eastAsia="zh-CN"/>
        </w:rPr>
        <w:t>中标人</w:t>
      </w:r>
      <w:r>
        <w:rPr>
          <w:rFonts w:hint="eastAsia" w:hAnsi="宋体" w:cs="宋体"/>
          <w:color w:val="auto"/>
          <w:sz w:val="24"/>
          <w:highlight w:val="none"/>
        </w:rPr>
        <w:t>所投货物在规定时间内完成交付和安装调试，经采购人组织验收合格并由</w:t>
      </w:r>
      <w:r>
        <w:rPr>
          <w:rFonts w:hint="eastAsia" w:hAnsi="宋体" w:cs="宋体"/>
          <w:color w:val="auto"/>
          <w:sz w:val="24"/>
          <w:highlight w:val="none"/>
          <w:lang w:val="zh-CN"/>
        </w:rPr>
        <w:t>中标人</w:t>
      </w:r>
      <w:r>
        <w:rPr>
          <w:rFonts w:hint="eastAsia" w:hAnsi="宋体" w:cs="宋体"/>
          <w:color w:val="auto"/>
          <w:sz w:val="24"/>
          <w:highlight w:val="none"/>
        </w:rPr>
        <w:t>协助采购人完成资产入库</w:t>
      </w:r>
      <w:r>
        <w:rPr>
          <w:rFonts w:hint="eastAsia" w:hAnsi="宋体" w:cs="宋体"/>
          <w:color w:val="auto"/>
          <w:sz w:val="24"/>
          <w:highlight w:val="none"/>
          <w:lang w:val="zh-CN"/>
        </w:rPr>
        <w:t>），由中标人</w:t>
      </w:r>
      <w:r>
        <w:rPr>
          <w:rFonts w:hint="eastAsia" w:hAnsi="宋体" w:cs="宋体"/>
          <w:color w:val="auto"/>
          <w:sz w:val="24"/>
          <w:highlight w:val="none"/>
        </w:rPr>
        <w:t>按照合同金额</w:t>
      </w:r>
      <w:r>
        <w:rPr>
          <w:rFonts w:hint="eastAsia" w:hAnsi="宋体" w:cs="宋体"/>
          <w:color w:val="auto"/>
          <w:sz w:val="24"/>
          <w:highlight w:val="none"/>
          <w:lang w:val="zh-CN"/>
        </w:rPr>
        <w:t>开具增值税专用发票后30日内，采购人</w:t>
      </w:r>
      <w:r>
        <w:rPr>
          <w:rFonts w:hint="eastAsia" w:hAnsi="宋体" w:cs="宋体"/>
          <w:color w:val="auto"/>
          <w:sz w:val="24"/>
          <w:highlight w:val="none"/>
        </w:rPr>
        <w:t>向</w:t>
      </w:r>
      <w:r>
        <w:rPr>
          <w:rFonts w:hint="eastAsia" w:hAnsi="宋体" w:cs="宋体"/>
          <w:color w:val="auto"/>
          <w:sz w:val="24"/>
          <w:highlight w:val="none"/>
          <w:lang w:val="zh-CN"/>
        </w:rPr>
        <w:t>中标人</w:t>
      </w:r>
      <w:r>
        <w:rPr>
          <w:rFonts w:hint="eastAsia" w:hAnsi="宋体" w:cs="宋体"/>
          <w:color w:val="auto"/>
          <w:sz w:val="24"/>
          <w:highlight w:val="none"/>
        </w:rPr>
        <w:t>支付全额</w:t>
      </w:r>
      <w:r>
        <w:rPr>
          <w:rFonts w:hint="eastAsia" w:hAnsi="宋体" w:cs="宋体"/>
          <w:color w:val="auto"/>
          <w:sz w:val="24"/>
          <w:highlight w:val="none"/>
          <w:lang w:val="zh-CN"/>
        </w:rPr>
        <w:t>货款。当年年底按照约定不能支付的，采购人应及时告知中标人，并顺延至次年上级财政预算下达后继续支付货款。</w:t>
      </w:r>
    </w:p>
    <w:p w14:paraId="3F880543">
      <w:pPr>
        <w:shd w:val="clear"/>
        <w:topLinePunct/>
        <w:adjustRightInd w:val="0"/>
        <w:snapToGrid w:val="0"/>
        <w:spacing w:beforeLines="50" w:line="4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六、售后服务</w:t>
      </w:r>
      <w:bookmarkEnd w:id="158"/>
    </w:p>
    <w:p w14:paraId="45325975">
      <w:pPr>
        <w:shd w:val="clear"/>
        <w:topLinePunct/>
        <w:adjustRightInd w:val="0"/>
        <w:snapToGrid w:val="0"/>
        <w:spacing w:beforeLines="50" w:line="400" w:lineRule="exact"/>
        <w:ind w:firstLine="480" w:firstLineChars="200"/>
        <w:rPr>
          <w:rFonts w:hAnsi="宋体" w:cs="宋体"/>
          <w:color w:val="auto"/>
          <w:sz w:val="24"/>
          <w:szCs w:val="24"/>
          <w:highlight w:val="none"/>
        </w:rPr>
      </w:pPr>
      <w:bookmarkStart w:id="159" w:name="_Toc217446113"/>
      <w:r>
        <w:rPr>
          <w:rFonts w:hint="eastAsia" w:hAnsi="宋体" w:cs="宋体"/>
          <w:color w:val="auto"/>
          <w:sz w:val="24"/>
          <w:szCs w:val="24"/>
          <w:highlight w:val="none"/>
        </w:rPr>
        <w:t>七、违约责任</w:t>
      </w:r>
      <w:bookmarkEnd w:id="159"/>
    </w:p>
    <w:p w14:paraId="2EA7EDEE">
      <w:pPr>
        <w:shd w:val="clear"/>
        <w:topLinePunct/>
        <w:adjustRightInd w:val="0"/>
        <w:snapToGrid w:val="0"/>
        <w:spacing w:beforeLines="50" w:line="4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1、甲方违约责任</w:t>
      </w:r>
    </w:p>
    <w:p w14:paraId="197E0AE4">
      <w:pPr>
        <w:shd w:val="clear"/>
        <w:topLinePunct/>
        <w:adjustRightInd w:val="0"/>
        <w:snapToGrid w:val="0"/>
        <w:spacing w:beforeLines="50" w:line="4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（1） 甲方无正当理由拒收货物的，甲方应偿付合同总价百分之  的违约金；</w:t>
      </w:r>
    </w:p>
    <w:p w14:paraId="78E275AB">
      <w:pPr>
        <w:shd w:val="clear"/>
        <w:topLinePunct/>
        <w:adjustRightInd w:val="0"/>
        <w:snapToGrid w:val="0"/>
        <w:spacing w:beforeLines="50" w:line="4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（2） 甲方逾期支付货款的，除应及时付足货款外，应向乙方偿付欠款总额万分之/天的违约金；逾期付款超过天的，乙方有权终止合同；</w:t>
      </w:r>
    </w:p>
    <w:p w14:paraId="49C64BA3">
      <w:pPr>
        <w:shd w:val="clear"/>
        <w:topLinePunct/>
        <w:adjustRightInd w:val="0"/>
        <w:snapToGrid w:val="0"/>
        <w:spacing w:beforeLines="50" w:line="4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（3） 甲方偿付的违约金不足以弥补乙方损失的，还应按乙方损失尚未弥补的部分，支付赔偿金给乙方。</w:t>
      </w:r>
    </w:p>
    <w:p w14:paraId="40EA2212">
      <w:pPr>
        <w:shd w:val="clear"/>
        <w:topLinePunct/>
        <w:adjustRightInd w:val="0"/>
        <w:snapToGrid w:val="0"/>
        <w:spacing w:beforeLines="50" w:line="4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2、乙方违约责任</w:t>
      </w:r>
    </w:p>
    <w:p w14:paraId="46A309C8">
      <w:pPr>
        <w:shd w:val="clear"/>
        <w:topLinePunct/>
        <w:adjustRightInd w:val="0"/>
        <w:snapToGrid w:val="0"/>
        <w:spacing w:beforeLines="50" w:line="4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1）乙方交付的货物质量不符合合同规定的，乙方应向甲方支付合同总价的百分之的违约金，并须在合同规定的交货时间内更换合格的货物给甲方，否则，视作乙方不能交付货物而违约，按本条本款下述第“（2）”项规定由乙方偿付违约赔偿金给甲方。</w:t>
      </w:r>
    </w:p>
    <w:p w14:paraId="6E75EBC5">
      <w:pPr>
        <w:shd w:val="clear"/>
        <w:topLinePunct/>
        <w:adjustRightInd w:val="0"/>
        <w:snapToGrid w:val="0"/>
        <w:spacing w:beforeLines="50" w:line="4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2）乙方不能交付货物或逾期交付货物而违约的，除应及时交足货物外，应向甲方偿付逾期交货部分货款总额的万分之/天的违约金；逾期交货超过XX天，甲方有权终止合同，乙方则应按合同总价的百分之的款额向甲方偿付赔偿金，并须全额退还甲方已经付给乙方的货款及其利息。</w:t>
      </w:r>
    </w:p>
    <w:p w14:paraId="34FA88DA">
      <w:pPr>
        <w:shd w:val="clear"/>
        <w:topLinePunct/>
        <w:adjustRightInd w:val="0"/>
        <w:snapToGrid w:val="0"/>
        <w:spacing w:beforeLines="50" w:line="4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3）乙方货物经甲方送交具有法定资格条件的质量技术监督机构检测后，如检测结果认定货物质量不符合本合同规定标准的，则视为乙方没有按时交货而违约，乙方须在天内无条件更换合格的货物，如逾期不能更换合格的货物，甲方有权终止本合同，乙方应另付合同总价的百分之的赔偿金给甲方。</w:t>
      </w:r>
    </w:p>
    <w:p w14:paraId="15555748">
      <w:pPr>
        <w:shd w:val="clear"/>
        <w:topLinePunct/>
        <w:adjustRightInd w:val="0"/>
        <w:snapToGrid w:val="0"/>
        <w:spacing w:beforeLines="50" w:line="4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4）乙方保证本合同货物的权利无瑕疵，包括货物所有权及知识产权等权利无瑕疵。如任何第三方经法院（或仲裁机构）裁决有权对上述货物主张权利或国家机关依法对货物进行没收查处的，乙方除应向甲方返还已收款项外，还应另按合同总价的百分之向甲方支付违约金并赔偿因此给甲方造成的一切损失。</w:t>
      </w:r>
    </w:p>
    <w:p w14:paraId="452E7951">
      <w:pPr>
        <w:shd w:val="clear"/>
        <w:topLinePunct/>
        <w:adjustRightInd w:val="0"/>
        <w:snapToGrid w:val="0"/>
        <w:spacing w:beforeLines="50" w:line="4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（5）乙方偿付的违约金不足以弥补甲方损失的，还应按甲方损失尚未弥补的部分，支付赔偿金给甲方。</w:t>
      </w:r>
    </w:p>
    <w:p w14:paraId="6D3A8DAB">
      <w:pPr>
        <w:shd w:val="clear"/>
        <w:topLinePunct/>
        <w:adjustRightInd w:val="0"/>
        <w:snapToGrid w:val="0"/>
        <w:spacing w:beforeLines="50" w:line="400" w:lineRule="exact"/>
        <w:ind w:firstLine="480" w:firstLineChars="200"/>
        <w:rPr>
          <w:rFonts w:hAnsi="宋体" w:cs="宋体"/>
          <w:color w:val="auto"/>
          <w:sz w:val="24"/>
          <w:szCs w:val="24"/>
          <w:highlight w:val="none"/>
        </w:rPr>
      </w:pPr>
      <w:bookmarkStart w:id="160" w:name="_Toc217446114"/>
      <w:r>
        <w:rPr>
          <w:rFonts w:hint="eastAsia" w:hAnsi="宋体" w:cs="宋体"/>
          <w:color w:val="auto"/>
          <w:sz w:val="24"/>
          <w:szCs w:val="24"/>
          <w:highlight w:val="none"/>
        </w:rPr>
        <w:t>八、争议解决办法</w:t>
      </w:r>
      <w:bookmarkEnd w:id="160"/>
    </w:p>
    <w:p w14:paraId="6ED09EAA">
      <w:pPr>
        <w:shd w:val="clear"/>
        <w:topLinePunct/>
        <w:adjustRightInd w:val="0"/>
        <w:snapToGrid w:val="0"/>
        <w:spacing w:beforeLines="50" w:line="4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1、因货物的质量问题发生争议，由质量技术监督部门或其指定的质量鉴定机构进行质量鉴定。货物符合标准的，鉴定费由甲方承担；货物不符合质量标准的，鉴定费由乙方承担。</w:t>
      </w:r>
    </w:p>
    <w:p w14:paraId="113DC016">
      <w:pPr>
        <w:shd w:val="clear"/>
        <w:topLinePunct/>
        <w:adjustRightInd w:val="0"/>
        <w:snapToGrid w:val="0"/>
        <w:spacing w:beforeLines="50" w:line="4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2、合同履行期间,若双方发生争议，可协商或由有关部门调解解决，协商或调解不成的，由当事人依法维护其合法权益。</w:t>
      </w:r>
    </w:p>
    <w:p w14:paraId="3A83AA12">
      <w:pPr>
        <w:shd w:val="clear"/>
        <w:topLinePunct/>
        <w:adjustRightInd w:val="0"/>
        <w:snapToGrid w:val="0"/>
        <w:spacing w:beforeLines="50" w:line="400" w:lineRule="exact"/>
        <w:ind w:firstLine="480" w:firstLineChars="200"/>
        <w:rPr>
          <w:rFonts w:hAnsi="宋体" w:cs="宋体"/>
          <w:color w:val="auto"/>
          <w:sz w:val="24"/>
          <w:szCs w:val="24"/>
          <w:highlight w:val="none"/>
        </w:rPr>
      </w:pPr>
      <w:bookmarkStart w:id="161" w:name="_Toc217446115"/>
      <w:r>
        <w:rPr>
          <w:rFonts w:hint="eastAsia" w:hAnsi="宋体" w:cs="宋体"/>
          <w:color w:val="auto"/>
          <w:sz w:val="24"/>
          <w:szCs w:val="24"/>
          <w:highlight w:val="none"/>
        </w:rPr>
        <w:t>九、其他</w:t>
      </w:r>
      <w:bookmarkEnd w:id="161"/>
    </w:p>
    <w:p w14:paraId="11078E89">
      <w:pPr>
        <w:shd w:val="clear"/>
        <w:topLinePunct/>
        <w:adjustRightInd w:val="0"/>
        <w:snapToGrid w:val="0"/>
        <w:spacing w:beforeLines="50" w:line="4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1、如有未尽事宜，由双方依法订立补充合同。</w:t>
      </w:r>
    </w:p>
    <w:p w14:paraId="71941536">
      <w:pPr>
        <w:shd w:val="clear"/>
        <w:topLinePunct/>
        <w:adjustRightInd w:val="0"/>
        <w:snapToGrid w:val="0"/>
        <w:spacing w:beforeLines="50" w:line="40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2、本合同一式六份，自双方签章之日起生效。甲方三份，乙方、政府采购管理部门、采购代理机构各一份。</w:t>
      </w:r>
    </w:p>
    <w:p w14:paraId="773C0C38">
      <w:pPr>
        <w:shd w:val="clear"/>
        <w:topLinePunct/>
        <w:adjustRightInd w:val="0"/>
        <w:snapToGrid w:val="0"/>
        <w:spacing w:beforeLines="50" w:line="400" w:lineRule="exact"/>
        <w:ind w:firstLine="480" w:firstLineChars="200"/>
        <w:rPr>
          <w:rFonts w:hAnsi="宋体" w:cs="宋体"/>
          <w:color w:val="auto"/>
          <w:sz w:val="24"/>
          <w:szCs w:val="24"/>
          <w:highlight w:val="none"/>
        </w:rPr>
      </w:pPr>
    </w:p>
    <w:p w14:paraId="36ECB151">
      <w:pPr>
        <w:widowControl/>
        <w:shd w:val="clear"/>
        <w:topLinePunct/>
        <w:adjustRightInd w:val="0"/>
        <w:snapToGrid w:val="0"/>
        <w:spacing w:beforeLines="50" w:line="400" w:lineRule="exact"/>
        <w:ind w:firstLine="480" w:firstLineChars="200"/>
        <w:jc w:val="left"/>
        <w:rPr>
          <w:rFonts w:hAnsi="宋体" w:cs="宋体"/>
          <w:color w:val="auto"/>
          <w:sz w:val="24"/>
          <w:szCs w:val="24"/>
          <w:highlight w:val="none"/>
        </w:rPr>
      </w:pPr>
      <w:r>
        <w:rPr>
          <w:rFonts w:hint="eastAsia" w:hAnsi="宋体" w:cs="宋体"/>
          <w:color w:val="auto"/>
          <w:sz w:val="24"/>
          <w:szCs w:val="24"/>
          <w:highlight w:val="none"/>
        </w:rPr>
        <w:t xml:space="preserve">甲方：(盖章)   </w:t>
      </w:r>
      <w:r>
        <w:rPr>
          <w:rFonts w:hint="eastAsia" w:hAnsi="宋体" w:cs="宋体"/>
          <w:color w:val="auto"/>
          <w:sz w:val="24"/>
          <w:szCs w:val="24"/>
          <w:highlight w:val="none"/>
        </w:rPr>
        <w:tab/>
      </w:r>
      <w:r>
        <w:rPr>
          <w:rFonts w:hint="eastAsia" w:hAnsi="宋体" w:cs="宋体"/>
          <w:color w:val="auto"/>
          <w:sz w:val="24"/>
          <w:szCs w:val="24"/>
          <w:highlight w:val="none"/>
        </w:rPr>
        <w:tab/>
      </w:r>
      <w:r>
        <w:rPr>
          <w:rFonts w:hint="eastAsia" w:hAnsi="宋体" w:cs="宋体"/>
          <w:color w:val="auto"/>
          <w:sz w:val="24"/>
          <w:szCs w:val="24"/>
          <w:highlight w:val="none"/>
        </w:rPr>
        <w:tab/>
      </w:r>
      <w:r>
        <w:rPr>
          <w:rFonts w:hint="eastAsia" w:hAnsi="宋体" w:cs="宋体"/>
          <w:color w:val="auto"/>
          <w:sz w:val="24"/>
          <w:szCs w:val="24"/>
          <w:highlight w:val="none"/>
        </w:rPr>
        <w:t xml:space="preserve">            乙方： 名称(盖章)</w:t>
      </w:r>
    </w:p>
    <w:p w14:paraId="70A59020">
      <w:pPr>
        <w:widowControl/>
        <w:shd w:val="clear"/>
        <w:topLinePunct/>
        <w:adjustRightInd w:val="0"/>
        <w:snapToGrid w:val="0"/>
        <w:spacing w:beforeLines="50" w:line="400" w:lineRule="exact"/>
        <w:ind w:firstLine="480" w:firstLineChars="200"/>
        <w:jc w:val="left"/>
        <w:rPr>
          <w:rFonts w:hAnsi="宋体" w:cs="宋体"/>
          <w:color w:val="auto"/>
          <w:sz w:val="24"/>
          <w:szCs w:val="24"/>
          <w:highlight w:val="none"/>
        </w:rPr>
      </w:pPr>
      <w:r>
        <w:rPr>
          <w:rFonts w:hint="eastAsia" w:hAnsi="宋体" w:cs="宋体"/>
          <w:color w:val="auto"/>
          <w:sz w:val="24"/>
          <w:szCs w:val="24"/>
          <w:highlight w:val="none"/>
        </w:rPr>
        <w:t>法定代表人(被授权人)：              法定代表人(被授权人)：</w:t>
      </w:r>
    </w:p>
    <w:p w14:paraId="189CFDF2">
      <w:pPr>
        <w:widowControl/>
        <w:shd w:val="clear"/>
        <w:topLinePunct/>
        <w:adjustRightInd w:val="0"/>
        <w:snapToGrid w:val="0"/>
        <w:spacing w:beforeLines="50" w:line="400" w:lineRule="exact"/>
        <w:ind w:firstLine="480" w:firstLineChars="200"/>
        <w:jc w:val="left"/>
        <w:rPr>
          <w:rFonts w:hAnsi="宋体" w:cs="宋体"/>
          <w:color w:val="auto"/>
          <w:sz w:val="24"/>
          <w:szCs w:val="24"/>
          <w:highlight w:val="none"/>
        </w:rPr>
      </w:pPr>
      <w:r>
        <w:rPr>
          <w:rFonts w:hint="eastAsia" w:hAnsi="宋体" w:cs="宋体"/>
          <w:color w:val="auto"/>
          <w:sz w:val="24"/>
          <w:szCs w:val="24"/>
          <w:highlight w:val="none"/>
        </w:rPr>
        <w:t>地    址：                          地    址：</w:t>
      </w:r>
    </w:p>
    <w:p w14:paraId="1B450222">
      <w:pPr>
        <w:widowControl/>
        <w:shd w:val="clear"/>
        <w:topLinePunct/>
        <w:adjustRightInd w:val="0"/>
        <w:snapToGrid w:val="0"/>
        <w:spacing w:beforeLines="50" w:line="400" w:lineRule="exact"/>
        <w:ind w:firstLine="480" w:firstLineChars="200"/>
        <w:jc w:val="left"/>
        <w:rPr>
          <w:rFonts w:hAnsi="宋体" w:cs="宋体"/>
          <w:color w:val="auto"/>
          <w:sz w:val="24"/>
          <w:szCs w:val="24"/>
          <w:highlight w:val="none"/>
        </w:rPr>
      </w:pPr>
      <w:r>
        <w:rPr>
          <w:rFonts w:hint="eastAsia" w:hAnsi="宋体" w:cs="宋体"/>
          <w:color w:val="auto"/>
          <w:sz w:val="24"/>
          <w:szCs w:val="24"/>
          <w:highlight w:val="none"/>
        </w:rPr>
        <w:t>开户银行：                          开户银行：</w:t>
      </w:r>
    </w:p>
    <w:p w14:paraId="0DA52679">
      <w:pPr>
        <w:widowControl/>
        <w:shd w:val="clear"/>
        <w:topLinePunct/>
        <w:adjustRightInd w:val="0"/>
        <w:snapToGrid w:val="0"/>
        <w:spacing w:beforeLines="50" w:line="400" w:lineRule="exact"/>
        <w:ind w:firstLine="480" w:firstLineChars="200"/>
        <w:jc w:val="left"/>
        <w:rPr>
          <w:rFonts w:hAnsi="宋体" w:cs="宋体"/>
          <w:color w:val="auto"/>
          <w:sz w:val="24"/>
          <w:szCs w:val="24"/>
          <w:highlight w:val="none"/>
        </w:rPr>
      </w:pPr>
      <w:r>
        <w:rPr>
          <w:rFonts w:hint="eastAsia" w:hAnsi="宋体" w:cs="宋体"/>
          <w:color w:val="auto"/>
          <w:sz w:val="24"/>
          <w:szCs w:val="24"/>
          <w:highlight w:val="none"/>
        </w:rPr>
        <w:t>账户名：                            账户名：</w:t>
      </w:r>
    </w:p>
    <w:p w14:paraId="1EB65514">
      <w:pPr>
        <w:widowControl/>
        <w:shd w:val="clear"/>
        <w:topLinePunct/>
        <w:adjustRightInd w:val="0"/>
        <w:snapToGrid w:val="0"/>
        <w:spacing w:beforeLines="50" w:line="400" w:lineRule="exact"/>
        <w:ind w:firstLine="480" w:firstLineChars="200"/>
        <w:jc w:val="left"/>
        <w:rPr>
          <w:rFonts w:hAnsi="宋体" w:cs="宋体"/>
          <w:color w:val="auto"/>
          <w:sz w:val="24"/>
          <w:szCs w:val="24"/>
          <w:highlight w:val="none"/>
        </w:rPr>
      </w:pPr>
      <w:r>
        <w:rPr>
          <w:rFonts w:hint="eastAsia" w:hAnsi="宋体" w:cs="宋体"/>
          <w:color w:val="auto"/>
          <w:sz w:val="24"/>
          <w:szCs w:val="24"/>
          <w:highlight w:val="none"/>
        </w:rPr>
        <w:t>账号：                              账号：</w:t>
      </w:r>
    </w:p>
    <w:p w14:paraId="599A5C90">
      <w:pPr>
        <w:widowControl/>
        <w:shd w:val="clear"/>
        <w:topLinePunct/>
        <w:adjustRightInd w:val="0"/>
        <w:snapToGrid w:val="0"/>
        <w:spacing w:beforeLines="50" w:line="400" w:lineRule="exact"/>
        <w:ind w:firstLine="480" w:firstLineChars="200"/>
        <w:jc w:val="left"/>
        <w:rPr>
          <w:rFonts w:hAnsi="宋体" w:cs="宋体"/>
          <w:color w:val="auto"/>
          <w:sz w:val="24"/>
          <w:szCs w:val="24"/>
          <w:highlight w:val="none"/>
        </w:rPr>
      </w:pPr>
      <w:r>
        <w:rPr>
          <w:rFonts w:hint="eastAsia" w:hAnsi="宋体" w:cs="宋体"/>
          <w:color w:val="auto"/>
          <w:sz w:val="24"/>
          <w:szCs w:val="24"/>
          <w:highlight w:val="none"/>
        </w:rPr>
        <w:t>电    话：                          电    话：</w:t>
      </w:r>
    </w:p>
    <w:p w14:paraId="7994F878">
      <w:pPr>
        <w:widowControl/>
        <w:shd w:val="clear"/>
        <w:topLinePunct/>
        <w:adjustRightInd w:val="0"/>
        <w:snapToGrid w:val="0"/>
        <w:spacing w:beforeLines="50" w:line="400" w:lineRule="exact"/>
        <w:ind w:firstLine="480" w:firstLineChars="200"/>
        <w:jc w:val="left"/>
        <w:rPr>
          <w:rFonts w:hAnsi="宋体" w:cs="宋体"/>
          <w:color w:val="auto"/>
          <w:sz w:val="24"/>
          <w:szCs w:val="24"/>
          <w:highlight w:val="none"/>
        </w:rPr>
      </w:pPr>
      <w:r>
        <w:rPr>
          <w:rFonts w:hint="eastAsia" w:hAnsi="宋体" w:cs="宋体"/>
          <w:color w:val="auto"/>
          <w:sz w:val="24"/>
          <w:szCs w:val="24"/>
          <w:highlight w:val="none"/>
        </w:rPr>
        <w:t>传    真：                          传    真：</w:t>
      </w:r>
    </w:p>
    <w:p w14:paraId="0FE0399C">
      <w:pPr>
        <w:widowControl/>
        <w:shd w:val="clear"/>
        <w:topLinePunct/>
        <w:adjustRightInd w:val="0"/>
        <w:snapToGrid w:val="0"/>
        <w:spacing w:beforeLines="50" w:line="400" w:lineRule="exact"/>
        <w:ind w:firstLine="480" w:firstLineChars="200"/>
        <w:jc w:val="left"/>
        <w:rPr>
          <w:rFonts w:hAnsi="宋体" w:cs="宋体"/>
          <w:color w:val="auto"/>
          <w:sz w:val="24"/>
          <w:szCs w:val="24"/>
          <w:highlight w:val="none"/>
        </w:rPr>
      </w:pPr>
      <w:r>
        <w:rPr>
          <w:rFonts w:hint="eastAsia" w:hAnsi="宋体" w:cs="宋体"/>
          <w:color w:val="auto"/>
          <w:sz w:val="24"/>
          <w:szCs w:val="24"/>
          <w:highlight w:val="none"/>
        </w:rPr>
        <w:t xml:space="preserve">签约日期：XXXX年XX月XX日 </w:t>
      </w:r>
      <w:r>
        <w:rPr>
          <w:rFonts w:hint="eastAsia" w:hAnsi="宋体" w:cs="宋体"/>
          <w:color w:val="auto"/>
          <w:sz w:val="24"/>
          <w:szCs w:val="24"/>
          <w:highlight w:val="none"/>
        </w:rPr>
        <w:tab/>
      </w:r>
      <w:r>
        <w:rPr>
          <w:rFonts w:hint="eastAsia" w:hAnsi="宋体" w:cs="宋体"/>
          <w:color w:val="auto"/>
          <w:sz w:val="24"/>
          <w:szCs w:val="24"/>
          <w:highlight w:val="none"/>
        </w:rPr>
        <w:tab/>
      </w:r>
      <w:r>
        <w:rPr>
          <w:rFonts w:hint="eastAsia" w:hAnsi="宋体" w:cs="宋体"/>
          <w:color w:val="auto"/>
          <w:sz w:val="24"/>
          <w:szCs w:val="24"/>
          <w:highlight w:val="none"/>
        </w:rPr>
        <w:t xml:space="preserve">  签约日期：XXXX年XX月XX日</w:t>
      </w:r>
    </w:p>
    <w:p w14:paraId="39E9604E">
      <w:pPr>
        <w:shd w:val="clear"/>
        <w:spacing w:line="500" w:lineRule="exact"/>
        <w:ind w:firstLine="560" w:firstLineChars="200"/>
        <w:rPr>
          <w:rFonts w:hAnsi="宋体" w:cs="宋体"/>
          <w:color w:val="auto"/>
          <w:sz w:val="28"/>
          <w:szCs w:val="28"/>
          <w:highlight w:val="none"/>
        </w:rPr>
      </w:pPr>
    </w:p>
    <w:p w14:paraId="75F44A89">
      <w:pPr>
        <w:pStyle w:val="2"/>
        <w:shd w:val="clear"/>
        <w:rPr>
          <w:rFonts w:hAnsi="宋体" w:cs="宋体"/>
          <w:color w:val="auto"/>
          <w:highlight w:val="none"/>
        </w:rPr>
      </w:pPr>
    </w:p>
    <w:p w14:paraId="028AC57D">
      <w:pPr>
        <w:pStyle w:val="2"/>
        <w:shd w:val="clear"/>
        <w:rPr>
          <w:rFonts w:hAnsi="宋体" w:cs="宋体"/>
          <w:color w:val="auto"/>
          <w:highlight w:val="none"/>
        </w:rPr>
      </w:pPr>
      <w:r>
        <w:rPr>
          <w:rFonts w:hint="eastAsia" w:hAnsi="宋体" w:cs="宋体"/>
          <w:b/>
          <w:color w:val="auto"/>
          <w:sz w:val="28"/>
          <w:szCs w:val="28"/>
          <w:highlight w:val="none"/>
        </w:rPr>
        <w:t>注：本合同是招标人提供的基本格式，具体内容由采购人和中标人在遵守中华人民共和国相关法律法规、本招标文件具体要求及中标人招标承诺的原则上协商签订。</w:t>
      </w:r>
    </w:p>
    <w:p w14:paraId="620BB5EA">
      <w:pPr>
        <w:shd w:val="clear"/>
        <w:rPr>
          <w:rFonts w:hAnsi="宋体" w:cs="宋体"/>
          <w:color w:val="auto"/>
          <w:highlight w:val="none"/>
        </w:rPr>
      </w:pPr>
    </w:p>
    <w:p w14:paraId="20829B0A">
      <w:pPr>
        <w:shd w:val="clear"/>
        <w:rPr>
          <w:color w:val="auto"/>
          <w:highlight w:val="none"/>
        </w:rPr>
      </w:pPr>
      <w:r>
        <w:rPr>
          <w:rFonts w:hint="eastAsia"/>
          <w:color w:val="auto"/>
          <w:highlight w:val="none"/>
        </w:rPr>
        <w:br w:type="page"/>
      </w:r>
    </w:p>
    <w:p w14:paraId="7E8F8E4A">
      <w:pPr>
        <w:shd w:val="clear"/>
        <w:jc w:val="center"/>
        <w:outlineLvl w:val="0"/>
        <w:rPr>
          <w:rFonts w:hAnsi="宋体" w:cs="宋体"/>
          <w:b/>
          <w:bCs/>
          <w:color w:val="auto"/>
          <w:sz w:val="40"/>
          <w:szCs w:val="40"/>
          <w:highlight w:val="none"/>
        </w:rPr>
      </w:pPr>
      <w:bookmarkStart w:id="162" w:name="_Toc22921"/>
      <w:bookmarkStart w:id="163" w:name="_Toc19760"/>
      <w:bookmarkStart w:id="164" w:name="_Toc568"/>
      <w:bookmarkStart w:id="165" w:name="_Toc20578"/>
      <w:bookmarkStart w:id="166" w:name="_Toc2164"/>
      <w:bookmarkStart w:id="167" w:name="_Toc27505"/>
      <w:bookmarkStart w:id="168" w:name="_Toc17211"/>
      <w:bookmarkStart w:id="169" w:name="_Toc4738"/>
      <w:bookmarkStart w:id="170" w:name="_Toc4139"/>
      <w:r>
        <w:rPr>
          <w:rFonts w:hint="eastAsia" w:hAnsi="宋体" w:cs="宋体"/>
          <w:b/>
          <w:bCs/>
          <w:color w:val="auto"/>
          <w:sz w:val="40"/>
          <w:szCs w:val="40"/>
          <w:highlight w:val="none"/>
        </w:rPr>
        <w:t>附件一 质疑函范本</w:t>
      </w:r>
      <w:bookmarkEnd w:id="162"/>
      <w:bookmarkEnd w:id="163"/>
      <w:bookmarkEnd w:id="164"/>
      <w:bookmarkEnd w:id="165"/>
      <w:bookmarkEnd w:id="166"/>
      <w:bookmarkEnd w:id="167"/>
      <w:bookmarkEnd w:id="168"/>
      <w:bookmarkEnd w:id="169"/>
      <w:bookmarkEnd w:id="170"/>
    </w:p>
    <w:p w14:paraId="22EC3AB9">
      <w:pPr>
        <w:shd w:val="clear"/>
        <w:adjustRightInd w:val="0"/>
        <w:snapToGrid w:val="0"/>
        <w:spacing w:beforeLines="100" w:line="360" w:lineRule="auto"/>
        <w:rPr>
          <w:rFonts w:hAnsi="宋体" w:cs="宋体"/>
          <w:bCs/>
          <w:color w:val="auto"/>
          <w:sz w:val="24"/>
          <w:szCs w:val="24"/>
          <w:highlight w:val="none"/>
        </w:rPr>
      </w:pPr>
      <w:r>
        <w:rPr>
          <w:rFonts w:hint="eastAsia" w:hAnsi="宋体" w:cs="宋体"/>
          <w:bCs/>
          <w:color w:val="auto"/>
          <w:sz w:val="24"/>
          <w:szCs w:val="24"/>
          <w:highlight w:val="none"/>
        </w:rPr>
        <w:t>一、质疑供应商基本信息</w:t>
      </w:r>
    </w:p>
    <w:p w14:paraId="43A5EB29">
      <w:pPr>
        <w:shd w:val="clear"/>
        <w:adjustRightInd w:val="0"/>
        <w:snapToGrid w:val="0"/>
        <w:spacing w:line="360" w:lineRule="auto"/>
        <w:rPr>
          <w:rFonts w:hAnsi="宋体" w:cs="宋体"/>
          <w:color w:val="auto"/>
          <w:sz w:val="24"/>
          <w:szCs w:val="24"/>
          <w:highlight w:val="none"/>
          <w:u w:val="dotted"/>
        </w:rPr>
      </w:pPr>
      <w:r>
        <w:rPr>
          <w:rFonts w:hint="eastAsia" w:hAnsi="宋体" w:cs="宋体"/>
          <w:color w:val="auto"/>
          <w:sz w:val="24"/>
          <w:szCs w:val="24"/>
          <w:highlight w:val="none"/>
        </w:rPr>
        <w:t>质疑供应商：</w:t>
      </w:r>
    </w:p>
    <w:p w14:paraId="3631E65B">
      <w:pPr>
        <w:shd w:val="clear"/>
        <w:adjustRightInd w:val="0"/>
        <w:snapToGrid w:val="0"/>
        <w:spacing w:line="360" w:lineRule="auto"/>
        <w:rPr>
          <w:rFonts w:hAnsi="宋体" w:cs="宋体"/>
          <w:color w:val="auto"/>
          <w:sz w:val="24"/>
          <w:szCs w:val="24"/>
          <w:highlight w:val="none"/>
        </w:rPr>
      </w:pPr>
      <w:r>
        <w:rPr>
          <w:rFonts w:hint="eastAsia" w:hAnsi="宋体" w:cs="宋体"/>
          <w:color w:val="auto"/>
          <w:sz w:val="24"/>
          <w:szCs w:val="24"/>
          <w:highlight w:val="none"/>
        </w:rPr>
        <w:t>地址：邮编：</w:t>
      </w:r>
    </w:p>
    <w:p w14:paraId="290677F8">
      <w:pPr>
        <w:shd w:val="clear"/>
        <w:adjustRightInd w:val="0"/>
        <w:snapToGrid w:val="0"/>
        <w:spacing w:line="360" w:lineRule="auto"/>
        <w:rPr>
          <w:rFonts w:hAnsi="宋体" w:cs="宋体"/>
          <w:color w:val="auto"/>
          <w:sz w:val="24"/>
          <w:szCs w:val="24"/>
          <w:highlight w:val="none"/>
        </w:rPr>
      </w:pPr>
      <w:r>
        <w:rPr>
          <w:rFonts w:hint="eastAsia" w:hAnsi="宋体" w:cs="宋体"/>
          <w:color w:val="auto"/>
          <w:sz w:val="24"/>
          <w:szCs w:val="24"/>
          <w:highlight w:val="none"/>
        </w:rPr>
        <w:t>联系人：联系电话：</w:t>
      </w:r>
    </w:p>
    <w:p w14:paraId="03DD1D1D">
      <w:pPr>
        <w:shd w:val="clear"/>
        <w:adjustRightInd w:val="0"/>
        <w:snapToGrid w:val="0"/>
        <w:spacing w:line="360" w:lineRule="auto"/>
        <w:rPr>
          <w:rFonts w:hAnsi="宋体" w:cs="宋体"/>
          <w:color w:val="auto"/>
          <w:sz w:val="24"/>
          <w:szCs w:val="24"/>
          <w:highlight w:val="none"/>
          <w:u w:val="dotted"/>
        </w:rPr>
      </w:pPr>
      <w:r>
        <w:rPr>
          <w:rFonts w:hint="eastAsia" w:hAnsi="宋体" w:cs="宋体"/>
          <w:color w:val="auto"/>
          <w:sz w:val="24"/>
          <w:szCs w:val="24"/>
          <w:highlight w:val="none"/>
        </w:rPr>
        <w:t>授权代表：</w:t>
      </w:r>
    </w:p>
    <w:p w14:paraId="627DDE7D">
      <w:pPr>
        <w:shd w:val="clear"/>
        <w:adjustRightInd w:val="0"/>
        <w:snapToGrid w:val="0"/>
        <w:spacing w:line="360" w:lineRule="auto"/>
        <w:rPr>
          <w:rFonts w:hAnsi="宋体" w:cs="宋体"/>
          <w:color w:val="auto"/>
          <w:sz w:val="24"/>
          <w:szCs w:val="24"/>
          <w:highlight w:val="none"/>
        </w:rPr>
      </w:pPr>
      <w:r>
        <w:rPr>
          <w:rFonts w:hint="eastAsia" w:hAnsi="宋体" w:cs="宋体"/>
          <w:color w:val="auto"/>
          <w:sz w:val="24"/>
          <w:szCs w:val="24"/>
          <w:highlight w:val="none"/>
        </w:rPr>
        <w:t>联系电话：</w:t>
      </w:r>
    </w:p>
    <w:p w14:paraId="4F2797AB">
      <w:pPr>
        <w:shd w:val="clear"/>
        <w:adjustRightInd w:val="0"/>
        <w:snapToGrid w:val="0"/>
        <w:spacing w:line="360" w:lineRule="auto"/>
        <w:rPr>
          <w:rFonts w:hAnsi="宋体" w:cs="宋体"/>
          <w:color w:val="auto"/>
          <w:sz w:val="24"/>
          <w:szCs w:val="24"/>
          <w:highlight w:val="none"/>
        </w:rPr>
      </w:pPr>
      <w:r>
        <w:rPr>
          <w:rFonts w:hint="eastAsia" w:hAnsi="宋体" w:cs="宋体"/>
          <w:color w:val="auto"/>
          <w:sz w:val="24"/>
          <w:szCs w:val="24"/>
          <w:highlight w:val="none"/>
        </w:rPr>
        <w:t>地址： 邮编：</w:t>
      </w:r>
    </w:p>
    <w:p w14:paraId="470E92A6">
      <w:pPr>
        <w:shd w:val="clear"/>
        <w:adjustRightInd w:val="0"/>
        <w:snapToGrid w:val="0"/>
        <w:spacing w:line="360" w:lineRule="auto"/>
        <w:rPr>
          <w:rFonts w:hAnsi="宋体" w:cs="宋体"/>
          <w:bCs/>
          <w:color w:val="auto"/>
          <w:sz w:val="24"/>
          <w:szCs w:val="24"/>
          <w:highlight w:val="none"/>
        </w:rPr>
      </w:pPr>
      <w:r>
        <w:rPr>
          <w:rFonts w:hint="eastAsia" w:hAnsi="宋体" w:cs="宋体"/>
          <w:bCs/>
          <w:color w:val="auto"/>
          <w:sz w:val="24"/>
          <w:szCs w:val="24"/>
          <w:highlight w:val="none"/>
        </w:rPr>
        <w:t>二、质疑项目基本情况</w:t>
      </w:r>
    </w:p>
    <w:p w14:paraId="18A621CA">
      <w:pPr>
        <w:shd w:val="clear"/>
        <w:adjustRightInd w:val="0"/>
        <w:snapToGrid w:val="0"/>
        <w:spacing w:line="360" w:lineRule="auto"/>
        <w:rPr>
          <w:rFonts w:hAnsi="宋体" w:cs="宋体"/>
          <w:color w:val="auto"/>
          <w:sz w:val="24"/>
          <w:szCs w:val="24"/>
          <w:highlight w:val="none"/>
        </w:rPr>
      </w:pPr>
      <w:r>
        <w:rPr>
          <w:rFonts w:hint="eastAsia" w:hAnsi="宋体" w:cs="宋体"/>
          <w:color w:val="auto"/>
          <w:sz w:val="24"/>
          <w:szCs w:val="24"/>
          <w:highlight w:val="none"/>
        </w:rPr>
        <w:t>质疑项目的名称：</w:t>
      </w:r>
    </w:p>
    <w:p w14:paraId="67C9BB90">
      <w:pPr>
        <w:shd w:val="clear"/>
        <w:adjustRightInd w:val="0"/>
        <w:snapToGrid w:val="0"/>
        <w:spacing w:line="360" w:lineRule="auto"/>
        <w:rPr>
          <w:rFonts w:hAnsi="宋体" w:cs="宋体"/>
          <w:color w:val="auto"/>
          <w:sz w:val="24"/>
          <w:szCs w:val="24"/>
          <w:highlight w:val="none"/>
        </w:rPr>
      </w:pPr>
      <w:r>
        <w:rPr>
          <w:rFonts w:hint="eastAsia" w:hAnsi="宋体" w:cs="宋体"/>
          <w:color w:val="auto"/>
          <w:sz w:val="24"/>
          <w:szCs w:val="24"/>
          <w:highlight w:val="none"/>
        </w:rPr>
        <w:t>质疑项目的编号：包号：</w:t>
      </w:r>
    </w:p>
    <w:p w14:paraId="78D35A42">
      <w:pPr>
        <w:shd w:val="clear"/>
        <w:adjustRightInd w:val="0"/>
        <w:snapToGrid w:val="0"/>
        <w:spacing w:line="360" w:lineRule="auto"/>
        <w:rPr>
          <w:rFonts w:hAnsi="宋体" w:cs="宋体"/>
          <w:color w:val="auto"/>
          <w:sz w:val="24"/>
          <w:szCs w:val="24"/>
          <w:highlight w:val="none"/>
          <w:u w:val="dotted"/>
        </w:rPr>
      </w:pPr>
      <w:r>
        <w:rPr>
          <w:rFonts w:hint="eastAsia" w:hAnsi="宋体" w:cs="宋体"/>
          <w:color w:val="auto"/>
          <w:sz w:val="24"/>
          <w:szCs w:val="24"/>
          <w:highlight w:val="none"/>
        </w:rPr>
        <w:t>采购人名称：</w:t>
      </w:r>
    </w:p>
    <w:p w14:paraId="65E6487E">
      <w:pPr>
        <w:shd w:val="clear"/>
        <w:adjustRightInd w:val="0"/>
        <w:snapToGrid w:val="0"/>
        <w:spacing w:line="360" w:lineRule="auto"/>
        <w:rPr>
          <w:rFonts w:hAnsi="宋体" w:cs="宋体"/>
          <w:color w:val="auto"/>
          <w:sz w:val="24"/>
          <w:szCs w:val="24"/>
          <w:highlight w:val="none"/>
        </w:rPr>
      </w:pPr>
      <w:r>
        <w:rPr>
          <w:rFonts w:hint="eastAsia" w:hAnsi="宋体" w:cs="宋体"/>
          <w:color w:val="auto"/>
          <w:sz w:val="24"/>
          <w:szCs w:val="24"/>
          <w:highlight w:val="none"/>
        </w:rPr>
        <w:t>采购文件获取日期：</w:t>
      </w:r>
    </w:p>
    <w:p w14:paraId="2338ECD5">
      <w:pPr>
        <w:shd w:val="clear"/>
        <w:adjustRightInd w:val="0"/>
        <w:snapToGrid w:val="0"/>
        <w:spacing w:line="360" w:lineRule="auto"/>
        <w:rPr>
          <w:rFonts w:hAnsi="宋体" w:cs="宋体"/>
          <w:bCs/>
          <w:color w:val="auto"/>
          <w:sz w:val="24"/>
          <w:szCs w:val="24"/>
          <w:highlight w:val="none"/>
        </w:rPr>
      </w:pPr>
      <w:r>
        <w:rPr>
          <w:rFonts w:hint="eastAsia" w:hAnsi="宋体" w:cs="宋体"/>
          <w:bCs/>
          <w:color w:val="auto"/>
          <w:sz w:val="24"/>
          <w:szCs w:val="24"/>
          <w:highlight w:val="none"/>
        </w:rPr>
        <w:t>三、质疑事项具体内容</w:t>
      </w:r>
    </w:p>
    <w:p w14:paraId="395BD5E2">
      <w:pPr>
        <w:shd w:val="clear"/>
        <w:adjustRightInd w:val="0"/>
        <w:snapToGrid w:val="0"/>
        <w:spacing w:line="360" w:lineRule="auto"/>
        <w:rPr>
          <w:rFonts w:hAnsi="宋体" w:cs="宋体"/>
          <w:color w:val="auto"/>
          <w:sz w:val="24"/>
          <w:szCs w:val="24"/>
          <w:highlight w:val="none"/>
          <w:u w:val="dotted"/>
        </w:rPr>
      </w:pPr>
      <w:r>
        <w:rPr>
          <w:rFonts w:hint="eastAsia" w:hAnsi="宋体" w:cs="宋体"/>
          <w:color w:val="auto"/>
          <w:sz w:val="24"/>
          <w:szCs w:val="24"/>
          <w:highlight w:val="none"/>
        </w:rPr>
        <w:t>质疑事项1：</w:t>
      </w:r>
    </w:p>
    <w:p w14:paraId="5DA7F82E">
      <w:pPr>
        <w:shd w:val="clear"/>
        <w:adjustRightInd w:val="0"/>
        <w:snapToGrid w:val="0"/>
        <w:spacing w:line="360" w:lineRule="auto"/>
        <w:rPr>
          <w:rFonts w:hAnsi="宋体" w:cs="宋体"/>
          <w:color w:val="auto"/>
          <w:sz w:val="24"/>
          <w:szCs w:val="24"/>
          <w:highlight w:val="none"/>
          <w:u w:val="dotted"/>
        </w:rPr>
      </w:pPr>
      <w:r>
        <w:rPr>
          <w:rFonts w:hint="eastAsia" w:hAnsi="宋体" w:cs="宋体"/>
          <w:color w:val="auto"/>
          <w:sz w:val="24"/>
          <w:szCs w:val="24"/>
          <w:highlight w:val="none"/>
        </w:rPr>
        <w:t>事实依据：</w:t>
      </w:r>
    </w:p>
    <w:p w14:paraId="43C8A0D2">
      <w:pPr>
        <w:shd w:val="clear"/>
        <w:adjustRightInd w:val="0"/>
        <w:snapToGrid w:val="0"/>
        <w:spacing w:line="360" w:lineRule="auto"/>
        <w:rPr>
          <w:rFonts w:hAnsi="宋体" w:cs="宋体"/>
          <w:color w:val="auto"/>
          <w:sz w:val="24"/>
          <w:szCs w:val="24"/>
          <w:highlight w:val="none"/>
        </w:rPr>
      </w:pPr>
    </w:p>
    <w:p w14:paraId="10A20BDD">
      <w:pPr>
        <w:shd w:val="clear"/>
        <w:adjustRightInd w:val="0"/>
        <w:snapToGrid w:val="0"/>
        <w:spacing w:line="360" w:lineRule="auto"/>
        <w:rPr>
          <w:rFonts w:hAnsi="宋体" w:cs="宋体"/>
          <w:color w:val="auto"/>
          <w:sz w:val="24"/>
          <w:szCs w:val="24"/>
          <w:highlight w:val="none"/>
          <w:u w:val="dotted"/>
        </w:rPr>
      </w:pPr>
      <w:r>
        <w:rPr>
          <w:rFonts w:hint="eastAsia" w:hAnsi="宋体" w:cs="宋体"/>
          <w:color w:val="auto"/>
          <w:sz w:val="24"/>
          <w:szCs w:val="24"/>
          <w:highlight w:val="none"/>
        </w:rPr>
        <w:t>法律依据：</w:t>
      </w:r>
    </w:p>
    <w:p w14:paraId="1735E009">
      <w:pPr>
        <w:shd w:val="clear"/>
        <w:adjustRightInd w:val="0"/>
        <w:snapToGrid w:val="0"/>
        <w:spacing w:line="360" w:lineRule="auto"/>
        <w:rPr>
          <w:rFonts w:hAnsi="宋体" w:cs="宋体"/>
          <w:color w:val="auto"/>
          <w:sz w:val="24"/>
          <w:szCs w:val="24"/>
          <w:highlight w:val="none"/>
          <w:u w:val="dotted"/>
        </w:rPr>
      </w:pPr>
    </w:p>
    <w:p w14:paraId="49FA6B24">
      <w:pPr>
        <w:shd w:val="clear"/>
        <w:adjustRightInd w:val="0"/>
        <w:snapToGrid w:val="0"/>
        <w:spacing w:line="360" w:lineRule="auto"/>
        <w:rPr>
          <w:rFonts w:hAnsi="宋体" w:cs="宋体"/>
          <w:color w:val="auto"/>
          <w:sz w:val="24"/>
          <w:szCs w:val="24"/>
          <w:highlight w:val="none"/>
          <w:u w:val="dotted"/>
        </w:rPr>
      </w:pPr>
      <w:r>
        <w:rPr>
          <w:rFonts w:hint="eastAsia" w:hAnsi="宋体" w:cs="宋体"/>
          <w:color w:val="auto"/>
          <w:sz w:val="24"/>
          <w:szCs w:val="24"/>
          <w:highlight w:val="none"/>
        </w:rPr>
        <w:t>质疑事项2</w:t>
      </w:r>
    </w:p>
    <w:p w14:paraId="689B94D5">
      <w:pPr>
        <w:shd w:val="clear"/>
        <w:adjustRightInd w:val="0"/>
        <w:snapToGrid w:val="0"/>
        <w:spacing w:line="360" w:lineRule="auto"/>
        <w:rPr>
          <w:rFonts w:hAnsi="宋体" w:cs="宋体"/>
          <w:color w:val="auto"/>
          <w:sz w:val="24"/>
          <w:szCs w:val="24"/>
          <w:highlight w:val="none"/>
        </w:rPr>
      </w:pPr>
      <w:r>
        <w:rPr>
          <w:rFonts w:hint="eastAsia" w:hAnsi="宋体" w:cs="宋体"/>
          <w:color w:val="auto"/>
          <w:sz w:val="24"/>
          <w:szCs w:val="24"/>
          <w:highlight w:val="none"/>
        </w:rPr>
        <w:t>……</w:t>
      </w:r>
    </w:p>
    <w:p w14:paraId="5F40DD9A">
      <w:pPr>
        <w:shd w:val="clear"/>
        <w:adjustRightInd w:val="0"/>
        <w:snapToGrid w:val="0"/>
        <w:spacing w:line="360" w:lineRule="auto"/>
        <w:rPr>
          <w:rFonts w:hAnsi="宋体" w:cs="宋体"/>
          <w:bCs/>
          <w:color w:val="auto"/>
          <w:sz w:val="24"/>
          <w:szCs w:val="24"/>
          <w:highlight w:val="none"/>
        </w:rPr>
      </w:pPr>
      <w:r>
        <w:rPr>
          <w:rFonts w:hint="eastAsia" w:hAnsi="宋体" w:cs="宋体"/>
          <w:bCs/>
          <w:color w:val="auto"/>
          <w:sz w:val="24"/>
          <w:szCs w:val="24"/>
          <w:highlight w:val="none"/>
        </w:rPr>
        <w:t>四、与质疑事项相关的质疑请求</w:t>
      </w:r>
    </w:p>
    <w:p w14:paraId="004B539C">
      <w:pPr>
        <w:shd w:val="clear"/>
        <w:adjustRightInd w:val="0"/>
        <w:snapToGrid w:val="0"/>
        <w:spacing w:line="360" w:lineRule="auto"/>
        <w:rPr>
          <w:rFonts w:hAnsi="宋体" w:cs="宋体"/>
          <w:color w:val="auto"/>
          <w:sz w:val="24"/>
          <w:szCs w:val="24"/>
          <w:highlight w:val="none"/>
          <w:u w:val="dotted"/>
        </w:rPr>
      </w:pPr>
      <w:r>
        <w:rPr>
          <w:rFonts w:hint="eastAsia" w:hAnsi="宋体" w:cs="宋体"/>
          <w:color w:val="auto"/>
          <w:sz w:val="24"/>
          <w:szCs w:val="24"/>
          <w:highlight w:val="none"/>
        </w:rPr>
        <w:t>请求：</w:t>
      </w:r>
    </w:p>
    <w:p w14:paraId="4C5F9319">
      <w:pPr>
        <w:shd w:val="clear"/>
        <w:rPr>
          <w:rFonts w:hAnsi="宋体" w:cs="宋体"/>
          <w:color w:val="auto"/>
          <w:sz w:val="24"/>
          <w:szCs w:val="24"/>
          <w:highlight w:val="none"/>
        </w:rPr>
      </w:pPr>
      <w:r>
        <w:rPr>
          <w:rFonts w:hint="eastAsia" w:hAnsi="宋体" w:cs="宋体"/>
          <w:color w:val="auto"/>
          <w:sz w:val="24"/>
          <w:szCs w:val="24"/>
          <w:highlight w:val="none"/>
        </w:rPr>
        <w:t xml:space="preserve">签字(签章)：                   公章：                      </w:t>
      </w:r>
    </w:p>
    <w:p w14:paraId="55A55BFD">
      <w:pPr>
        <w:shd w:val="clear"/>
        <w:rPr>
          <w:rFonts w:hAnsi="宋体" w:cs="宋体"/>
          <w:color w:val="auto"/>
          <w:sz w:val="24"/>
          <w:szCs w:val="24"/>
          <w:highlight w:val="none"/>
        </w:rPr>
      </w:pPr>
      <w:r>
        <w:rPr>
          <w:rFonts w:hint="eastAsia" w:hAnsi="宋体" w:cs="宋体"/>
          <w:color w:val="auto"/>
          <w:sz w:val="24"/>
          <w:szCs w:val="24"/>
          <w:highlight w:val="none"/>
        </w:rPr>
        <w:t xml:space="preserve">日期：    </w:t>
      </w:r>
    </w:p>
    <w:p w14:paraId="59A4DD41">
      <w:pPr>
        <w:pStyle w:val="85"/>
        <w:shd w:val="clear"/>
        <w:ind w:firstLine="0" w:firstLineChars="0"/>
        <w:rPr>
          <w:rFonts w:hAnsi="宋体" w:cs="宋体"/>
          <w:color w:val="auto"/>
          <w:sz w:val="24"/>
          <w:szCs w:val="24"/>
          <w:highlight w:val="none"/>
        </w:rPr>
      </w:pPr>
    </w:p>
    <w:p w14:paraId="6F54793C">
      <w:pPr>
        <w:pStyle w:val="85"/>
        <w:shd w:val="clear"/>
        <w:ind w:firstLine="0" w:firstLineChars="0"/>
        <w:rPr>
          <w:rFonts w:hAnsi="宋体" w:cs="宋体"/>
          <w:color w:val="auto"/>
          <w:sz w:val="24"/>
          <w:szCs w:val="24"/>
          <w:highlight w:val="none"/>
        </w:rPr>
      </w:pPr>
    </w:p>
    <w:p w14:paraId="56159681">
      <w:pPr>
        <w:pStyle w:val="85"/>
        <w:shd w:val="clear"/>
        <w:ind w:firstLine="0" w:firstLineChars="0"/>
        <w:rPr>
          <w:rFonts w:hAnsi="宋体" w:cs="宋体"/>
          <w:color w:val="auto"/>
          <w:sz w:val="24"/>
          <w:szCs w:val="24"/>
          <w:highlight w:val="none"/>
        </w:rPr>
      </w:pPr>
    </w:p>
    <w:p w14:paraId="0A77CEDC">
      <w:pPr>
        <w:pStyle w:val="85"/>
        <w:shd w:val="clear"/>
        <w:ind w:firstLine="0" w:firstLineChars="0"/>
        <w:rPr>
          <w:rFonts w:hAnsi="宋体" w:cs="宋体"/>
          <w:color w:val="auto"/>
          <w:sz w:val="24"/>
          <w:szCs w:val="24"/>
          <w:highlight w:val="none"/>
        </w:rPr>
      </w:pPr>
    </w:p>
    <w:p w14:paraId="2A0DB7FA">
      <w:pPr>
        <w:pStyle w:val="85"/>
        <w:shd w:val="clear"/>
        <w:ind w:firstLine="0" w:firstLineChars="0"/>
        <w:rPr>
          <w:rFonts w:hAnsi="宋体" w:cs="宋体"/>
          <w:color w:val="auto"/>
          <w:sz w:val="24"/>
          <w:szCs w:val="24"/>
          <w:highlight w:val="none"/>
        </w:rPr>
      </w:pPr>
    </w:p>
    <w:p w14:paraId="002EEFD2">
      <w:pPr>
        <w:pStyle w:val="85"/>
        <w:shd w:val="clear"/>
        <w:ind w:firstLine="0" w:firstLineChars="0"/>
        <w:rPr>
          <w:rFonts w:hAnsi="宋体" w:cs="宋体"/>
          <w:color w:val="auto"/>
          <w:sz w:val="24"/>
          <w:szCs w:val="24"/>
          <w:highlight w:val="none"/>
        </w:rPr>
      </w:pPr>
    </w:p>
    <w:p w14:paraId="5C7F02FD">
      <w:pPr>
        <w:pStyle w:val="85"/>
        <w:shd w:val="clear"/>
        <w:ind w:firstLine="0" w:firstLineChars="0"/>
        <w:rPr>
          <w:rFonts w:hAnsi="宋体" w:cs="宋体"/>
          <w:color w:val="auto"/>
          <w:sz w:val="24"/>
          <w:szCs w:val="24"/>
          <w:highlight w:val="none"/>
        </w:rPr>
      </w:pPr>
    </w:p>
    <w:p w14:paraId="3830EF9A">
      <w:pPr>
        <w:shd w:val="clear"/>
        <w:spacing w:line="480" w:lineRule="exact"/>
        <w:rPr>
          <w:rFonts w:hAnsi="宋体" w:cs="宋体"/>
          <w:b/>
          <w:color w:val="auto"/>
          <w:sz w:val="24"/>
          <w:szCs w:val="24"/>
          <w:highlight w:val="none"/>
        </w:rPr>
      </w:pPr>
      <w:r>
        <w:rPr>
          <w:rFonts w:hint="eastAsia" w:hAnsi="宋体" w:cs="宋体"/>
          <w:b/>
          <w:color w:val="auto"/>
          <w:sz w:val="24"/>
          <w:szCs w:val="24"/>
          <w:highlight w:val="none"/>
        </w:rPr>
        <w:t>质疑函制作说明：</w:t>
      </w:r>
    </w:p>
    <w:p w14:paraId="1167441D">
      <w:pPr>
        <w:shd w:val="clear"/>
        <w:spacing w:line="48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1.供应商提出质疑时，应提交质疑函和必要的证明材料。</w:t>
      </w:r>
    </w:p>
    <w:p w14:paraId="691DCCB8">
      <w:pPr>
        <w:shd w:val="clear"/>
        <w:spacing w:line="48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2.质疑供应商若委托代理人进行质疑的，质疑函应按要求列明“授权代表”的有关内容，并在附件中提交由质疑供应商签署的授权委托书。授权委托书应载明代理人的姓名或者名称、代理事项、具体权限、期限和相关事项。</w:t>
      </w:r>
    </w:p>
    <w:p w14:paraId="5687FE82">
      <w:pPr>
        <w:shd w:val="clear"/>
        <w:spacing w:line="48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3.质疑供应商若对项目的某一分包进行质疑，质疑函中应列明具体分包号。</w:t>
      </w:r>
    </w:p>
    <w:p w14:paraId="16CE3538">
      <w:pPr>
        <w:shd w:val="clear"/>
        <w:spacing w:line="48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4.质疑函的质疑事项应具体、明确，并有必要的事实依据和法律依据。</w:t>
      </w:r>
    </w:p>
    <w:p w14:paraId="70ED5598">
      <w:pPr>
        <w:shd w:val="clear"/>
        <w:spacing w:line="48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5.质疑函的质疑请求应与质疑事项相关。</w:t>
      </w:r>
    </w:p>
    <w:p w14:paraId="246A394E">
      <w:pPr>
        <w:pStyle w:val="85"/>
        <w:shd w:val="clear"/>
        <w:rPr>
          <w:rFonts w:hAnsi="宋体" w:cs="宋体"/>
          <w:color w:val="auto"/>
          <w:sz w:val="24"/>
          <w:szCs w:val="24"/>
          <w:highlight w:val="none"/>
        </w:rPr>
      </w:pPr>
      <w:r>
        <w:rPr>
          <w:rFonts w:hint="eastAsia" w:hAnsi="宋体" w:cs="宋体"/>
          <w:color w:val="auto"/>
          <w:sz w:val="24"/>
          <w:szCs w:val="24"/>
          <w:highlight w:val="none"/>
        </w:rPr>
        <w:t>6.质疑供应商为自然人的，质疑函应由本人签字；质疑供应商为法人或者其他组织的，质疑函应由法定代表人、主要负责人，或者其授权代表签字或者盖章，并加盖公章。</w:t>
      </w:r>
    </w:p>
    <w:p w14:paraId="5F584C68">
      <w:pPr>
        <w:shd w:val="clear"/>
        <w:jc w:val="center"/>
        <w:outlineLvl w:val="0"/>
        <w:rPr>
          <w:rFonts w:hAnsi="宋体" w:cs="宋体"/>
          <w:b/>
          <w:color w:val="auto"/>
          <w:sz w:val="40"/>
          <w:szCs w:val="40"/>
          <w:highlight w:val="none"/>
        </w:rPr>
      </w:pPr>
      <w:r>
        <w:rPr>
          <w:rFonts w:hint="eastAsia" w:hAnsi="宋体" w:cs="宋体"/>
          <w:color w:val="auto"/>
          <w:sz w:val="24"/>
          <w:szCs w:val="24"/>
          <w:highlight w:val="none"/>
        </w:rPr>
        <w:br w:type="page"/>
      </w:r>
      <w:bookmarkStart w:id="171" w:name="_Toc29931"/>
      <w:bookmarkStart w:id="172" w:name="_Toc28502"/>
      <w:bookmarkStart w:id="173" w:name="_Toc510"/>
      <w:bookmarkStart w:id="174" w:name="_Toc7265"/>
      <w:bookmarkStart w:id="175" w:name="_Toc16403"/>
      <w:bookmarkStart w:id="176" w:name="_Toc13688"/>
      <w:r>
        <w:rPr>
          <w:rFonts w:hint="eastAsia" w:hAnsi="宋体" w:cs="宋体"/>
          <w:b/>
          <w:color w:val="auto"/>
          <w:sz w:val="40"/>
          <w:szCs w:val="40"/>
          <w:highlight w:val="none"/>
        </w:rPr>
        <w:t>附件二 投诉书范本</w:t>
      </w:r>
      <w:bookmarkEnd w:id="171"/>
      <w:bookmarkEnd w:id="172"/>
      <w:bookmarkEnd w:id="173"/>
      <w:bookmarkEnd w:id="174"/>
      <w:bookmarkEnd w:id="175"/>
      <w:bookmarkEnd w:id="176"/>
    </w:p>
    <w:p w14:paraId="5FBD546F">
      <w:pPr>
        <w:shd w:val="clear"/>
        <w:rPr>
          <w:rFonts w:hAnsi="宋体" w:cs="宋体"/>
          <w:color w:val="auto"/>
          <w:sz w:val="24"/>
          <w:szCs w:val="24"/>
          <w:highlight w:val="none"/>
        </w:rPr>
      </w:pPr>
      <w:r>
        <w:rPr>
          <w:rFonts w:hint="eastAsia" w:hAnsi="宋体" w:cs="宋体"/>
          <w:color w:val="auto"/>
          <w:sz w:val="24"/>
          <w:szCs w:val="24"/>
          <w:highlight w:val="none"/>
        </w:rPr>
        <w:t>一、投诉相关主体基本情况</w:t>
      </w:r>
    </w:p>
    <w:p w14:paraId="5B2121BF">
      <w:pPr>
        <w:shd w:val="clear"/>
        <w:rPr>
          <w:rFonts w:hAnsi="宋体" w:cs="宋体"/>
          <w:color w:val="auto"/>
          <w:sz w:val="24"/>
          <w:szCs w:val="24"/>
          <w:highlight w:val="none"/>
          <w:u w:val="dotted"/>
        </w:rPr>
      </w:pPr>
      <w:r>
        <w:rPr>
          <w:rFonts w:hint="eastAsia" w:hAnsi="宋体" w:cs="宋体"/>
          <w:color w:val="auto"/>
          <w:sz w:val="24"/>
          <w:szCs w:val="24"/>
          <w:highlight w:val="none"/>
        </w:rPr>
        <w:t>投诉人：</w:t>
      </w:r>
    </w:p>
    <w:p w14:paraId="5726CEBB">
      <w:pPr>
        <w:shd w:val="clear"/>
        <w:rPr>
          <w:rFonts w:hAnsi="宋体" w:cs="宋体"/>
          <w:color w:val="auto"/>
          <w:sz w:val="24"/>
          <w:szCs w:val="24"/>
          <w:highlight w:val="none"/>
          <w:u w:val="single"/>
        </w:rPr>
      </w:pPr>
      <w:r>
        <w:rPr>
          <w:rFonts w:hint="eastAsia" w:hAnsi="宋体" w:cs="宋体"/>
          <w:color w:val="auto"/>
          <w:sz w:val="24"/>
          <w:szCs w:val="24"/>
          <w:highlight w:val="none"/>
        </w:rPr>
        <w:t>地     址：邮编：</w:t>
      </w:r>
    </w:p>
    <w:p w14:paraId="464F7690">
      <w:pPr>
        <w:shd w:val="clear"/>
        <w:tabs>
          <w:tab w:val="left" w:pos="6510"/>
        </w:tabs>
        <w:rPr>
          <w:rFonts w:hAnsi="宋体" w:cs="宋体"/>
          <w:color w:val="auto"/>
          <w:sz w:val="24"/>
          <w:szCs w:val="24"/>
          <w:highlight w:val="none"/>
        </w:rPr>
      </w:pPr>
      <w:r>
        <w:rPr>
          <w:rFonts w:hint="eastAsia" w:hAnsi="宋体" w:cs="宋体"/>
          <w:color w:val="auto"/>
          <w:sz w:val="24"/>
          <w:szCs w:val="24"/>
          <w:highlight w:val="none"/>
        </w:rPr>
        <w:t>法定代表人/主要负责人：</w:t>
      </w:r>
    </w:p>
    <w:p w14:paraId="6E29103A">
      <w:pPr>
        <w:shd w:val="clear"/>
        <w:tabs>
          <w:tab w:val="left" w:pos="6510"/>
        </w:tabs>
        <w:rPr>
          <w:rFonts w:hAnsi="宋体" w:cs="宋体"/>
          <w:color w:val="auto"/>
          <w:sz w:val="24"/>
          <w:szCs w:val="24"/>
          <w:highlight w:val="none"/>
          <w:u w:val="dotted"/>
        </w:rPr>
      </w:pPr>
      <w:r>
        <w:rPr>
          <w:rFonts w:hint="eastAsia" w:hAnsi="宋体" w:cs="宋体"/>
          <w:color w:val="auto"/>
          <w:sz w:val="24"/>
          <w:szCs w:val="24"/>
          <w:highlight w:val="none"/>
        </w:rPr>
        <w:t>联系电话：</w:t>
      </w:r>
    </w:p>
    <w:p w14:paraId="1AE68DDC">
      <w:pPr>
        <w:shd w:val="clear"/>
        <w:rPr>
          <w:rFonts w:hAnsi="宋体" w:cs="宋体"/>
          <w:color w:val="auto"/>
          <w:sz w:val="24"/>
          <w:szCs w:val="24"/>
          <w:highlight w:val="none"/>
          <w:u w:val="dotted"/>
        </w:rPr>
      </w:pPr>
      <w:r>
        <w:rPr>
          <w:rFonts w:hint="eastAsia" w:hAnsi="宋体" w:cs="宋体"/>
          <w:color w:val="auto"/>
          <w:sz w:val="24"/>
          <w:szCs w:val="24"/>
          <w:highlight w:val="none"/>
        </w:rPr>
        <w:t>授权代表：联系电话</w:t>
      </w:r>
      <w:r>
        <w:rPr>
          <w:rFonts w:hint="eastAsia" w:hAnsi="宋体" w:cs="宋体"/>
          <w:color w:val="auto"/>
          <w:sz w:val="24"/>
          <w:szCs w:val="24"/>
          <w:highlight w:val="none"/>
          <w:u w:val="dotted"/>
        </w:rPr>
        <w:t xml:space="preserve">：                  </w:t>
      </w:r>
    </w:p>
    <w:p w14:paraId="4A3DDE39">
      <w:pPr>
        <w:shd w:val="clear"/>
        <w:rPr>
          <w:rFonts w:hAnsi="宋体" w:cs="宋体"/>
          <w:color w:val="auto"/>
          <w:sz w:val="24"/>
          <w:szCs w:val="24"/>
          <w:highlight w:val="none"/>
          <w:u w:val="dotted"/>
        </w:rPr>
      </w:pPr>
      <w:r>
        <w:rPr>
          <w:rFonts w:hint="eastAsia" w:hAnsi="宋体" w:cs="宋体"/>
          <w:color w:val="auto"/>
          <w:sz w:val="24"/>
          <w:szCs w:val="24"/>
          <w:highlight w:val="none"/>
        </w:rPr>
        <w:t>地     址：邮编：</w:t>
      </w:r>
    </w:p>
    <w:p w14:paraId="36A247FE">
      <w:pPr>
        <w:shd w:val="clear"/>
        <w:rPr>
          <w:rFonts w:hAnsi="宋体" w:cs="宋体"/>
          <w:color w:val="auto"/>
          <w:sz w:val="24"/>
          <w:szCs w:val="24"/>
          <w:highlight w:val="none"/>
          <w:u w:val="single"/>
        </w:rPr>
      </w:pPr>
      <w:r>
        <w:rPr>
          <w:rFonts w:hint="eastAsia" w:hAnsi="宋体" w:cs="宋体"/>
          <w:color w:val="auto"/>
          <w:sz w:val="24"/>
          <w:szCs w:val="24"/>
          <w:highlight w:val="none"/>
        </w:rPr>
        <w:t>被投诉人1：</w:t>
      </w:r>
    </w:p>
    <w:p w14:paraId="1B626B1B">
      <w:pPr>
        <w:shd w:val="clear"/>
        <w:rPr>
          <w:rFonts w:hAnsi="宋体" w:cs="宋体"/>
          <w:color w:val="auto"/>
          <w:sz w:val="24"/>
          <w:szCs w:val="24"/>
          <w:highlight w:val="none"/>
          <w:u w:val="single"/>
        </w:rPr>
      </w:pPr>
      <w:r>
        <w:rPr>
          <w:rFonts w:hint="eastAsia" w:hAnsi="宋体" w:cs="宋体"/>
          <w:color w:val="auto"/>
          <w:sz w:val="24"/>
          <w:szCs w:val="24"/>
          <w:highlight w:val="none"/>
        </w:rPr>
        <w:t>地     址：邮编：</w:t>
      </w:r>
    </w:p>
    <w:p w14:paraId="04BC689E">
      <w:pPr>
        <w:shd w:val="clear"/>
        <w:rPr>
          <w:rFonts w:hAnsi="宋体" w:cs="宋体"/>
          <w:color w:val="auto"/>
          <w:sz w:val="24"/>
          <w:szCs w:val="24"/>
          <w:highlight w:val="none"/>
          <w:u w:val="single"/>
        </w:rPr>
      </w:pPr>
      <w:r>
        <w:rPr>
          <w:rFonts w:hint="eastAsia" w:hAnsi="宋体" w:cs="宋体"/>
          <w:color w:val="auto"/>
          <w:sz w:val="24"/>
          <w:szCs w:val="24"/>
          <w:highlight w:val="none"/>
        </w:rPr>
        <w:t>联系人：联系电话：</w:t>
      </w:r>
    </w:p>
    <w:p w14:paraId="35AD58C3">
      <w:pPr>
        <w:shd w:val="clear"/>
        <w:rPr>
          <w:rFonts w:hAnsi="宋体" w:cs="宋体"/>
          <w:color w:val="auto"/>
          <w:sz w:val="24"/>
          <w:szCs w:val="24"/>
          <w:highlight w:val="none"/>
        </w:rPr>
      </w:pPr>
      <w:r>
        <w:rPr>
          <w:rFonts w:hint="eastAsia" w:hAnsi="宋体" w:cs="宋体"/>
          <w:color w:val="auto"/>
          <w:sz w:val="24"/>
          <w:szCs w:val="24"/>
          <w:highlight w:val="none"/>
        </w:rPr>
        <w:t>被投诉人2</w:t>
      </w:r>
    </w:p>
    <w:p w14:paraId="7B0A03D6">
      <w:pPr>
        <w:shd w:val="clear"/>
        <w:rPr>
          <w:rFonts w:hAnsi="宋体" w:cs="宋体"/>
          <w:color w:val="auto"/>
          <w:sz w:val="24"/>
          <w:szCs w:val="24"/>
          <w:highlight w:val="none"/>
          <w:u w:val="dotted"/>
        </w:rPr>
      </w:pPr>
      <w:r>
        <w:rPr>
          <w:rFonts w:hint="eastAsia" w:hAnsi="宋体" w:cs="宋体"/>
          <w:color w:val="auto"/>
          <w:sz w:val="24"/>
          <w:szCs w:val="24"/>
          <w:highlight w:val="none"/>
        </w:rPr>
        <w:t>……</w:t>
      </w:r>
    </w:p>
    <w:p w14:paraId="7B180AD0">
      <w:pPr>
        <w:shd w:val="clear"/>
        <w:rPr>
          <w:rFonts w:hAnsi="宋体" w:cs="宋体"/>
          <w:color w:val="auto"/>
          <w:sz w:val="24"/>
          <w:szCs w:val="24"/>
          <w:highlight w:val="none"/>
          <w:u w:val="single"/>
        </w:rPr>
      </w:pPr>
      <w:r>
        <w:rPr>
          <w:rFonts w:hint="eastAsia" w:hAnsi="宋体" w:cs="宋体"/>
          <w:color w:val="auto"/>
          <w:sz w:val="24"/>
          <w:szCs w:val="24"/>
          <w:highlight w:val="none"/>
        </w:rPr>
        <w:t>相关供应商：</w:t>
      </w:r>
    </w:p>
    <w:p w14:paraId="3F55ECF8">
      <w:pPr>
        <w:shd w:val="clear"/>
        <w:rPr>
          <w:rFonts w:hAnsi="宋体" w:cs="宋体"/>
          <w:color w:val="auto"/>
          <w:sz w:val="24"/>
          <w:szCs w:val="24"/>
          <w:highlight w:val="none"/>
          <w:u w:val="single"/>
        </w:rPr>
      </w:pPr>
      <w:r>
        <w:rPr>
          <w:rFonts w:hint="eastAsia" w:hAnsi="宋体" w:cs="宋体"/>
          <w:color w:val="auto"/>
          <w:sz w:val="24"/>
          <w:szCs w:val="24"/>
          <w:highlight w:val="none"/>
        </w:rPr>
        <w:t>地     址：邮编：</w:t>
      </w:r>
    </w:p>
    <w:p w14:paraId="5378D4D2">
      <w:pPr>
        <w:shd w:val="clear"/>
        <w:rPr>
          <w:rFonts w:hAnsi="宋体" w:cs="宋体"/>
          <w:color w:val="auto"/>
          <w:sz w:val="24"/>
          <w:szCs w:val="24"/>
          <w:highlight w:val="none"/>
          <w:u w:val="single"/>
        </w:rPr>
      </w:pPr>
      <w:r>
        <w:rPr>
          <w:rFonts w:hint="eastAsia" w:hAnsi="宋体" w:cs="宋体"/>
          <w:color w:val="auto"/>
          <w:sz w:val="24"/>
          <w:szCs w:val="24"/>
          <w:highlight w:val="none"/>
        </w:rPr>
        <w:t>联系人：联系电话：</w:t>
      </w:r>
    </w:p>
    <w:p w14:paraId="15EC4170">
      <w:pPr>
        <w:shd w:val="clear"/>
        <w:rPr>
          <w:rFonts w:hAnsi="宋体" w:cs="宋体"/>
          <w:color w:val="auto"/>
          <w:sz w:val="24"/>
          <w:szCs w:val="24"/>
          <w:highlight w:val="none"/>
        </w:rPr>
      </w:pPr>
      <w:r>
        <w:rPr>
          <w:rFonts w:hint="eastAsia" w:hAnsi="宋体" w:cs="宋体"/>
          <w:color w:val="auto"/>
          <w:sz w:val="24"/>
          <w:szCs w:val="24"/>
          <w:highlight w:val="none"/>
        </w:rPr>
        <w:t>二、投诉项目基本情况</w:t>
      </w:r>
    </w:p>
    <w:p w14:paraId="1FA5797D">
      <w:pPr>
        <w:shd w:val="clear"/>
        <w:rPr>
          <w:rFonts w:hAnsi="宋体" w:cs="宋体"/>
          <w:color w:val="auto"/>
          <w:sz w:val="24"/>
          <w:szCs w:val="24"/>
          <w:highlight w:val="none"/>
          <w:u w:val="dotted"/>
        </w:rPr>
      </w:pPr>
      <w:r>
        <w:rPr>
          <w:rFonts w:hint="eastAsia" w:hAnsi="宋体" w:cs="宋体"/>
          <w:color w:val="auto"/>
          <w:sz w:val="24"/>
          <w:szCs w:val="24"/>
          <w:highlight w:val="none"/>
        </w:rPr>
        <w:t>采购项目名称：</w:t>
      </w:r>
    </w:p>
    <w:p w14:paraId="572E52D2">
      <w:pPr>
        <w:shd w:val="clear"/>
        <w:rPr>
          <w:rFonts w:hAnsi="宋体" w:cs="宋体"/>
          <w:color w:val="auto"/>
          <w:sz w:val="24"/>
          <w:szCs w:val="24"/>
          <w:highlight w:val="none"/>
          <w:u w:val="single"/>
        </w:rPr>
      </w:pPr>
      <w:r>
        <w:rPr>
          <w:rFonts w:hint="eastAsia" w:hAnsi="宋体" w:cs="宋体"/>
          <w:color w:val="auto"/>
          <w:sz w:val="24"/>
          <w:szCs w:val="24"/>
          <w:highlight w:val="none"/>
        </w:rPr>
        <w:t>采购项目编号：包号：</w:t>
      </w:r>
    </w:p>
    <w:p w14:paraId="21ABAD31">
      <w:pPr>
        <w:shd w:val="clear"/>
        <w:rPr>
          <w:rFonts w:hAnsi="宋体" w:cs="宋体"/>
          <w:color w:val="auto"/>
          <w:sz w:val="24"/>
          <w:szCs w:val="24"/>
          <w:highlight w:val="none"/>
        </w:rPr>
      </w:pPr>
      <w:r>
        <w:rPr>
          <w:rFonts w:hint="eastAsia" w:hAnsi="宋体" w:cs="宋体"/>
          <w:color w:val="auto"/>
          <w:sz w:val="24"/>
          <w:szCs w:val="24"/>
          <w:highlight w:val="none"/>
        </w:rPr>
        <w:t>采购人名称：</w:t>
      </w:r>
    </w:p>
    <w:p w14:paraId="64B3FD01">
      <w:pPr>
        <w:shd w:val="clear"/>
        <w:rPr>
          <w:rFonts w:hAnsi="宋体" w:cs="宋体"/>
          <w:color w:val="auto"/>
          <w:sz w:val="24"/>
          <w:szCs w:val="24"/>
          <w:highlight w:val="none"/>
          <w:u w:val="single"/>
        </w:rPr>
      </w:pPr>
      <w:r>
        <w:rPr>
          <w:rFonts w:hint="eastAsia" w:hAnsi="宋体" w:cs="宋体"/>
          <w:color w:val="auto"/>
          <w:sz w:val="24"/>
          <w:szCs w:val="24"/>
          <w:highlight w:val="none"/>
        </w:rPr>
        <w:t>代理机构名称：</w:t>
      </w:r>
    </w:p>
    <w:p w14:paraId="3B5EA3A1">
      <w:pPr>
        <w:shd w:val="clear"/>
        <w:rPr>
          <w:rFonts w:hAnsi="宋体" w:cs="宋体"/>
          <w:color w:val="auto"/>
          <w:sz w:val="24"/>
          <w:szCs w:val="24"/>
          <w:highlight w:val="none"/>
          <w:u w:val="dotted"/>
        </w:rPr>
      </w:pPr>
      <w:r>
        <w:rPr>
          <w:rFonts w:hint="eastAsia" w:hAnsi="宋体" w:cs="宋体"/>
          <w:color w:val="auto"/>
          <w:sz w:val="24"/>
          <w:szCs w:val="24"/>
          <w:highlight w:val="none"/>
        </w:rPr>
        <w:t>采购文件公告:</w:t>
      </w:r>
      <w:r>
        <w:rPr>
          <w:rFonts w:hint="eastAsia" w:hAnsi="宋体" w:cs="宋体"/>
          <w:color w:val="auto"/>
          <w:sz w:val="24"/>
          <w:szCs w:val="24"/>
          <w:highlight w:val="none"/>
          <w:u w:val="dotted"/>
        </w:rPr>
        <w:t xml:space="preserve">是/否 </w:t>
      </w:r>
      <w:r>
        <w:rPr>
          <w:rFonts w:hint="eastAsia" w:hAnsi="宋体" w:cs="宋体"/>
          <w:color w:val="auto"/>
          <w:sz w:val="24"/>
          <w:szCs w:val="24"/>
          <w:highlight w:val="none"/>
        </w:rPr>
        <w:t>公告期限：</w:t>
      </w:r>
    </w:p>
    <w:p w14:paraId="0AE33782">
      <w:pPr>
        <w:shd w:val="clear"/>
        <w:rPr>
          <w:rFonts w:hAnsi="宋体" w:cs="宋体"/>
          <w:color w:val="auto"/>
          <w:sz w:val="24"/>
          <w:szCs w:val="24"/>
          <w:highlight w:val="none"/>
          <w:u w:val="single"/>
        </w:rPr>
      </w:pPr>
      <w:r>
        <w:rPr>
          <w:rFonts w:hint="eastAsia" w:hAnsi="宋体" w:cs="宋体"/>
          <w:color w:val="auto"/>
          <w:sz w:val="24"/>
          <w:szCs w:val="24"/>
          <w:highlight w:val="none"/>
        </w:rPr>
        <w:t>采购结果公告:</w:t>
      </w:r>
      <w:r>
        <w:rPr>
          <w:rFonts w:hint="eastAsia" w:hAnsi="宋体" w:cs="宋体"/>
          <w:color w:val="auto"/>
          <w:sz w:val="24"/>
          <w:szCs w:val="24"/>
          <w:highlight w:val="none"/>
          <w:u w:val="dotted"/>
        </w:rPr>
        <w:t xml:space="preserve">是/否 </w:t>
      </w:r>
      <w:r>
        <w:rPr>
          <w:rFonts w:hint="eastAsia" w:hAnsi="宋体" w:cs="宋体"/>
          <w:color w:val="auto"/>
          <w:sz w:val="24"/>
          <w:szCs w:val="24"/>
          <w:highlight w:val="none"/>
        </w:rPr>
        <w:t>公告期限：</w:t>
      </w:r>
    </w:p>
    <w:p w14:paraId="35774795">
      <w:pPr>
        <w:shd w:val="clear"/>
        <w:rPr>
          <w:rFonts w:hAnsi="宋体" w:cs="宋体"/>
          <w:color w:val="auto"/>
          <w:sz w:val="24"/>
          <w:szCs w:val="24"/>
          <w:highlight w:val="none"/>
        </w:rPr>
      </w:pPr>
      <w:r>
        <w:rPr>
          <w:rFonts w:hint="eastAsia" w:hAnsi="宋体" w:cs="宋体"/>
          <w:color w:val="auto"/>
          <w:sz w:val="24"/>
          <w:szCs w:val="24"/>
          <w:highlight w:val="none"/>
        </w:rPr>
        <w:t>三、质疑基本情况</w:t>
      </w:r>
    </w:p>
    <w:p w14:paraId="4075B37E">
      <w:pPr>
        <w:shd w:val="clear"/>
        <w:ind w:firstLine="480" w:firstLineChars="200"/>
        <w:rPr>
          <w:rFonts w:hAnsi="宋体" w:cs="宋体"/>
          <w:color w:val="auto"/>
          <w:sz w:val="24"/>
          <w:szCs w:val="24"/>
          <w:highlight w:val="none"/>
          <w:u w:val="dotted"/>
        </w:rPr>
      </w:pPr>
      <w:r>
        <w:rPr>
          <w:rFonts w:hint="eastAsia" w:hAnsi="宋体" w:cs="宋体"/>
          <w:color w:val="auto"/>
          <w:sz w:val="24"/>
          <w:szCs w:val="24"/>
          <w:highlight w:val="none"/>
        </w:rPr>
        <w:t>投诉人于年月日,向提出质疑，质疑事项为：</w:t>
      </w:r>
    </w:p>
    <w:p w14:paraId="390FF3DB">
      <w:pPr>
        <w:shd w:val="clear"/>
        <w:rPr>
          <w:rFonts w:hAnsi="宋体" w:cs="宋体"/>
          <w:color w:val="auto"/>
          <w:sz w:val="24"/>
          <w:szCs w:val="24"/>
          <w:highlight w:val="none"/>
          <w:u w:val="dotted"/>
        </w:rPr>
      </w:pPr>
    </w:p>
    <w:p w14:paraId="3F639305">
      <w:pPr>
        <w:shd w:val="clear"/>
        <w:ind w:firstLine="360" w:firstLineChars="150"/>
        <w:rPr>
          <w:rFonts w:hAnsi="宋体" w:cs="宋体"/>
          <w:color w:val="auto"/>
          <w:sz w:val="24"/>
          <w:szCs w:val="24"/>
          <w:highlight w:val="none"/>
        </w:rPr>
      </w:pPr>
      <w:r>
        <w:rPr>
          <w:rFonts w:hint="eastAsia" w:hAnsi="宋体" w:cs="宋体"/>
          <w:color w:val="auto"/>
          <w:sz w:val="24"/>
          <w:szCs w:val="24"/>
          <w:highlight w:val="none"/>
          <w:u w:val="dotted"/>
        </w:rPr>
        <w:t>采购人/代理机构</w:t>
      </w:r>
      <w:r>
        <w:rPr>
          <w:rFonts w:hint="eastAsia" w:hAnsi="宋体" w:cs="宋体"/>
          <w:color w:val="auto"/>
          <w:sz w:val="24"/>
          <w:szCs w:val="24"/>
          <w:highlight w:val="none"/>
        </w:rPr>
        <w:t>于年月日,就质疑事项作出了答复/没有在法定期限内作出答复。</w:t>
      </w:r>
    </w:p>
    <w:p w14:paraId="0A12FE4B">
      <w:pPr>
        <w:shd w:val="clear"/>
        <w:rPr>
          <w:rFonts w:hAnsi="宋体" w:cs="宋体"/>
          <w:color w:val="auto"/>
          <w:sz w:val="24"/>
          <w:szCs w:val="24"/>
          <w:highlight w:val="none"/>
        </w:rPr>
      </w:pPr>
      <w:r>
        <w:rPr>
          <w:rFonts w:hint="eastAsia" w:hAnsi="宋体" w:cs="宋体"/>
          <w:color w:val="auto"/>
          <w:sz w:val="24"/>
          <w:szCs w:val="24"/>
          <w:highlight w:val="none"/>
        </w:rPr>
        <w:t>四、投诉事项具体内容</w:t>
      </w:r>
    </w:p>
    <w:p w14:paraId="2ABDC388">
      <w:pPr>
        <w:shd w:val="clear"/>
        <w:rPr>
          <w:rFonts w:hAnsi="宋体" w:cs="宋体"/>
          <w:color w:val="auto"/>
          <w:sz w:val="24"/>
          <w:szCs w:val="24"/>
          <w:highlight w:val="none"/>
          <w:u w:val="single"/>
        </w:rPr>
      </w:pPr>
      <w:r>
        <w:rPr>
          <w:rFonts w:hint="eastAsia" w:hAnsi="宋体" w:cs="宋体"/>
          <w:color w:val="auto"/>
          <w:sz w:val="24"/>
          <w:szCs w:val="24"/>
          <w:highlight w:val="none"/>
        </w:rPr>
        <w:t>投诉事项 1：</w:t>
      </w:r>
    </w:p>
    <w:p w14:paraId="7E6E6C74">
      <w:pPr>
        <w:shd w:val="clear"/>
        <w:rPr>
          <w:rFonts w:hAnsi="宋体" w:cs="宋体"/>
          <w:color w:val="auto"/>
          <w:sz w:val="24"/>
          <w:szCs w:val="24"/>
          <w:highlight w:val="none"/>
        </w:rPr>
      </w:pPr>
      <w:r>
        <w:rPr>
          <w:rFonts w:hint="eastAsia" w:hAnsi="宋体" w:cs="宋体"/>
          <w:color w:val="auto"/>
          <w:sz w:val="24"/>
          <w:szCs w:val="24"/>
          <w:highlight w:val="none"/>
        </w:rPr>
        <w:t>事实依据：</w:t>
      </w:r>
    </w:p>
    <w:p w14:paraId="73509B76">
      <w:pPr>
        <w:shd w:val="clear"/>
        <w:rPr>
          <w:rFonts w:hAnsi="宋体" w:cs="宋体"/>
          <w:color w:val="auto"/>
          <w:sz w:val="24"/>
          <w:szCs w:val="24"/>
          <w:highlight w:val="none"/>
          <w:u w:val="dotted"/>
        </w:rPr>
      </w:pPr>
    </w:p>
    <w:p w14:paraId="00AF186C">
      <w:pPr>
        <w:shd w:val="clear"/>
        <w:rPr>
          <w:rFonts w:hAnsi="宋体" w:cs="宋体"/>
          <w:color w:val="auto"/>
          <w:sz w:val="24"/>
          <w:szCs w:val="24"/>
          <w:highlight w:val="none"/>
          <w:u w:val="single"/>
        </w:rPr>
      </w:pPr>
      <w:r>
        <w:rPr>
          <w:rFonts w:hint="eastAsia" w:hAnsi="宋体" w:cs="宋体"/>
          <w:color w:val="auto"/>
          <w:sz w:val="24"/>
          <w:szCs w:val="24"/>
          <w:highlight w:val="none"/>
        </w:rPr>
        <w:t>法律依据：</w:t>
      </w:r>
    </w:p>
    <w:p w14:paraId="45A00518">
      <w:pPr>
        <w:shd w:val="clear"/>
        <w:rPr>
          <w:rFonts w:hAnsi="宋体" w:cs="宋体"/>
          <w:color w:val="auto"/>
          <w:sz w:val="24"/>
          <w:szCs w:val="24"/>
          <w:highlight w:val="none"/>
          <w:u w:val="dotted"/>
        </w:rPr>
      </w:pPr>
    </w:p>
    <w:p w14:paraId="1370F27D">
      <w:pPr>
        <w:shd w:val="clear"/>
        <w:rPr>
          <w:rFonts w:hAnsi="宋体" w:cs="宋体"/>
          <w:color w:val="auto"/>
          <w:sz w:val="24"/>
          <w:szCs w:val="24"/>
          <w:highlight w:val="none"/>
        </w:rPr>
      </w:pPr>
      <w:r>
        <w:rPr>
          <w:rFonts w:hint="eastAsia" w:hAnsi="宋体" w:cs="宋体"/>
          <w:color w:val="auto"/>
          <w:sz w:val="24"/>
          <w:szCs w:val="24"/>
          <w:highlight w:val="none"/>
        </w:rPr>
        <w:t>投诉事项2</w:t>
      </w:r>
    </w:p>
    <w:p w14:paraId="76B80F9A">
      <w:pPr>
        <w:shd w:val="clear"/>
        <w:rPr>
          <w:rFonts w:hAnsi="宋体" w:cs="宋体"/>
          <w:color w:val="auto"/>
          <w:sz w:val="24"/>
          <w:szCs w:val="24"/>
          <w:highlight w:val="none"/>
          <w:u w:val="dotted"/>
        </w:rPr>
      </w:pPr>
      <w:r>
        <w:rPr>
          <w:rFonts w:hint="eastAsia" w:hAnsi="宋体" w:cs="宋体"/>
          <w:color w:val="auto"/>
          <w:sz w:val="24"/>
          <w:szCs w:val="24"/>
          <w:highlight w:val="none"/>
        </w:rPr>
        <w:t>……</w:t>
      </w:r>
    </w:p>
    <w:p w14:paraId="0D046BA4">
      <w:pPr>
        <w:shd w:val="clear"/>
        <w:rPr>
          <w:rFonts w:hAnsi="宋体" w:cs="宋体"/>
          <w:color w:val="auto"/>
          <w:sz w:val="24"/>
          <w:szCs w:val="24"/>
          <w:highlight w:val="none"/>
        </w:rPr>
      </w:pPr>
      <w:r>
        <w:rPr>
          <w:rFonts w:hint="eastAsia" w:hAnsi="宋体" w:cs="宋体"/>
          <w:color w:val="auto"/>
          <w:sz w:val="24"/>
          <w:szCs w:val="24"/>
          <w:highlight w:val="none"/>
        </w:rPr>
        <w:t>五、与投诉事项相关的投诉请求</w:t>
      </w:r>
    </w:p>
    <w:p w14:paraId="0E0580D4">
      <w:pPr>
        <w:shd w:val="clear"/>
        <w:rPr>
          <w:rFonts w:hAnsi="宋体" w:cs="宋体"/>
          <w:color w:val="auto"/>
          <w:sz w:val="24"/>
          <w:szCs w:val="24"/>
          <w:highlight w:val="none"/>
        </w:rPr>
      </w:pPr>
      <w:r>
        <w:rPr>
          <w:rFonts w:hint="eastAsia" w:hAnsi="宋体" w:cs="宋体"/>
          <w:color w:val="auto"/>
          <w:sz w:val="24"/>
          <w:szCs w:val="24"/>
          <w:highlight w:val="none"/>
        </w:rPr>
        <w:t>请求：</w:t>
      </w:r>
    </w:p>
    <w:p w14:paraId="0C584CF8">
      <w:pPr>
        <w:shd w:val="clear"/>
        <w:rPr>
          <w:rFonts w:hAnsi="宋体" w:cs="宋体"/>
          <w:color w:val="auto"/>
          <w:sz w:val="24"/>
          <w:szCs w:val="24"/>
          <w:highlight w:val="none"/>
          <w:u w:val="single"/>
        </w:rPr>
      </w:pPr>
    </w:p>
    <w:p w14:paraId="1179CF94">
      <w:pPr>
        <w:shd w:val="clear"/>
        <w:rPr>
          <w:rFonts w:hAnsi="宋体" w:cs="宋体"/>
          <w:color w:val="auto"/>
          <w:sz w:val="24"/>
          <w:szCs w:val="24"/>
          <w:highlight w:val="none"/>
        </w:rPr>
      </w:pPr>
      <w:r>
        <w:rPr>
          <w:rFonts w:hint="eastAsia" w:hAnsi="宋体" w:cs="宋体"/>
          <w:color w:val="auto"/>
          <w:sz w:val="24"/>
          <w:szCs w:val="24"/>
          <w:highlight w:val="none"/>
        </w:rPr>
        <w:t xml:space="preserve">签字(签章)：                   公章：                      </w:t>
      </w:r>
    </w:p>
    <w:p w14:paraId="12DF83E7">
      <w:pPr>
        <w:shd w:val="clear"/>
        <w:rPr>
          <w:rFonts w:hAnsi="宋体" w:cs="宋体"/>
          <w:color w:val="auto"/>
          <w:sz w:val="24"/>
          <w:szCs w:val="24"/>
          <w:highlight w:val="none"/>
        </w:rPr>
      </w:pPr>
      <w:r>
        <w:rPr>
          <w:rFonts w:hint="eastAsia" w:hAnsi="宋体" w:cs="宋体"/>
          <w:color w:val="auto"/>
          <w:sz w:val="24"/>
          <w:szCs w:val="24"/>
          <w:highlight w:val="none"/>
        </w:rPr>
        <w:t xml:space="preserve">日期：    </w:t>
      </w:r>
    </w:p>
    <w:p w14:paraId="7A6576C2">
      <w:pPr>
        <w:shd w:val="clear"/>
        <w:rPr>
          <w:rFonts w:hAnsi="宋体" w:cs="宋体"/>
          <w:b/>
          <w:color w:val="auto"/>
          <w:sz w:val="24"/>
          <w:szCs w:val="24"/>
          <w:highlight w:val="none"/>
        </w:rPr>
      </w:pPr>
    </w:p>
    <w:p w14:paraId="1FCA242F">
      <w:pPr>
        <w:shd w:val="clear"/>
        <w:rPr>
          <w:rFonts w:hAnsi="宋体" w:cs="宋体"/>
          <w:b/>
          <w:color w:val="auto"/>
          <w:sz w:val="24"/>
          <w:szCs w:val="24"/>
          <w:highlight w:val="none"/>
        </w:rPr>
      </w:pPr>
    </w:p>
    <w:p w14:paraId="593E4775">
      <w:pPr>
        <w:shd w:val="clear"/>
        <w:rPr>
          <w:rFonts w:hAnsi="宋体" w:cs="宋体"/>
          <w:b/>
          <w:color w:val="auto"/>
          <w:sz w:val="24"/>
          <w:szCs w:val="24"/>
          <w:highlight w:val="none"/>
        </w:rPr>
      </w:pPr>
    </w:p>
    <w:p w14:paraId="359FCE07">
      <w:pPr>
        <w:shd w:val="clear"/>
        <w:spacing w:line="480" w:lineRule="exact"/>
        <w:rPr>
          <w:rFonts w:hAnsi="宋体" w:cs="宋体"/>
          <w:b/>
          <w:color w:val="auto"/>
          <w:sz w:val="24"/>
          <w:szCs w:val="24"/>
          <w:highlight w:val="none"/>
        </w:rPr>
      </w:pPr>
      <w:r>
        <w:rPr>
          <w:rFonts w:hint="eastAsia" w:hAnsi="宋体" w:cs="宋体"/>
          <w:b/>
          <w:color w:val="auto"/>
          <w:sz w:val="24"/>
          <w:szCs w:val="24"/>
          <w:highlight w:val="none"/>
        </w:rPr>
        <w:t>投诉书制作说明：</w:t>
      </w:r>
    </w:p>
    <w:p w14:paraId="79136736">
      <w:pPr>
        <w:shd w:val="clear"/>
        <w:spacing w:line="48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1.投诉人提起投诉时，应当提交投诉书和必要的证明材料，并按照被投诉人和与投诉事项有关的供应商数量提供投诉书副本。</w:t>
      </w:r>
    </w:p>
    <w:p w14:paraId="75A4DAFC">
      <w:pPr>
        <w:shd w:val="clear"/>
        <w:spacing w:line="48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2.投诉人若委托代理人进行投诉的，投诉书应按照要求列明“授权代表”的有关内容，并在附件中提交由投诉人签署的授权委托书。授权委托书应当载明代理人的姓名或者名称、代理事项、具体权限、期限和相关事项。</w:t>
      </w:r>
    </w:p>
    <w:p w14:paraId="221D0773">
      <w:pPr>
        <w:shd w:val="clear"/>
        <w:spacing w:line="48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3.投诉人若对项目的某一分包进行投诉，投诉书应列明具体分包号。</w:t>
      </w:r>
    </w:p>
    <w:p w14:paraId="345D7B93">
      <w:pPr>
        <w:shd w:val="clear"/>
        <w:spacing w:line="48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4.投诉书应简要列明质疑事项，质疑函、质疑答复等作为附件材料提供。</w:t>
      </w:r>
    </w:p>
    <w:p w14:paraId="3AA59A22">
      <w:pPr>
        <w:shd w:val="clear"/>
        <w:spacing w:line="48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5.投诉书的投诉事项应具体、明确，并有必要的事实依据和法律依据。</w:t>
      </w:r>
    </w:p>
    <w:p w14:paraId="43AA1D24">
      <w:pPr>
        <w:shd w:val="clear"/>
        <w:spacing w:line="480" w:lineRule="exact"/>
        <w:ind w:firstLine="480" w:firstLineChars="200"/>
        <w:rPr>
          <w:rFonts w:hAnsi="宋体" w:cs="宋体"/>
          <w:color w:val="auto"/>
          <w:sz w:val="24"/>
          <w:szCs w:val="24"/>
          <w:highlight w:val="none"/>
        </w:rPr>
      </w:pPr>
      <w:r>
        <w:rPr>
          <w:rFonts w:hint="eastAsia" w:hAnsi="宋体" w:cs="宋体"/>
          <w:color w:val="auto"/>
          <w:sz w:val="24"/>
          <w:szCs w:val="24"/>
          <w:highlight w:val="none"/>
        </w:rPr>
        <w:t>6.投诉书的投诉请求应与投诉事项相关。</w:t>
      </w:r>
    </w:p>
    <w:p w14:paraId="06DD51BA">
      <w:pPr>
        <w:shd w:val="clear"/>
        <w:rPr>
          <w:color w:val="auto"/>
          <w:highlight w:val="none"/>
        </w:rPr>
      </w:pPr>
      <w:r>
        <w:rPr>
          <w:rFonts w:hint="eastAsia" w:hAnsi="宋体" w:cs="宋体"/>
          <w:color w:val="auto"/>
          <w:sz w:val="24"/>
          <w:szCs w:val="24"/>
          <w:highlight w:val="none"/>
        </w:rPr>
        <w:t>7.投诉人为自然人的，投诉书应当由本人签字；投诉人为法人或者其他组织的，投诉书应当由法定代表人、主要负责人，或者其授权代表签字或者盖章，并加盖公章。</w:t>
      </w:r>
    </w:p>
    <w:p w14:paraId="04EE2D43">
      <w:pPr>
        <w:pStyle w:val="2"/>
        <w:shd w:val="clear"/>
        <w:rPr>
          <w:color w:val="auto"/>
          <w:highlight w:val="none"/>
        </w:rPr>
        <w:sectPr>
          <w:headerReference r:id="rId14" w:type="first"/>
          <w:footerReference r:id="rId16" w:type="first"/>
          <w:headerReference r:id="rId13" w:type="default"/>
          <w:footerReference r:id="rId15" w:type="default"/>
          <w:type w:val="nextColumn"/>
          <w:pgSz w:w="11907" w:h="16840"/>
          <w:pgMar w:top="1361" w:right="1361" w:bottom="1418" w:left="1474" w:header="851" w:footer="992" w:gutter="0"/>
          <w:cols w:space="720" w:num="1"/>
          <w:titlePg/>
          <w:docGrid w:linePitch="312" w:charSpace="0"/>
        </w:sectPr>
      </w:pPr>
    </w:p>
    <w:p w14:paraId="7CCB9D06">
      <w:pPr>
        <w:shd w:val="clear"/>
        <w:rPr>
          <w:rFonts w:hAnsi="宋体" w:cs="宋体"/>
          <w:color w:val="auto"/>
          <w:highlight w:val="none"/>
        </w:rPr>
      </w:pPr>
      <w:r>
        <w:rPr>
          <w:rFonts w:hint="eastAsia" w:hAnsi="宋体" w:cs="宋体"/>
          <w:color w:val="auto"/>
          <w:highlight w:val="none"/>
        </w:rPr>
        <w:drawing>
          <wp:inline distT="0" distB="0" distL="114300" distR="114300">
            <wp:extent cx="5941060" cy="8440420"/>
            <wp:effectExtent l="0" t="0" r="2540" b="17780"/>
            <wp:docPr id="8" name="图片 1" descr="C:\Users\Administrator\AppData\Roaming\DingTalk\18198513_v2\ImageFiles\49\lALPDgQ9qzkb4y3NA4nNAn0_637_9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descr="C:\Users\Administrator\AppData\Roaming\DingTalk\18198513_v2\ImageFiles\49\lALPDgQ9qzkb4y3NA4nNAn0_637_905.png"/>
                    <pic:cNvPicPr>
                      <a:picLocks noChangeAspect="1"/>
                    </pic:cNvPicPr>
                  </pic:nvPicPr>
                  <pic:blipFill>
                    <a:blip r:embed="rId20"/>
                    <a:stretch>
                      <a:fillRect/>
                    </a:stretch>
                  </pic:blipFill>
                  <pic:spPr>
                    <a:xfrm>
                      <a:off x="0" y="0"/>
                      <a:ext cx="5941060" cy="8440420"/>
                    </a:xfrm>
                    <a:prstGeom prst="rect">
                      <a:avLst/>
                    </a:prstGeom>
                    <a:noFill/>
                    <a:ln>
                      <a:noFill/>
                    </a:ln>
                  </pic:spPr>
                </pic:pic>
              </a:graphicData>
            </a:graphic>
          </wp:inline>
        </w:drawing>
      </w:r>
    </w:p>
    <w:p w14:paraId="5CD7A9F2">
      <w:pPr>
        <w:widowControl/>
        <w:shd w:val="clear"/>
        <w:jc w:val="left"/>
        <w:rPr>
          <w:rFonts w:hAnsi="宋体" w:cs="宋体"/>
          <w:color w:val="auto"/>
          <w:highlight w:val="none"/>
        </w:rPr>
      </w:pPr>
      <w:r>
        <w:rPr>
          <w:rFonts w:hint="eastAsia" w:hAnsi="宋体" w:cs="宋体"/>
          <w:color w:val="auto"/>
          <w:highlight w:val="none"/>
        </w:rPr>
        <w:br w:type="page"/>
      </w:r>
    </w:p>
    <w:p w14:paraId="0299B7BB">
      <w:pPr>
        <w:shd w:val="clear"/>
        <w:rPr>
          <w:rFonts w:hAnsi="宋体" w:cs="宋体"/>
          <w:color w:val="auto"/>
          <w:highlight w:val="none"/>
        </w:rPr>
      </w:pPr>
      <w:r>
        <w:rPr>
          <w:rFonts w:hint="eastAsia" w:hAnsi="宋体" w:cs="宋体"/>
          <w:color w:val="auto"/>
          <w:highlight w:val="none"/>
        </w:rPr>
        <w:drawing>
          <wp:inline distT="0" distB="0" distL="114300" distR="114300">
            <wp:extent cx="5941060" cy="8337550"/>
            <wp:effectExtent l="0" t="0" r="2540" b="6350"/>
            <wp:docPr id="9" name="图片 2" descr="C:\Users\Administrator\AppData\Roaming\DingTalk\18198513_v2\ImageFiles\8a\lALPDgQ9qzkdtwTNA4XNAoI_642_9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descr="C:\Users\Administrator\AppData\Roaming\DingTalk\18198513_v2\ImageFiles\8a\lALPDgQ9qzkdtwTNA4XNAoI_642_901.png"/>
                    <pic:cNvPicPr>
                      <a:picLocks noChangeAspect="1"/>
                    </pic:cNvPicPr>
                  </pic:nvPicPr>
                  <pic:blipFill>
                    <a:blip r:embed="rId21"/>
                    <a:stretch>
                      <a:fillRect/>
                    </a:stretch>
                  </pic:blipFill>
                  <pic:spPr>
                    <a:xfrm>
                      <a:off x="0" y="0"/>
                      <a:ext cx="5941060" cy="8337550"/>
                    </a:xfrm>
                    <a:prstGeom prst="rect">
                      <a:avLst/>
                    </a:prstGeom>
                    <a:noFill/>
                    <a:ln>
                      <a:noFill/>
                    </a:ln>
                  </pic:spPr>
                </pic:pic>
              </a:graphicData>
            </a:graphic>
          </wp:inline>
        </w:drawing>
      </w:r>
      <w:r>
        <w:rPr>
          <w:rFonts w:hint="eastAsia" w:hAnsi="宋体" w:cs="宋体"/>
          <w:color w:val="auto"/>
          <w:highlight w:val="none"/>
        </w:rPr>
        <w:br w:type="page"/>
      </w:r>
    </w:p>
    <w:p w14:paraId="127E81AB">
      <w:pPr>
        <w:shd w:val="clear"/>
        <w:rPr>
          <w:rFonts w:hAnsi="宋体" w:cs="宋体"/>
          <w:color w:val="auto"/>
          <w:highlight w:val="none"/>
        </w:rPr>
      </w:pPr>
      <w:r>
        <w:rPr>
          <w:rFonts w:hint="eastAsia" w:hAnsi="宋体" w:cs="宋体"/>
          <w:color w:val="auto"/>
          <w:highlight w:val="none"/>
        </w:rPr>
        <w:drawing>
          <wp:inline distT="0" distB="0" distL="114300" distR="114300">
            <wp:extent cx="5941060" cy="8237220"/>
            <wp:effectExtent l="0" t="0" r="2540" b="11430"/>
            <wp:docPr id="10" name="图片 3" descr="C:\Users\Administrator\AppData\Roaming\DingTalk\18198513_v2\ImageFiles\36\lALPDgQ9qzkb_mjNA3bNAn8_639_8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descr="C:\Users\Administrator\AppData\Roaming\DingTalk\18198513_v2\ImageFiles\36\lALPDgQ9qzkb_mjNA3bNAn8_639_886.png"/>
                    <pic:cNvPicPr>
                      <a:picLocks noChangeAspect="1"/>
                    </pic:cNvPicPr>
                  </pic:nvPicPr>
                  <pic:blipFill>
                    <a:blip r:embed="rId22"/>
                    <a:stretch>
                      <a:fillRect/>
                    </a:stretch>
                  </pic:blipFill>
                  <pic:spPr>
                    <a:xfrm>
                      <a:off x="0" y="0"/>
                      <a:ext cx="5941060" cy="8237220"/>
                    </a:xfrm>
                    <a:prstGeom prst="rect">
                      <a:avLst/>
                    </a:prstGeom>
                    <a:noFill/>
                    <a:ln>
                      <a:noFill/>
                    </a:ln>
                  </pic:spPr>
                </pic:pic>
              </a:graphicData>
            </a:graphic>
          </wp:inline>
        </w:drawing>
      </w:r>
      <w:r>
        <w:rPr>
          <w:rFonts w:hint="eastAsia" w:hAnsi="宋体" w:cs="宋体"/>
          <w:color w:val="auto"/>
          <w:highlight w:val="none"/>
        </w:rPr>
        <w:br w:type="page"/>
      </w:r>
    </w:p>
    <w:p w14:paraId="73AD8BF0">
      <w:pPr>
        <w:shd w:val="clear"/>
        <w:rPr>
          <w:rFonts w:hAnsi="宋体" w:cs="宋体"/>
          <w:color w:val="auto"/>
          <w:highlight w:val="none"/>
        </w:rPr>
      </w:pPr>
      <w:r>
        <w:rPr>
          <w:rFonts w:hint="eastAsia" w:hAnsi="宋体" w:cs="宋体"/>
          <w:color w:val="auto"/>
          <w:highlight w:val="none"/>
        </w:rPr>
        <w:drawing>
          <wp:inline distT="0" distB="0" distL="114300" distR="114300">
            <wp:extent cx="5941060" cy="8303895"/>
            <wp:effectExtent l="0" t="0" r="2540" b="1905"/>
            <wp:docPr id="11" name="图片 4" descr="C:\Users\Administrator\AppData\Roaming\DingTalk\18198513_v2\ImageFiles\78\lALPDgQ9qzkb4yrNA3LNAnc_631_8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 descr="C:\Users\Administrator\AppData\Roaming\DingTalk\18198513_v2\ImageFiles\78\lALPDgQ9qzkb4yrNA3LNAnc_631_882.png"/>
                    <pic:cNvPicPr>
                      <a:picLocks noChangeAspect="1"/>
                    </pic:cNvPicPr>
                  </pic:nvPicPr>
                  <pic:blipFill>
                    <a:blip r:embed="rId23"/>
                    <a:stretch>
                      <a:fillRect/>
                    </a:stretch>
                  </pic:blipFill>
                  <pic:spPr>
                    <a:xfrm>
                      <a:off x="0" y="0"/>
                      <a:ext cx="5941060" cy="8303895"/>
                    </a:xfrm>
                    <a:prstGeom prst="rect">
                      <a:avLst/>
                    </a:prstGeom>
                    <a:noFill/>
                    <a:ln>
                      <a:noFill/>
                    </a:ln>
                  </pic:spPr>
                </pic:pic>
              </a:graphicData>
            </a:graphic>
          </wp:inline>
        </w:drawing>
      </w:r>
      <w:r>
        <w:rPr>
          <w:rFonts w:hint="eastAsia" w:hAnsi="宋体" w:cs="宋体"/>
          <w:color w:val="auto"/>
          <w:highlight w:val="none"/>
        </w:rPr>
        <w:br w:type="page"/>
      </w:r>
    </w:p>
    <w:p w14:paraId="29162E8C">
      <w:pPr>
        <w:shd w:val="clear"/>
        <w:rPr>
          <w:rFonts w:hAnsi="宋体" w:cs="宋体"/>
          <w:color w:val="auto"/>
          <w:highlight w:val="none"/>
        </w:rPr>
      </w:pPr>
      <w:r>
        <w:rPr>
          <w:rFonts w:hint="eastAsia" w:hAnsi="宋体" w:cs="宋体"/>
          <w:color w:val="auto"/>
          <w:highlight w:val="none"/>
        </w:rPr>
        <w:drawing>
          <wp:inline distT="0" distB="0" distL="114300" distR="114300">
            <wp:extent cx="5941060" cy="8076565"/>
            <wp:effectExtent l="0" t="0" r="2540" b="635"/>
            <wp:docPr id="12" name="图片 5" descr="C:\Users\Administrator\AppData\Roaming\DingTalk\18198513_v2\ImageFiles\72\lALPDgQ9qzkdtwHNA2LNAn0_637_8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5" descr="C:\Users\Administrator\AppData\Roaming\DingTalk\18198513_v2\ImageFiles\72\lALPDgQ9qzkdtwHNA2LNAn0_637_866.png"/>
                    <pic:cNvPicPr>
                      <a:picLocks noChangeAspect="1"/>
                    </pic:cNvPicPr>
                  </pic:nvPicPr>
                  <pic:blipFill>
                    <a:blip r:embed="rId24"/>
                    <a:stretch>
                      <a:fillRect/>
                    </a:stretch>
                  </pic:blipFill>
                  <pic:spPr>
                    <a:xfrm>
                      <a:off x="0" y="0"/>
                      <a:ext cx="5941060" cy="8076565"/>
                    </a:xfrm>
                    <a:prstGeom prst="rect">
                      <a:avLst/>
                    </a:prstGeom>
                    <a:noFill/>
                    <a:ln>
                      <a:noFill/>
                    </a:ln>
                  </pic:spPr>
                </pic:pic>
              </a:graphicData>
            </a:graphic>
          </wp:inline>
        </w:drawing>
      </w:r>
      <w:r>
        <w:rPr>
          <w:rFonts w:hint="eastAsia" w:hAnsi="宋体" w:cs="宋体"/>
          <w:color w:val="auto"/>
          <w:highlight w:val="none"/>
        </w:rPr>
        <w:br w:type="page"/>
      </w:r>
    </w:p>
    <w:p w14:paraId="490C53FA">
      <w:pPr>
        <w:shd w:val="clear"/>
        <w:rPr>
          <w:rFonts w:hAnsi="宋体" w:cs="宋体"/>
          <w:color w:val="auto"/>
          <w:highlight w:val="none"/>
        </w:rPr>
      </w:pPr>
      <w:r>
        <w:rPr>
          <w:rFonts w:hint="eastAsia" w:hAnsi="宋体" w:cs="宋体"/>
          <w:color w:val="auto"/>
          <w:highlight w:val="none"/>
        </w:rPr>
        <w:drawing>
          <wp:inline distT="0" distB="0" distL="114300" distR="114300">
            <wp:extent cx="5941060" cy="8279765"/>
            <wp:effectExtent l="0" t="0" r="2540" b="6985"/>
            <wp:docPr id="13" name="图片 6" descr="C:\Users\Administrator\AppData\Roaming\DingTalk\18198513_v2\ImageFiles\65\lALPDgQ9qzkb_mnNA3zNAoA_640_89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6" descr="C:\Users\Administrator\AppData\Roaming\DingTalk\18198513_v2\ImageFiles\65\lALPDgQ9qzkb_mnNA3zNAoA_640_892.png"/>
                    <pic:cNvPicPr>
                      <a:picLocks noChangeAspect="1"/>
                    </pic:cNvPicPr>
                  </pic:nvPicPr>
                  <pic:blipFill>
                    <a:blip r:embed="rId25"/>
                    <a:stretch>
                      <a:fillRect/>
                    </a:stretch>
                  </pic:blipFill>
                  <pic:spPr>
                    <a:xfrm>
                      <a:off x="0" y="0"/>
                      <a:ext cx="5941060" cy="8279765"/>
                    </a:xfrm>
                    <a:prstGeom prst="rect">
                      <a:avLst/>
                    </a:prstGeom>
                    <a:noFill/>
                    <a:ln>
                      <a:noFill/>
                    </a:ln>
                  </pic:spPr>
                </pic:pic>
              </a:graphicData>
            </a:graphic>
          </wp:inline>
        </w:drawing>
      </w:r>
      <w:r>
        <w:rPr>
          <w:rFonts w:hint="eastAsia" w:hAnsi="宋体" w:cs="宋体"/>
          <w:color w:val="auto"/>
          <w:highlight w:val="none"/>
        </w:rPr>
        <w:br w:type="page"/>
      </w:r>
    </w:p>
    <w:p w14:paraId="3AC80D37">
      <w:pPr>
        <w:shd w:val="clear"/>
        <w:rPr>
          <w:rFonts w:hAnsi="宋体" w:cs="宋体"/>
          <w:color w:val="auto"/>
          <w:highlight w:val="none"/>
        </w:rPr>
      </w:pPr>
      <w:r>
        <w:rPr>
          <w:rFonts w:hint="eastAsia" w:hAnsi="宋体" w:cs="宋体"/>
          <w:color w:val="auto"/>
          <w:highlight w:val="none"/>
        </w:rPr>
        <w:drawing>
          <wp:inline distT="0" distB="0" distL="114300" distR="114300">
            <wp:extent cx="5941060" cy="8360410"/>
            <wp:effectExtent l="0" t="0" r="2540" b="2540"/>
            <wp:docPr id="14" name="图片 7" descr="C:\Users\Administrator\AppData\Roaming\DingTalk\18198513_v2\ImageFiles\97\lALPDgQ9qzkb4yzNA3_NAnw_636_8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7" descr="C:\Users\Administrator\AppData\Roaming\DingTalk\18198513_v2\ImageFiles\97\lALPDgQ9qzkb4yzNA3_NAnw_636_895.png"/>
                    <pic:cNvPicPr>
                      <a:picLocks noChangeAspect="1"/>
                    </pic:cNvPicPr>
                  </pic:nvPicPr>
                  <pic:blipFill>
                    <a:blip r:embed="rId26"/>
                    <a:stretch>
                      <a:fillRect/>
                    </a:stretch>
                  </pic:blipFill>
                  <pic:spPr>
                    <a:xfrm>
                      <a:off x="0" y="0"/>
                      <a:ext cx="5941060" cy="8360410"/>
                    </a:xfrm>
                    <a:prstGeom prst="rect">
                      <a:avLst/>
                    </a:prstGeom>
                    <a:noFill/>
                    <a:ln>
                      <a:noFill/>
                    </a:ln>
                  </pic:spPr>
                </pic:pic>
              </a:graphicData>
            </a:graphic>
          </wp:inline>
        </w:drawing>
      </w:r>
      <w:r>
        <w:rPr>
          <w:rFonts w:hint="eastAsia" w:hAnsi="宋体" w:cs="宋体"/>
          <w:color w:val="auto"/>
          <w:highlight w:val="none"/>
        </w:rPr>
        <w:br w:type="page"/>
      </w:r>
    </w:p>
    <w:p w14:paraId="606FFA85">
      <w:pPr>
        <w:shd w:val="clear"/>
        <w:rPr>
          <w:rFonts w:hAnsi="宋体" w:cs="宋体"/>
          <w:color w:val="auto"/>
          <w:highlight w:val="none"/>
        </w:rPr>
      </w:pPr>
      <w:r>
        <w:rPr>
          <w:rFonts w:hint="eastAsia" w:hAnsi="宋体" w:cs="宋体"/>
          <w:color w:val="auto"/>
          <w:highlight w:val="none"/>
        </w:rPr>
        <w:drawing>
          <wp:inline distT="0" distB="0" distL="114300" distR="114300">
            <wp:extent cx="5941060" cy="8354695"/>
            <wp:effectExtent l="0" t="0" r="2540" b="8255"/>
            <wp:docPr id="15" name="图片 8" descr="C:\Users\Administrator\AppData\Roaming\DingTalk\18198513_v2\ImageFiles\e8\lALPDgQ9qzkdtwPNA3bNAnY_630_8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8" descr="C:\Users\Administrator\AppData\Roaming\DingTalk\18198513_v2\ImageFiles\e8\lALPDgQ9qzkdtwPNA3bNAnY_630_886.png"/>
                    <pic:cNvPicPr>
                      <a:picLocks noChangeAspect="1"/>
                    </pic:cNvPicPr>
                  </pic:nvPicPr>
                  <pic:blipFill>
                    <a:blip r:embed="rId27"/>
                    <a:stretch>
                      <a:fillRect/>
                    </a:stretch>
                  </pic:blipFill>
                  <pic:spPr>
                    <a:xfrm>
                      <a:off x="0" y="0"/>
                      <a:ext cx="5941060" cy="8354695"/>
                    </a:xfrm>
                    <a:prstGeom prst="rect">
                      <a:avLst/>
                    </a:prstGeom>
                    <a:noFill/>
                    <a:ln>
                      <a:noFill/>
                    </a:ln>
                  </pic:spPr>
                </pic:pic>
              </a:graphicData>
            </a:graphic>
          </wp:inline>
        </w:drawing>
      </w:r>
      <w:r>
        <w:rPr>
          <w:rFonts w:hint="eastAsia" w:hAnsi="宋体" w:cs="宋体"/>
          <w:color w:val="auto"/>
          <w:highlight w:val="none"/>
        </w:rPr>
        <w:br w:type="page"/>
      </w:r>
    </w:p>
    <w:p w14:paraId="1FE8D5D7">
      <w:pPr>
        <w:shd w:val="clear"/>
        <w:rPr>
          <w:rFonts w:hAnsi="宋体" w:cs="宋体"/>
          <w:color w:val="auto"/>
          <w:highlight w:val="none"/>
        </w:rPr>
      </w:pPr>
      <w:r>
        <w:rPr>
          <w:rFonts w:hint="eastAsia" w:hAnsi="宋体" w:cs="宋体"/>
          <w:color w:val="auto"/>
          <w:highlight w:val="none"/>
        </w:rPr>
        <w:drawing>
          <wp:inline distT="0" distB="0" distL="114300" distR="114300">
            <wp:extent cx="5941060" cy="8089265"/>
            <wp:effectExtent l="0" t="0" r="2540" b="6985"/>
            <wp:docPr id="16" name="图片 9" descr="C:\Users\Administrator\AppData\Roaming\DingTalk\18198513_v2\ImageFiles\43\lALPDgQ9qzkb_mrNA2LNAnw_636_8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9" descr="C:\Users\Administrator\AppData\Roaming\DingTalk\18198513_v2\ImageFiles\43\lALPDgQ9qzkb_mrNA2LNAnw_636_866.png"/>
                    <pic:cNvPicPr>
                      <a:picLocks noChangeAspect="1"/>
                    </pic:cNvPicPr>
                  </pic:nvPicPr>
                  <pic:blipFill>
                    <a:blip r:embed="rId28"/>
                    <a:stretch>
                      <a:fillRect/>
                    </a:stretch>
                  </pic:blipFill>
                  <pic:spPr>
                    <a:xfrm>
                      <a:off x="0" y="0"/>
                      <a:ext cx="5941060" cy="8089265"/>
                    </a:xfrm>
                    <a:prstGeom prst="rect">
                      <a:avLst/>
                    </a:prstGeom>
                    <a:noFill/>
                    <a:ln>
                      <a:noFill/>
                    </a:ln>
                  </pic:spPr>
                </pic:pic>
              </a:graphicData>
            </a:graphic>
          </wp:inline>
        </w:drawing>
      </w:r>
      <w:r>
        <w:rPr>
          <w:rFonts w:hint="eastAsia" w:hAnsi="宋体" w:cs="宋体"/>
          <w:color w:val="auto"/>
          <w:highlight w:val="none"/>
        </w:rPr>
        <w:br w:type="page"/>
      </w:r>
      <w:r>
        <w:rPr>
          <w:rFonts w:hint="eastAsia" w:hAnsi="宋体" w:cs="宋体"/>
          <w:color w:val="auto"/>
          <w:highlight w:val="none"/>
        </w:rPr>
        <w:drawing>
          <wp:inline distT="0" distB="0" distL="114300" distR="114300">
            <wp:extent cx="5941060" cy="8197850"/>
            <wp:effectExtent l="0" t="0" r="2540" b="12700"/>
            <wp:docPr id="17" name="图片 10" descr="C:\Users\Administrator\AppData\Roaming\DingTalk\18198513_v2\ImageFiles\5e\lALPDgQ9qzkb4yvNA2TNAnU_629_8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0" descr="C:\Users\Administrator\AppData\Roaming\DingTalk\18198513_v2\ImageFiles\5e\lALPDgQ9qzkb4yvNA2TNAnU_629_868.png"/>
                    <pic:cNvPicPr>
                      <a:picLocks noChangeAspect="1"/>
                    </pic:cNvPicPr>
                  </pic:nvPicPr>
                  <pic:blipFill>
                    <a:blip r:embed="rId29"/>
                    <a:stretch>
                      <a:fillRect/>
                    </a:stretch>
                  </pic:blipFill>
                  <pic:spPr>
                    <a:xfrm>
                      <a:off x="0" y="0"/>
                      <a:ext cx="5941060" cy="8197850"/>
                    </a:xfrm>
                    <a:prstGeom prst="rect">
                      <a:avLst/>
                    </a:prstGeom>
                    <a:noFill/>
                    <a:ln>
                      <a:noFill/>
                    </a:ln>
                  </pic:spPr>
                </pic:pic>
              </a:graphicData>
            </a:graphic>
          </wp:inline>
        </w:drawing>
      </w:r>
      <w:r>
        <w:rPr>
          <w:rFonts w:hint="eastAsia" w:hAnsi="宋体" w:cs="宋体"/>
          <w:color w:val="auto"/>
          <w:highlight w:val="none"/>
        </w:rPr>
        <w:drawing>
          <wp:inline distT="0" distB="0" distL="114300" distR="114300">
            <wp:extent cx="5941060" cy="8289290"/>
            <wp:effectExtent l="0" t="0" r="2540" b="16510"/>
            <wp:docPr id="18" name="图片 11" descr="C:\Users\Administrator\AppData\Roaming\DingTalk\18198513_v2\ImageFiles\bb\lALPDgQ9qzkdtwLNA33NAoA_640_8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1" descr="C:\Users\Administrator\AppData\Roaming\DingTalk\18198513_v2\ImageFiles\bb\lALPDgQ9qzkdtwLNA33NAoA_640_893.png"/>
                    <pic:cNvPicPr>
                      <a:picLocks noChangeAspect="1"/>
                    </pic:cNvPicPr>
                  </pic:nvPicPr>
                  <pic:blipFill>
                    <a:blip r:embed="rId30"/>
                    <a:stretch>
                      <a:fillRect/>
                    </a:stretch>
                  </pic:blipFill>
                  <pic:spPr>
                    <a:xfrm>
                      <a:off x="0" y="0"/>
                      <a:ext cx="5941060" cy="8289290"/>
                    </a:xfrm>
                    <a:prstGeom prst="rect">
                      <a:avLst/>
                    </a:prstGeom>
                    <a:noFill/>
                    <a:ln>
                      <a:noFill/>
                    </a:ln>
                  </pic:spPr>
                </pic:pic>
              </a:graphicData>
            </a:graphic>
          </wp:inline>
        </w:drawing>
      </w:r>
    </w:p>
    <w:p w14:paraId="361C67A6">
      <w:pPr>
        <w:shd w:val="clear"/>
        <w:spacing w:line="400" w:lineRule="exact"/>
        <w:rPr>
          <w:rFonts w:hAnsi="宋体" w:cs="宋体"/>
          <w:b/>
          <w:color w:val="auto"/>
          <w:sz w:val="30"/>
          <w:szCs w:val="30"/>
          <w:highlight w:val="none"/>
        </w:rPr>
      </w:pPr>
    </w:p>
    <w:bookmarkEnd w:id="135"/>
    <w:p w14:paraId="271EEDFC">
      <w:pPr>
        <w:widowControl/>
        <w:shd w:val="clear"/>
        <w:spacing w:line="500" w:lineRule="exact"/>
        <w:jc w:val="center"/>
        <w:outlineLvl w:val="1"/>
        <w:rPr>
          <w:rFonts w:hAnsi="宋体" w:cs="宋体"/>
          <w:color w:val="auto"/>
          <w:sz w:val="24"/>
          <w:szCs w:val="24"/>
          <w:highlight w:val="none"/>
        </w:rPr>
      </w:pPr>
    </w:p>
    <w:sectPr>
      <w:footerReference r:id="rId17" w:type="default"/>
      <w:type w:val="nextColumn"/>
      <w:pgSz w:w="11907" w:h="16840"/>
      <w:pgMar w:top="1361" w:right="1361" w:bottom="1418" w:left="1474" w:header="851" w:footer="992" w:gutter="0"/>
      <w:cols w:space="0" w:num="1"/>
      <w:titlePg/>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auto"/>
    <w:pitch w:val="default"/>
    <w:sig w:usb0="E0002EFF" w:usb1="C000785B" w:usb2="00000009" w:usb3="00000000" w:csb0="400001FF" w:csb1="FFFF0000"/>
  </w:font>
  <w:font w:name="宋体">
    <w:panose1 w:val="02010600030101010101"/>
    <w:charset w:val="8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onospace">
    <w:altName w:val="Segoe Print"/>
    <w:panose1 w:val="00000000000000000000"/>
    <w:charset w:val="00"/>
    <w:family w:val="auto"/>
    <w:pitch w:val="default"/>
    <w:sig w:usb0="00000000" w:usb1="00000000" w:usb2="00000000" w:usb3="00000000" w:csb0="00000000" w:csb1="0000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ADCEF7">
    <w:pPr>
      <w:pStyle w:val="18"/>
      <w:jc w:val="center"/>
    </w:pPr>
  </w:p>
  <w:p w14:paraId="6D93D05D">
    <w:pPr>
      <w:pStyle w:val="1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18858F">
    <w:pPr>
      <w:pStyle w:val="18"/>
      <w:framePr w:wrap="around" w:vAnchor="text" w:hAnchor="margin" w:xAlign="center" w:y="1"/>
      <w:rPr>
        <w:rStyle w:val="33"/>
      </w:rPr>
    </w:pPr>
    <w:r>
      <w:fldChar w:fldCharType="begin"/>
    </w:r>
    <w:r>
      <w:rPr>
        <w:rStyle w:val="33"/>
      </w:rPr>
      <w:instrText xml:space="preserve">PAGE  </w:instrText>
    </w:r>
    <w:r>
      <w:fldChar w:fldCharType="end"/>
    </w:r>
  </w:p>
  <w:p w14:paraId="1DBFBDA5">
    <w:pPr>
      <w:pStyle w:val="18"/>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F19FDD">
    <w:pPr>
      <w:pStyle w:val="18"/>
      <w:jc w:val="center"/>
    </w:pPr>
  </w:p>
  <w:p w14:paraId="71A0672D">
    <w:pPr>
      <w:pStyle w:val="18"/>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0D2742">
    <w:pPr>
      <w:pStyle w:val="18"/>
      <w:jc w:val="center"/>
    </w:pPr>
  </w:p>
  <w:p w14:paraId="3AE7E0A0">
    <w:pPr>
      <w:pStyle w:val="18"/>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09C6E8">
    <w:pPr>
      <w:pStyle w:val="18"/>
      <w:jc w:val="center"/>
    </w:pPr>
  </w:p>
  <w:p w14:paraId="6D587D56">
    <w:pPr>
      <w:pStyle w:val="18"/>
      <w:jc w:val="cen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FCC7F0">
    <w:pPr>
      <w:pStyle w:val="18"/>
      <w:jc w:val="center"/>
    </w:pPr>
    <w:r>
      <w:pict>
        <v:shape id="文本框 4" o:spid="_x0000_s3074"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DVimr4yQEAAJoDAAAOAAAAAAAAAAEAIAAAAB4BAABkcnMvZTJvRG9j&#10;LnhtbFBLBQYAAAAABgAGAFkBAABZBQAAAAA=&#10;">
          <v:path/>
          <v:fill on="f" focussize="0,0"/>
          <v:stroke on="f" joinstyle="miter"/>
          <v:imagedata o:title=""/>
          <o:lock v:ext="edit"/>
          <v:textbox inset="0mm,0mm,0mm,0mm" style="mso-fit-shape-to-text:t;">
            <w:txbxContent>
              <w:p w14:paraId="0387406B">
                <w:pPr>
                  <w:pStyle w:val="18"/>
                </w:pPr>
                <w:r>
                  <w:t xml:space="preserve">第 </w:t>
                </w:r>
                <w:r>
                  <w:fldChar w:fldCharType="begin"/>
                </w:r>
                <w:r>
                  <w:instrText xml:space="preserve"> PAGE  \* MERGEFORMAT </w:instrText>
                </w:r>
                <w:r>
                  <w:fldChar w:fldCharType="separate"/>
                </w:r>
                <w:r>
                  <w:t>54</w:t>
                </w:r>
                <w:r>
                  <w:fldChar w:fldCharType="end"/>
                </w:r>
                <w:r>
                  <w:t xml:space="preserve"> 页</w:t>
                </w:r>
              </w:p>
            </w:txbxContent>
          </v:textbox>
        </v:shape>
      </w:pict>
    </w:r>
  </w:p>
  <w:sdt>
    <w:sdtPr>
      <w:id w:val="9852507"/>
    </w:sdtPr>
    <w:sdtContent>
      <w:p w14:paraId="6EBBF081">
        <w:pPr>
          <w:pStyle w:val="18"/>
          <w:jc w:val="center"/>
        </w:pPr>
      </w:p>
      <w:p w14:paraId="1EDA4C67">
        <w:pPr>
          <w:pStyle w:val="18"/>
        </w:pPr>
      </w:p>
    </w:sdtContent>
  </w:sdt>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2B9388">
    <w:pPr>
      <w:pStyle w:val="18"/>
      <w:jc w:val="center"/>
    </w:pPr>
    <w:r>
      <w:pict>
        <v:shape id="文本框 5"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DOqXm5zwAAAAUBAAAPAAAAAAAAAAEAIAAAACIAAABkcnMvZG93bnJldi54&#10;bWxQSwECFAAUAAAACACHTuJAx6sVlsoBAACaAwAADgAAAAAAAAABACAAAAAeAQAAZHJzL2Uyb0Rv&#10;Yy54bWxQSwUGAAAAAAYABgBZAQAAWgUAAAAA&#10;">
          <v:path/>
          <v:fill on="f" focussize="0,0"/>
          <v:stroke on="f" joinstyle="miter"/>
          <v:imagedata o:title=""/>
          <o:lock v:ext="edit"/>
          <v:textbox inset="0mm,0mm,0mm,0mm" style="mso-fit-shape-to-text:t;">
            <w:txbxContent>
              <w:p w14:paraId="1A6D840C">
                <w:pPr>
                  <w:pStyle w:val="18"/>
                </w:pPr>
                <w:r>
                  <w:t xml:space="preserve">第 </w:t>
                </w:r>
                <w:r>
                  <w:fldChar w:fldCharType="begin"/>
                </w:r>
                <w:r>
                  <w:instrText xml:space="preserve"> PAGE  \* MERGEFORMAT </w:instrText>
                </w:r>
                <w:r>
                  <w:fldChar w:fldCharType="separate"/>
                </w:r>
                <w:r>
                  <w:t>1</w:t>
                </w:r>
                <w:r>
                  <w:fldChar w:fldCharType="end"/>
                </w:r>
                <w:r>
                  <w:t xml:space="preserve"> 页</w:t>
                </w:r>
              </w:p>
            </w:txbxContent>
          </v:textbox>
        </v:shape>
      </w:pict>
    </w:r>
  </w:p>
  <w:sdt>
    <w:sdtPr>
      <w:id w:val="9852510"/>
    </w:sdtPr>
    <w:sdtContent>
      <w:p w14:paraId="4ED84993">
        <w:pPr>
          <w:pStyle w:val="18"/>
          <w:jc w:val="center"/>
        </w:pPr>
      </w:p>
      <w:p w14:paraId="31580121">
        <w:pPr>
          <w:pStyle w:val="18"/>
          <w:jc w:val="center"/>
        </w:pPr>
      </w:p>
    </w:sdtContent>
  </w:sdt>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654E3A">
    <w:pPr>
      <w:pStyle w:val="18"/>
    </w:pPr>
    <w:r>
      <w:pict>
        <v:shape id="文本框 6" o:spid="_x0000_s3073" o:spt="202" type="#_x0000_t202" style="position:absolute;left:0pt;margin-top:0pt;height:144pt;width:144pt;mso-position-horizontal:center;mso-position-horizontal-relative:margin;mso-wrap-style:none;z-index:25167052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DOqXm5zwAAAAUBAAAPAAAAAAAAAAEAIAAAACIAAABkcnMvZG93bnJldi54&#10;bWxQSwECFAAUAAAACACHTuJANUcEl8oBAACaAwAADgAAAAAAAAABACAAAAAeAQAAZHJzL2Uyb0Rv&#10;Yy54bWxQSwUGAAAAAAYABgBZAQAAWgUAAAAA&#10;">
          <v:path/>
          <v:fill on="f" focussize="0,0"/>
          <v:stroke on="f" joinstyle="miter"/>
          <v:imagedata o:title=""/>
          <o:lock v:ext="edit"/>
          <v:textbox inset="0mm,0mm,0mm,0mm" style="mso-fit-shape-to-text:t;">
            <w:txbxContent>
              <w:p w14:paraId="5955F49E">
                <w:pPr>
                  <w:pStyle w:val="18"/>
                </w:pPr>
                <w:r>
                  <w:t xml:space="preserve">第 </w:t>
                </w:r>
                <w:r>
                  <w:fldChar w:fldCharType="begin"/>
                </w:r>
                <w:r>
                  <w:instrText xml:space="preserve"> PAGE  \* MERGEFORMAT </w:instrText>
                </w:r>
                <w:r>
                  <w:fldChar w:fldCharType="separate"/>
                </w:r>
                <w:r>
                  <w:t>91</w:t>
                </w:r>
                <w:r>
                  <w:fldChar w:fldCharType="end"/>
                </w:r>
                <w:r>
                  <w:t xml:space="preserve"> 页</w:t>
                </w:r>
              </w:p>
            </w:txbxContent>
          </v:textbox>
        </v:shape>
      </w:pic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F51CD5">
    <w:pPr>
      <w:pStyle w:val="54"/>
      <w:pBdr>
        <w:bottom w:val="single" w:color="auto" w:sz="4" w:space="1"/>
      </w:pBdr>
    </w:pPr>
    <w:r>
      <w:rPr>
        <w:sz w:val="21"/>
        <w:szCs w:val="21"/>
      </w:rPr>
      <w:drawing>
        <wp:anchor distT="0" distB="0" distL="114300" distR="114300" simplePos="0" relativeHeight="251660288" behindDoc="1" locked="0" layoutInCell="1" allowOverlap="1">
          <wp:simplePos x="0" y="0"/>
          <wp:positionH relativeFrom="column">
            <wp:posOffset>-394335</wp:posOffset>
          </wp:positionH>
          <wp:positionV relativeFrom="paragraph">
            <wp:posOffset>-46990</wp:posOffset>
          </wp:positionV>
          <wp:extent cx="389890" cy="397510"/>
          <wp:effectExtent l="0" t="0" r="6350" b="13970"/>
          <wp:wrapNone/>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 r:link="rId2"/>
                  <a:stretch>
                    <a:fillRect/>
                  </a:stretch>
                </pic:blipFill>
                <pic:spPr>
                  <a:xfrm>
                    <a:off x="0" y="0"/>
                    <a:ext cx="389890" cy="397510"/>
                  </a:xfrm>
                  <a:prstGeom prst="rect">
                    <a:avLst/>
                  </a:prstGeom>
                  <a:noFill/>
                  <a:ln w="9525">
                    <a:noFill/>
                  </a:ln>
                </pic:spPr>
              </pic:pic>
            </a:graphicData>
          </a:graphic>
        </wp:anchor>
      </w:drawing>
    </w:r>
    <w:r>
      <w:rPr>
        <w:rFonts w:hint="eastAsia"/>
        <w:b/>
        <w:sz w:val="21"/>
        <w:szCs w:val="21"/>
      </w:rPr>
      <w:t>四川标源招标代理有限公司                                            用心扬帆，启航标源</w:t>
    </w:r>
    <w:r>
      <w:rPr>
        <w:sz w:val="21"/>
        <w:szCs w:val="21"/>
      </w:rPr>
      <w:drawing>
        <wp:anchor distT="0" distB="0" distL="114300" distR="114300" simplePos="0" relativeHeight="251659264" behindDoc="1" locked="0" layoutInCell="1" allowOverlap="1">
          <wp:simplePos x="0" y="0"/>
          <wp:positionH relativeFrom="column">
            <wp:posOffset>-394335</wp:posOffset>
          </wp:positionH>
          <wp:positionV relativeFrom="paragraph">
            <wp:posOffset>-46990</wp:posOffset>
          </wp:positionV>
          <wp:extent cx="389890" cy="397510"/>
          <wp:effectExtent l="0" t="0" r="6350" b="13970"/>
          <wp:wrapNone/>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1" r:link="rId2"/>
                  <a:stretch>
                    <a:fillRect/>
                  </a:stretch>
                </pic:blipFill>
                <pic:spPr>
                  <a:xfrm>
                    <a:off x="0" y="0"/>
                    <a:ext cx="389890" cy="397510"/>
                  </a:xfrm>
                  <a:prstGeom prst="rect">
                    <a:avLst/>
                  </a:prstGeom>
                  <a:noFill/>
                  <a:ln w="9525">
                    <a:noFill/>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72EEF0">
    <w:pPr>
      <w:pStyle w:val="19"/>
    </w:pPr>
    <w:r>
      <w:rPr>
        <w:rFonts w:hint="eastAsia"/>
      </w:rPr>
      <w:t>四川省工商行政管理局数据中心建设项目政府采购—招标文件</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741C68">
    <w:pPr>
      <w:pStyle w:val="19"/>
      <w:pBdr>
        <w:bottom w:val="none" w:color="auto" w:sz="0" w:space="1"/>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680523">
    <w:pPr>
      <w:pStyle w:val="54"/>
      <w:pBdr>
        <w:bottom w:val="single" w:color="auto" w:sz="4" w:space="1"/>
      </w:pBdr>
    </w:pPr>
    <w:r>
      <w:rPr>
        <w:sz w:val="21"/>
        <w:szCs w:val="21"/>
      </w:rPr>
      <w:drawing>
        <wp:anchor distT="0" distB="0" distL="114300" distR="114300" simplePos="0" relativeHeight="251664384" behindDoc="1" locked="0" layoutInCell="1" allowOverlap="1">
          <wp:simplePos x="0" y="0"/>
          <wp:positionH relativeFrom="column">
            <wp:posOffset>-394335</wp:posOffset>
          </wp:positionH>
          <wp:positionV relativeFrom="paragraph">
            <wp:posOffset>-46990</wp:posOffset>
          </wp:positionV>
          <wp:extent cx="389890" cy="397510"/>
          <wp:effectExtent l="0" t="0" r="10160" b="2540"/>
          <wp:wrapNone/>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1" r:link="rId2"/>
                  <a:stretch>
                    <a:fillRect/>
                  </a:stretch>
                </pic:blipFill>
                <pic:spPr>
                  <a:xfrm>
                    <a:off x="0" y="0"/>
                    <a:ext cx="389890" cy="397510"/>
                  </a:xfrm>
                  <a:prstGeom prst="rect">
                    <a:avLst/>
                  </a:prstGeom>
                  <a:noFill/>
                  <a:ln w="9525">
                    <a:noFill/>
                  </a:ln>
                </pic:spPr>
              </pic:pic>
            </a:graphicData>
          </a:graphic>
        </wp:anchor>
      </w:drawing>
    </w:r>
    <w:r>
      <w:rPr>
        <w:rFonts w:hint="eastAsia"/>
        <w:b/>
        <w:sz w:val="21"/>
        <w:szCs w:val="21"/>
      </w:rPr>
      <w:t>四川标源招标代理有限公司                                            用心扬帆，启航标源</w:t>
    </w:r>
    <w:r>
      <w:rPr>
        <w:sz w:val="21"/>
        <w:szCs w:val="21"/>
      </w:rPr>
      <w:drawing>
        <wp:anchor distT="0" distB="0" distL="114300" distR="114300" simplePos="0" relativeHeight="251662336" behindDoc="1" locked="0" layoutInCell="1" allowOverlap="1">
          <wp:simplePos x="0" y="0"/>
          <wp:positionH relativeFrom="column">
            <wp:posOffset>-394335</wp:posOffset>
          </wp:positionH>
          <wp:positionV relativeFrom="paragraph">
            <wp:posOffset>-46990</wp:posOffset>
          </wp:positionV>
          <wp:extent cx="389890" cy="397510"/>
          <wp:effectExtent l="0" t="0" r="10160" b="2540"/>
          <wp:wrapNone/>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1" r:link="rId2"/>
                  <a:stretch>
                    <a:fillRect/>
                  </a:stretch>
                </pic:blipFill>
                <pic:spPr>
                  <a:xfrm>
                    <a:off x="0" y="0"/>
                    <a:ext cx="389890" cy="397510"/>
                  </a:xfrm>
                  <a:prstGeom prst="rect">
                    <a:avLst/>
                  </a:prstGeom>
                  <a:noFill/>
                  <a:ln w="9525">
                    <a:noFill/>
                  </a:ln>
                </pic:spPr>
              </pic:pic>
            </a:graphicData>
          </a:graphic>
        </wp:anchor>
      </w:drawing>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2424F0">
    <w:pPr>
      <w:pStyle w:val="54"/>
      <w:pBdr>
        <w:bottom w:val="single" w:color="auto" w:sz="4" w:space="1"/>
      </w:pBdr>
    </w:pPr>
    <w:r>
      <w:rPr>
        <w:sz w:val="21"/>
        <w:szCs w:val="21"/>
      </w:rPr>
      <w:drawing>
        <wp:anchor distT="0" distB="0" distL="114300" distR="114300" simplePos="0" relativeHeight="251665408" behindDoc="1" locked="0" layoutInCell="1" allowOverlap="1">
          <wp:simplePos x="0" y="0"/>
          <wp:positionH relativeFrom="column">
            <wp:posOffset>-394335</wp:posOffset>
          </wp:positionH>
          <wp:positionV relativeFrom="paragraph">
            <wp:posOffset>-46990</wp:posOffset>
          </wp:positionV>
          <wp:extent cx="389890" cy="397510"/>
          <wp:effectExtent l="0" t="0" r="10160" b="2540"/>
          <wp:wrapNone/>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1" r:link="rId2"/>
                  <a:stretch>
                    <a:fillRect/>
                  </a:stretch>
                </pic:blipFill>
                <pic:spPr>
                  <a:xfrm>
                    <a:off x="0" y="0"/>
                    <a:ext cx="389890" cy="397510"/>
                  </a:xfrm>
                  <a:prstGeom prst="rect">
                    <a:avLst/>
                  </a:prstGeom>
                  <a:noFill/>
                  <a:ln w="9525">
                    <a:noFill/>
                  </a:ln>
                </pic:spPr>
              </pic:pic>
            </a:graphicData>
          </a:graphic>
        </wp:anchor>
      </w:drawing>
    </w:r>
    <w:r>
      <w:rPr>
        <w:rFonts w:hint="eastAsia"/>
        <w:b/>
        <w:sz w:val="21"/>
        <w:szCs w:val="21"/>
      </w:rPr>
      <w:t>四川标源招标代理有限公司                                            用心扬帆，启航标源</w:t>
    </w:r>
    <w:r>
      <w:rPr>
        <w:sz w:val="21"/>
        <w:szCs w:val="21"/>
      </w:rPr>
      <w:drawing>
        <wp:anchor distT="0" distB="0" distL="114300" distR="114300" simplePos="0" relativeHeight="251665408" behindDoc="1" locked="0" layoutInCell="1" allowOverlap="1">
          <wp:simplePos x="0" y="0"/>
          <wp:positionH relativeFrom="column">
            <wp:posOffset>-394335</wp:posOffset>
          </wp:positionH>
          <wp:positionV relativeFrom="paragraph">
            <wp:posOffset>-46990</wp:posOffset>
          </wp:positionV>
          <wp:extent cx="389890" cy="397510"/>
          <wp:effectExtent l="0" t="0" r="10160" b="2540"/>
          <wp:wrapNone/>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1" r:link="rId2"/>
                  <a:stretch>
                    <a:fillRect/>
                  </a:stretch>
                </pic:blipFill>
                <pic:spPr>
                  <a:xfrm>
                    <a:off x="0" y="0"/>
                    <a:ext cx="389890" cy="397510"/>
                  </a:xfrm>
                  <a:prstGeom prst="rect">
                    <a:avLst/>
                  </a:prstGeom>
                  <a:noFill/>
                  <a:ln w="9525">
                    <a:noFill/>
                  </a:ln>
                </pic:spPr>
              </pic:pic>
            </a:graphicData>
          </a:graphic>
        </wp:anchor>
      </w:drawing>
    </w:r>
  </w:p>
  <w:p w14:paraId="2FD3E74E">
    <w:pPr>
      <w:pStyle w:val="19"/>
      <w:pBdr>
        <w:bottom w:val="none" w:color="auto" w:sz="0" w:space="1"/>
      </w:pBd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0A3FA0">
    <w:pPr>
      <w:pStyle w:val="54"/>
      <w:pBdr>
        <w:bottom w:val="single" w:color="auto" w:sz="4" w:space="1"/>
      </w:pBdr>
    </w:pPr>
    <w:r>
      <w:rPr>
        <w:sz w:val="21"/>
        <w:szCs w:val="21"/>
      </w:rPr>
      <w:drawing>
        <wp:anchor distT="0" distB="0" distL="114300" distR="114300" simplePos="0" relativeHeight="251667456" behindDoc="1" locked="0" layoutInCell="1" allowOverlap="1">
          <wp:simplePos x="0" y="0"/>
          <wp:positionH relativeFrom="column">
            <wp:posOffset>-394335</wp:posOffset>
          </wp:positionH>
          <wp:positionV relativeFrom="paragraph">
            <wp:posOffset>-46990</wp:posOffset>
          </wp:positionV>
          <wp:extent cx="389890" cy="397510"/>
          <wp:effectExtent l="0" t="0" r="10160" b="2540"/>
          <wp:wrapNone/>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1" r:link="rId2"/>
                  <a:stretch>
                    <a:fillRect/>
                  </a:stretch>
                </pic:blipFill>
                <pic:spPr>
                  <a:xfrm>
                    <a:off x="0" y="0"/>
                    <a:ext cx="389890" cy="397510"/>
                  </a:xfrm>
                  <a:prstGeom prst="rect">
                    <a:avLst/>
                  </a:prstGeom>
                  <a:noFill/>
                  <a:ln w="9525">
                    <a:noFill/>
                  </a:ln>
                </pic:spPr>
              </pic:pic>
            </a:graphicData>
          </a:graphic>
        </wp:anchor>
      </w:drawing>
    </w:r>
    <w:r>
      <w:rPr>
        <w:rFonts w:hint="eastAsia"/>
        <w:b/>
        <w:sz w:val="21"/>
        <w:szCs w:val="21"/>
      </w:rPr>
      <w:t>四川标源招标代理有限公司                                            用心扬帆，启航标源</w:t>
    </w:r>
    <w:r>
      <w:rPr>
        <w:sz w:val="21"/>
        <w:szCs w:val="21"/>
      </w:rPr>
      <w:drawing>
        <wp:anchor distT="0" distB="0" distL="114300" distR="114300" simplePos="0" relativeHeight="251666432" behindDoc="1" locked="0" layoutInCell="1" allowOverlap="1">
          <wp:simplePos x="0" y="0"/>
          <wp:positionH relativeFrom="column">
            <wp:posOffset>-394335</wp:posOffset>
          </wp:positionH>
          <wp:positionV relativeFrom="paragraph">
            <wp:posOffset>-46990</wp:posOffset>
          </wp:positionV>
          <wp:extent cx="389890" cy="397510"/>
          <wp:effectExtent l="0" t="0" r="10160" b="2540"/>
          <wp:wrapNone/>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 r:link="rId2"/>
                  <a:stretch>
                    <a:fillRect/>
                  </a:stretch>
                </pic:blipFill>
                <pic:spPr>
                  <a:xfrm>
                    <a:off x="0" y="0"/>
                    <a:ext cx="389890" cy="397510"/>
                  </a:xfrm>
                  <a:prstGeom prst="rect">
                    <a:avLst/>
                  </a:prstGeom>
                  <a:noFill/>
                  <a:ln w="9525">
                    <a:noFill/>
                  </a:ln>
                </pic:spPr>
              </pic:pic>
            </a:graphicData>
          </a:graphic>
        </wp:anchor>
      </w:drawing>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6C0D5E">
    <w:pPr>
      <w:pStyle w:val="54"/>
      <w:pBdr>
        <w:bottom w:val="single" w:color="auto" w:sz="4" w:space="1"/>
      </w:pBdr>
    </w:pPr>
    <w:r>
      <w:rPr>
        <w:sz w:val="21"/>
        <w:szCs w:val="21"/>
      </w:rPr>
      <w:drawing>
        <wp:anchor distT="0" distB="0" distL="114300" distR="114300" simplePos="0" relativeHeight="251663360" behindDoc="1" locked="0" layoutInCell="1" allowOverlap="1">
          <wp:simplePos x="0" y="0"/>
          <wp:positionH relativeFrom="column">
            <wp:posOffset>-394335</wp:posOffset>
          </wp:positionH>
          <wp:positionV relativeFrom="paragraph">
            <wp:posOffset>-46990</wp:posOffset>
          </wp:positionV>
          <wp:extent cx="389890" cy="397510"/>
          <wp:effectExtent l="0" t="0" r="6350" b="13970"/>
          <wp:wrapNone/>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 r:link="rId2"/>
                  <a:stretch>
                    <a:fillRect/>
                  </a:stretch>
                </pic:blipFill>
                <pic:spPr>
                  <a:xfrm>
                    <a:off x="0" y="0"/>
                    <a:ext cx="389890" cy="397510"/>
                  </a:xfrm>
                  <a:prstGeom prst="rect">
                    <a:avLst/>
                  </a:prstGeom>
                  <a:noFill/>
                  <a:ln w="9525">
                    <a:noFill/>
                  </a:ln>
                </pic:spPr>
              </pic:pic>
            </a:graphicData>
          </a:graphic>
        </wp:anchor>
      </w:drawing>
    </w:r>
    <w:r>
      <w:rPr>
        <w:rFonts w:hint="eastAsia"/>
        <w:b/>
        <w:sz w:val="21"/>
        <w:szCs w:val="21"/>
      </w:rPr>
      <w:t>四川标源招标代理有限公司                                            用心扬帆，启航标源</w:t>
    </w:r>
    <w:r>
      <w:rPr>
        <w:sz w:val="21"/>
        <w:szCs w:val="21"/>
      </w:rPr>
      <w:drawing>
        <wp:anchor distT="0" distB="0" distL="114300" distR="114300" simplePos="0" relativeHeight="251661312" behindDoc="1" locked="0" layoutInCell="1" allowOverlap="1">
          <wp:simplePos x="0" y="0"/>
          <wp:positionH relativeFrom="column">
            <wp:posOffset>-394335</wp:posOffset>
          </wp:positionH>
          <wp:positionV relativeFrom="paragraph">
            <wp:posOffset>-46990</wp:posOffset>
          </wp:positionV>
          <wp:extent cx="389890" cy="397510"/>
          <wp:effectExtent l="0" t="0" r="6350" b="13970"/>
          <wp:wrapNone/>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1" r:link="rId2"/>
                  <a:stretch>
                    <a:fillRect/>
                  </a:stretch>
                </pic:blipFill>
                <pic:spPr>
                  <a:xfrm>
                    <a:off x="0" y="0"/>
                    <a:ext cx="389890" cy="397510"/>
                  </a:xfrm>
                  <a:prstGeom prst="rect">
                    <a:avLst/>
                  </a:prstGeom>
                  <a:noFill/>
                  <a:ln w="9525">
                    <a:noFill/>
                  </a:ln>
                </pic:spPr>
              </pic:pic>
            </a:graphicData>
          </a:graphic>
        </wp:anchor>
      </w:drawing>
    </w:r>
  </w:p>
  <w:p w14:paraId="1A84AD0B">
    <w:pPr>
      <w:pStyle w:val="19"/>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17F188E"/>
    <w:multiLevelType w:val="singleLevel"/>
    <w:tmpl w:val="E17F188E"/>
    <w:lvl w:ilvl="0" w:tentative="0">
      <w:start w:val="2"/>
      <w:numFmt w:val="chineseCounting"/>
      <w:suff w:val="nothing"/>
      <w:lvlText w:val="（%1）"/>
      <w:lvlJc w:val="left"/>
      <w:rPr>
        <w:rFonts w:hint="eastAsia"/>
      </w:rPr>
    </w:lvl>
  </w:abstractNum>
  <w:abstractNum w:abstractNumId="1">
    <w:nsid w:val="3EBB3C91"/>
    <w:multiLevelType w:val="multilevel"/>
    <w:tmpl w:val="3EBB3C91"/>
    <w:lvl w:ilvl="0" w:tentative="0">
      <w:start w:val="1"/>
      <w:numFmt w:val="chineseCountingThousand"/>
      <w:suff w:val="space"/>
      <w:lvlText w:val="%1. "/>
      <w:lvlJc w:val="left"/>
      <w:pPr>
        <w:ind w:left="907" w:hanging="907"/>
      </w:pPr>
      <w:rPr>
        <w:rFonts w:hint="eastAsia"/>
      </w:rPr>
    </w:lvl>
    <w:lvl w:ilvl="1" w:tentative="0">
      <w:start w:val="1"/>
      <w:numFmt w:val="decimal"/>
      <w:isLgl/>
      <w:suff w:val="space"/>
      <w:lvlText w:val="%1.%2 "/>
      <w:lvlJc w:val="left"/>
      <w:pPr>
        <w:ind w:left="794" w:hanging="794"/>
      </w:pPr>
    </w:lvl>
    <w:lvl w:ilvl="2" w:tentative="0">
      <w:start w:val="0"/>
      <w:numFmt w:val="none"/>
      <w:lvlText w:val=""/>
      <w:lvlJc w:val="left"/>
      <w:pPr>
        <w:tabs>
          <w:tab w:val="left" w:pos="360"/>
        </w:tabs>
      </w:pPr>
      <w:rPr>
        <w:rFonts w:cs="Times New Roman"/>
      </w:rPr>
    </w:lvl>
    <w:lvl w:ilvl="3" w:tentative="0">
      <w:start w:val="0"/>
      <w:numFmt w:val="none"/>
      <w:lvlText w:val=""/>
      <w:lvlJc w:val="left"/>
      <w:pPr>
        <w:tabs>
          <w:tab w:val="left" w:pos="360"/>
        </w:tabs>
      </w:pPr>
      <w:rPr>
        <w:rFonts w:cs="Times New Roman"/>
      </w:rPr>
    </w:lvl>
    <w:lvl w:ilvl="4" w:tentative="0">
      <w:start w:val="0"/>
      <w:numFmt w:val="decimal"/>
      <w:pStyle w:val="49"/>
      <w:lvlText w:val=""/>
      <w:lvlJc w:val="left"/>
      <w:rPr>
        <w:rFonts w:cs="Times New Roman"/>
      </w:rPr>
    </w:lvl>
    <w:lvl w:ilvl="5" w:tentative="0">
      <w:start w:val="0"/>
      <w:numFmt w:val="decimal"/>
      <w:lvlText w:val=""/>
      <w:lvlJc w:val="left"/>
      <w:rPr>
        <w:rFonts w:cs="Times New Roman"/>
      </w:rPr>
    </w:lvl>
    <w:lvl w:ilvl="6" w:tentative="0">
      <w:start w:val="0"/>
      <w:numFmt w:val="decimal"/>
      <w:lvlText w:val=""/>
      <w:lvlJc w:val="left"/>
      <w:rPr>
        <w:rFonts w:cs="Times New Roman"/>
      </w:rPr>
    </w:lvl>
    <w:lvl w:ilvl="7" w:tentative="0">
      <w:start w:val="0"/>
      <w:numFmt w:val="decimal"/>
      <w:lvlText w:val=""/>
      <w:lvlJc w:val="left"/>
      <w:rPr>
        <w:rFonts w:cs="Times New Roman"/>
      </w:rPr>
    </w:lvl>
    <w:lvl w:ilvl="8" w:tentative="0">
      <w:start w:val="0"/>
      <w:numFmt w:val="decimal"/>
      <w:lvlText w:val=""/>
      <w:lvlJc w:val="left"/>
      <w:rPr>
        <w:rFonts w:cs="Times New Roman"/>
      </w:rPr>
    </w:lvl>
  </w:abstractNum>
  <w:abstractNum w:abstractNumId="2">
    <w:nsid w:val="58521FCF"/>
    <w:multiLevelType w:val="singleLevel"/>
    <w:tmpl w:val="58521FCF"/>
    <w:lvl w:ilvl="0" w:tentative="0">
      <w:start w:val="4"/>
      <w:numFmt w:val="chineseCounting"/>
      <w:suff w:val="space"/>
      <w:lvlText w:val="第%1章"/>
      <w:lvlJc w:val="left"/>
    </w:lvl>
  </w:abstractNum>
  <w:abstractNum w:abstractNumId="3">
    <w:nsid w:val="58AE4161"/>
    <w:multiLevelType w:val="singleLevel"/>
    <w:tmpl w:val="58AE4161"/>
    <w:lvl w:ilvl="0" w:tentative="0">
      <w:start w:val="12"/>
      <w:numFmt w:val="decimal"/>
      <w:suff w:val="space"/>
      <w:lvlText w:val="%1."/>
      <w:lvlJc w:val="left"/>
    </w:lvl>
  </w:abstractNum>
  <w:abstractNum w:abstractNumId="4">
    <w:nsid w:val="58AE7812"/>
    <w:multiLevelType w:val="singleLevel"/>
    <w:tmpl w:val="58AE7812"/>
    <w:lvl w:ilvl="0" w:tentative="0">
      <w:start w:val="2"/>
      <w:numFmt w:val="chineseCounting"/>
      <w:suff w:val="nothing"/>
      <w:lvlText w:val="（%1）"/>
      <w:lvlJc w:val="left"/>
    </w:lvl>
  </w:abstractNum>
  <w:num w:numId="1">
    <w:abstractNumId w:val="1"/>
  </w:num>
  <w:num w:numId="2">
    <w:abstractNumId w:val="3"/>
  </w:num>
  <w:num w:numId="3">
    <w:abstractNumId w:val="2"/>
  </w:num>
  <w:num w:numId="4">
    <w:abstractNumId w:val="4"/>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hideSpellingErrors/>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1,3"/>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2"/>
  </w:compat>
  <w:docVars>
    <w:docVar w:name="commondata" w:val="eyJoZGlkIjoiMjE4MjcxNjg5OWJiNTljYWZjOTNkYjc3ZDFlMDBkNzYifQ=="/>
  </w:docVars>
  <w:rsids>
    <w:rsidRoot w:val="678C60C5"/>
    <w:rsid w:val="00006017"/>
    <w:rsid w:val="00014652"/>
    <w:rsid w:val="000155B4"/>
    <w:rsid w:val="0001582A"/>
    <w:rsid w:val="0001623E"/>
    <w:rsid w:val="00020FBB"/>
    <w:rsid w:val="000230A6"/>
    <w:rsid w:val="000320F8"/>
    <w:rsid w:val="00043CB4"/>
    <w:rsid w:val="00045259"/>
    <w:rsid w:val="0005042C"/>
    <w:rsid w:val="0007037A"/>
    <w:rsid w:val="00074A21"/>
    <w:rsid w:val="000905EA"/>
    <w:rsid w:val="0009557A"/>
    <w:rsid w:val="000957F7"/>
    <w:rsid w:val="00095F01"/>
    <w:rsid w:val="000A2CAD"/>
    <w:rsid w:val="000A33D0"/>
    <w:rsid w:val="000A5F19"/>
    <w:rsid w:val="000A67BC"/>
    <w:rsid w:val="000B64A7"/>
    <w:rsid w:val="000C4FA0"/>
    <w:rsid w:val="000E1A2F"/>
    <w:rsid w:val="000E7620"/>
    <w:rsid w:val="000F238B"/>
    <w:rsid w:val="000F6E81"/>
    <w:rsid w:val="000F75C9"/>
    <w:rsid w:val="0010084A"/>
    <w:rsid w:val="0010199D"/>
    <w:rsid w:val="00103B72"/>
    <w:rsid w:val="00107DE4"/>
    <w:rsid w:val="0011324C"/>
    <w:rsid w:val="0012031F"/>
    <w:rsid w:val="001218D6"/>
    <w:rsid w:val="00123583"/>
    <w:rsid w:val="00126566"/>
    <w:rsid w:val="00126610"/>
    <w:rsid w:val="00136DC6"/>
    <w:rsid w:val="00137708"/>
    <w:rsid w:val="00141B6C"/>
    <w:rsid w:val="001509F7"/>
    <w:rsid w:val="001573D3"/>
    <w:rsid w:val="00176841"/>
    <w:rsid w:val="00181BBC"/>
    <w:rsid w:val="00185658"/>
    <w:rsid w:val="001A07CC"/>
    <w:rsid w:val="001B0F08"/>
    <w:rsid w:val="001B4580"/>
    <w:rsid w:val="001B7E7B"/>
    <w:rsid w:val="001C0CC9"/>
    <w:rsid w:val="001D3970"/>
    <w:rsid w:val="001D409E"/>
    <w:rsid w:val="001D5A3A"/>
    <w:rsid w:val="001D6035"/>
    <w:rsid w:val="001E22B3"/>
    <w:rsid w:val="001E23E7"/>
    <w:rsid w:val="001E4359"/>
    <w:rsid w:val="001E566C"/>
    <w:rsid w:val="001E63A9"/>
    <w:rsid w:val="001F45BA"/>
    <w:rsid w:val="001F5BE4"/>
    <w:rsid w:val="00204316"/>
    <w:rsid w:val="0020436D"/>
    <w:rsid w:val="00204EEC"/>
    <w:rsid w:val="0021456D"/>
    <w:rsid w:val="00214CD0"/>
    <w:rsid w:val="00216591"/>
    <w:rsid w:val="00221C37"/>
    <w:rsid w:val="00224527"/>
    <w:rsid w:val="0023116E"/>
    <w:rsid w:val="00231458"/>
    <w:rsid w:val="00231FE7"/>
    <w:rsid w:val="00232068"/>
    <w:rsid w:val="0024011F"/>
    <w:rsid w:val="00241E58"/>
    <w:rsid w:val="00243482"/>
    <w:rsid w:val="00243A6D"/>
    <w:rsid w:val="002455C3"/>
    <w:rsid w:val="002501B8"/>
    <w:rsid w:val="0025665B"/>
    <w:rsid w:val="002607AE"/>
    <w:rsid w:val="00273E20"/>
    <w:rsid w:val="00274113"/>
    <w:rsid w:val="00277318"/>
    <w:rsid w:val="00282F09"/>
    <w:rsid w:val="002A0C8B"/>
    <w:rsid w:val="002A3DF9"/>
    <w:rsid w:val="002A478E"/>
    <w:rsid w:val="002A6955"/>
    <w:rsid w:val="002A7C13"/>
    <w:rsid w:val="002B53E9"/>
    <w:rsid w:val="002C4BC2"/>
    <w:rsid w:val="002D0CA7"/>
    <w:rsid w:val="002D0E5B"/>
    <w:rsid w:val="002D26F9"/>
    <w:rsid w:val="002D4B21"/>
    <w:rsid w:val="002D6149"/>
    <w:rsid w:val="002E0342"/>
    <w:rsid w:val="002E16B9"/>
    <w:rsid w:val="002E1A59"/>
    <w:rsid w:val="002F20AB"/>
    <w:rsid w:val="002F54EB"/>
    <w:rsid w:val="00301F59"/>
    <w:rsid w:val="0030300C"/>
    <w:rsid w:val="00306E0B"/>
    <w:rsid w:val="00315782"/>
    <w:rsid w:val="00331963"/>
    <w:rsid w:val="00340D8C"/>
    <w:rsid w:val="0035152E"/>
    <w:rsid w:val="003539B3"/>
    <w:rsid w:val="00354312"/>
    <w:rsid w:val="00367AED"/>
    <w:rsid w:val="00370B90"/>
    <w:rsid w:val="00373F9B"/>
    <w:rsid w:val="00375E99"/>
    <w:rsid w:val="0037781D"/>
    <w:rsid w:val="003802F0"/>
    <w:rsid w:val="00380353"/>
    <w:rsid w:val="003813C4"/>
    <w:rsid w:val="0038272A"/>
    <w:rsid w:val="0038378A"/>
    <w:rsid w:val="00384147"/>
    <w:rsid w:val="00390525"/>
    <w:rsid w:val="003907F3"/>
    <w:rsid w:val="0039234B"/>
    <w:rsid w:val="00393C98"/>
    <w:rsid w:val="003A0810"/>
    <w:rsid w:val="003A41B2"/>
    <w:rsid w:val="003A6CA9"/>
    <w:rsid w:val="003B37CC"/>
    <w:rsid w:val="003B4DED"/>
    <w:rsid w:val="003C080A"/>
    <w:rsid w:val="003C0D74"/>
    <w:rsid w:val="003D6896"/>
    <w:rsid w:val="003E18B5"/>
    <w:rsid w:val="003F2CF0"/>
    <w:rsid w:val="004022F4"/>
    <w:rsid w:val="004026E6"/>
    <w:rsid w:val="00402B83"/>
    <w:rsid w:val="00402DA1"/>
    <w:rsid w:val="00410F04"/>
    <w:rsid w:val="004273E9"/>
    <w:rsid w:val="004333DF"/>
    <w:rsid w:val="00436A02"/>
    <w:rsid w:val="00440362"/>
    <w:rsid w:val="00440EAA"/>
    <w:rsid w:val="004433F4"/>
    <w:rsid w:val="0044434C"/>
    <w:rsid w:val="0045510A"/>
    <w:rsid w:val="00462FB0"/>
    <w:rsid w:val="00470D9E"/>
    <w:rsid w:val="004756E7"/>
    <w:rsid w:val="00483AC8"/>
    <w:rsid w:val="004934CA"/>
    <w:rsid w:val="00493E92"/>
    <w:rsid w:val="00496591"/>
    <w:rsid w:val="004A364C"/>
    <w:rsid w:val="004A3757"/>
    <w:rsid w:val="004A52C0"/>
    <w:rsid w:val="004B0D9E"/>
    <w:rsid w:val="004B1F89"/>
    <w:rsid w:val="004D0C75"/>
    <w:rsid w:val="004D286A"/>
    <w:rsid w:val="004E4F56"/>
    <w:rsid w:val="004E506D"/>
    <w:rsid w:val="004E57C0"/>
    <w:rsid w:val="004E5A6B"/>
    <w:rsid w:val="004E6117"/>
    <w:rsid w:val="004F12C0"/>
    <w:rsid w:val="00500F1D"/>
    <w:rsid w:val="0050175A"/>
    <w:rsid w:val="005033A2"/>
    <w:rsid w:val="00507F4C"/>
    <w:rsid w:val="00510298"/>
    <w:rsid w:val="0051660F"/>
    <w:rsid w:val="00523FBB"/>
    <w:rsid w:val="005241B7"/>
    <w:rsid w:val="00525AF9"/>
    <w:rsid w:val="00527221"/>
    <w:rsid w:val="00530456"/>
    <w:rsid w:val="005326B7"/>
    <w:rsid w:val="005406DB"/>
    <w:rsid w:val="005570AF"/>
    <w:rsid w:val="00572CF3"/>
    <w:rsid w:val="005746F6"/>
    <w:rsid w:val="0057484C"/>
    <w:rsid w:val="0058058B"/>
    <w:rsid w:val="00585CA3"/>
    <w:rsid w:val="0059181D"/>
    <w:rsid w:val="005A2A90"/>
    <w:rsid w:val="005A613C"/>
    <w:rsid w:val="005B0CE0"/>
    <w:rsid w:val="005B3974"/>
    <w:rsid w:val="005B6392"/>
    <w:rsid w:val="005C2AE6"/>
    <w:rsid w:val="005C7415"/>
    <w:rsid w:val="005D0234"/>
    <w:rsid w:val="005D2D15"/>
    <w:rsid w:val="005D627E"/>
    <w:rsid w:val="005E5AB4"/>
    <w:rsid w:val="005E7457"/>
    <w:rsid w:val="00602292"/>
    <w:rsid w:val="0060256A"/>
    <w:rsid w:val="00603F9D"/>
    <w:rsid w:val="006074D4"/>
    <w:rsid w:val="00611BD0"/>
    <w:rsid w:val="00612DE0"/>
    <w:rsid w:val="006155E7"/>
    <w:rsid w:val="0062071B"/>
    <w:rsid w:val="006336CB"/>
    <w:rsid w:val="00633F07"/>
    <w:rsid w:val="0063417F"/>
    <w:rsid w:val="00634821"/>
    <w:rsid w:val="00642B62"/>
    <w:rsid w:val="0065314C"/>
    <w:rsid w:val="006562DE"/>
    <w:rsid w:val="006622E0"/>
    <w:rsid w:val="00665F24"/>
    <w:rsid w:val="00667BE9"/>
    <w:rsid w:val="00671681"/>
    <w:rsid w:val="00674A56"/>
    <w:rsid w:val="00675690"/>
    <w:rsid w:val="00676E50"/>
    <w:rsid w:val="00685EA8"/>
    <w:rsid w:val="00691366"/>
    <w:rsid w:val="006965A2"/>
    <w:rsid w:val="006A702E"/>
    <w:rsid w:val="006B4CB9"/>
    <w:rsid w:val="006B7888"/>
    <w:rsid w:val="006B7AC5"/>
    <w:rsid w:val="006C2206"/>
    <w:rsid w:val="006C45D0"/>
    <w:rsid w:val="006D6CE6"/>
    <w:rsid w:val="006E7ED6"/>
    <w:rsid w:val="0070050E"/>
    <w:rsid w:val="00703C5B"/>
    <w:rsid w:val="007078FF"/>
    <w:rsid w:val="00715446"/>
    <w:rsid w:val="00717CA6"/>
    <w:rsid w:val="0072029B"/>
    <w:rsid w:val="00722320"/>
    <w:rsid w:val="007272AF"/>
    <w:rsid w:val="00730935"/>
    <w:rsid w:val="0073122A"/>
    <w:rsid w:val="007348BE"/>
    <w:rsid w:val="0074654B"/>
    <w:rsid w:val="00750855"/>
    <w:rsid w:val="007568E3"/>
    <w:rsid w:val="00760D0B"/>
    <w:rsid w:val="0077364E"/>
    <w:rsid w:val="00780C9E"/>
    <w:rsid w:val="0078427E"/>
    <w:rsid w:val="00795DE4"/>
    <w:rsid w:val="0079709B"/>
    <w:rsid w:val="007A11D5"/>
    <w:rsid w:val="007A5B65"/>
    <w:rsid w:val="007A67B6"/>
    <w:rsid w:val="007A74F4"/>
    <w:rsid w:val="007B14E5"/>
    <w:rsid w:val="007B25F4"/>
    <w:rsid w:val="007C53DF"/>
    <w:rsid w:val="007D50F7"/>
    <w:rsid w:val="007D5335"/>
    <w:rsid w:val="007D6007"/>
    <w:rsid w:val="007D7827"/>
    <w:rsid w:val="007E2230"/>
    <w:rsid w:val="007E2975"/>
    <w:rsid w:val="007E745C"/>
    <w:rsid w:val="007F3667"/>
    <w:rsid w:val="00805476"/>
    <w:rsid w:val="0081256B"/>
    <w:rsid w:val="00813DD5"/>
    <w:rsid w:val="00826F47"/>
    <w:rsid w:val="00832031"/>
    <w:rsid w:val="008337CF"/>
    <w:rsid w:val="00837FF9"/>
    <w:rsid w:val="00850921"/>
    <w:rsid w:val="00856F79"/>
    <w:rsid w:val="00862CA6"/>
    <w:rsid w:val="00865F94"/>
    <w:rsid w:val="00874405"/>
    <w:rsid w:val="00876CCF"/>
    <w:rsid w:val="0088319E"/>
    <w:rsid w:val="00892305"/>
    <w:rsid w:val="00892B99"/>
    <w:rsid w:val="0089766D"/>
    <w:rsid w:val="008A3066"/>
    <w:rsid w:val="008A4B5F"/>
    <w:rsid w:val="008A6567"/>
    <w:rsid w:val="008A6EEC"/>
    <w:rsid w:val="008A7B06"/>
    <w:rsid w:val="008B2ECC"/>
    <w:rsid w:val="008B5916"/>
    <w:rsid w:val="008C1A4C"/>
    <w:rsid w:val="008C5103"/>
    <w:rsid w:val="008C7793"/>
    <w:rsid w:val="008E0842"/>
    <w:rsid w:val="008E0DC4"/>
    <w:rsid w:val="008E58C2"/>
    <w:rsid w:val="008F177B"/>
    <w:rsid w:val="008F1E33"/>
    <w:rsid w:val="008F33C0"/>
    <w:rsid w:val="008F3D3E"/>
    <w:rsid w:val="009106EE"/>
    <w:rsid w:val="00911E46"/>
    <w:rsid w:val="00912787"/>
    <w:rsid w:val="009148C6"/>
    <w:rsid w:val="00916179"/>
    <w:rsid w:val="00920F25"/>
    <w:rsid w:val="0092635B"/>
    <w:rsid w:val="00931726"/>
    <w:rsid w:val="00934A5E"/>
    <w:rsid w:val="00934B5D"/>
    <w:rsid w:val="0093599E"/>
    <w:rsid w:val="00937029"/>
    <w:rsid w:val="00943160"/>
    <w:rsid w:val="009452DC"/>
    <w:rsid w:val="00945777"/>
    <w:rsid w:val="009545B2"/>
    <w:rsid w:val="00964179"/>
    <w:rsid w:val="009668A0"/>
    <w:rsid w:val="00967DE0"/>
    <w:rsid w:val="009755FD"/>
    <w:rsid w:val="00976878"/>
    <w:rsid w:val="009825D1"/>
    <w:rsid w:val="00983489"/>
    <w:rsid w:val="00983893"/>
    <w:rsid w:val="009847FE"/>
    <w:rsid w:val="009862A2"/>
    <w:rsid w:val="009C6889"/>
    <w:rsid w:val="009C7948"/>
    <w:rsid w:val="009F16BE"/>
    <w:rsid w:val="00A02CC7"/>
    <w:rsid w:val="00A05FD6"/>
    <w:rsid w:val="00A14A2C"/>
    <w:rsid w:val="00A15DFF"/>
    <w:rsid w:val="00A168D7"/>
    <w:rsid w:val="00A16AF7"/>
    <w:rsid w:val="00A21E23"/>
    <w:rsid w:val="00A271AC"/>
    <w:rsid w:val="00A47B79"/>
    <w:rsid w:val="00A47FE8"/>
    <w:rsid w:val="00A50AE0"/>
    <w:rsid w:val="00A52C23"/>
    <w:rsid w:val="00A53DC2"/>
    <w:rsid w:val="00A70360"/>
    <w:rsid w:val="00A70425"/>
    <w:rsid w:val="00A731E0"/>
    <w:rsid w:val="00A73E5D"/>
    <w:rsid w:val="00A74E58"/>
    <w:rsid w:val="00A75FC3"/>
    <w:rsid w:val="00A80ADF"/>
    <w:rsid w:val="00A80EA8"/>
    <w:rsid w:val="00A84021"/>
    <w:rsid w:val="00A87A5F"/>
    <w:rsid w:val="00A92F6A"/>
    <w:rsid w:val="00A93595"/>
    <w:rsid w:val="00AA00E3"/>
    <w:rsid w:val="00AA166F"/>
    <w:rsid w:val="00AA2D26"/>
    <w:rsid w:val="00AA6D8F"/>
    <w:rsid w:val="00AB6CAB"/>
    <w:rsid w:val="00AD570D"/>
    <w:rsid w:val="00AE029F"/>
    <w:rsid w:val="00AE1EFB"/>
    <w:rsid w:val="00AE2E26"/>
    <w:rsid w:val="00AF08B9"/>
    <w:rsid w:val="00B006AD"/>
    <w:rsid w:val="00B0738A"/>
    <w:rsid w:val="00B11A90"/>
    <w:rsid w:val="00B12E4D"/>
    <w:rsid w:val="00B24464"/>
    <w:rsid w:val="00B2749D"/>
    <w:rsid w:val="00B37A71"/>
    <w:rsid w:val="00B40666"/>
    <w:rsid w:val="00B40F00"/>
    <w:rsid w:val="00B450B4"/>
    <w:rsid w:val="00B5349F"/>
    <w:rsid w:val="00B65042"/>
    <w:rsid w:val="00B72FC0"/>
    <w:rsid w:val="00B752DA"/>
    <w:rsid w:val="00B7618C"/>
    <w:rsid w:val="00B80CA4"/>
    <w:rsid w:val="00B85FEF"/>
    <w:rsid w:val="00B90A20"/>
    <w:rsid w:val="00B91AEB"/>
    <w:rsid w:val="00B9776D"/>
    <w:rsid w:val="00BA4C22"/>
    <w:rsid w:val="00BA52D4"/>
    <w:rsid w:val="00BA7CA7"/>
    <w:rsid w:val="00BB7519"/>
    <w:rsid w:val="00BC48D9"/>
    <w:rsid w:val="00BC54F0"/>
    <w:rsid w:val="00BD4075"/>
    <w:rsid w:val="00BE1D56"/>
    <w:rsid w:val="00BE4DA6"/>
    <w:rsid w:val="00BE6C71"/>
    <w:rsid w:val="00BE7CAF"/>
    <w:rsid w:val="00BE7F46"/>
    <w:rsid w:val="00BF4616"/>
    <w:rsid w:val="00BF4B79"/>
    <w:rsid w:val="00BF53CD"/>
    <w:rsid w:val="00BF55C1"/>
    <w:rsid w:val="00C00578"/>
    <w:rsid w:val="00C01247"/>
    <w:rsid w:val="00C0290B"/>
    <w:rsid w:val="00C038B2"/>
    <w:rsid w:val="00C12453"/>
    <w:rsid w:val="00C12FE9"/>
    <w:rsid w:val="00C16811"/>
    <w:rsid w:val="00C2112E"/>
    <w:rsid w:val="00C24829"/>
    <w:rsid w:val="00C30909"/>
    <w:rsid w:val="00C35D25"/>
    <w:rsid w:val="00C40A5F"/>
    <w:rsid w:val="00C56022"/>
    <w:rsid w:val="00C618F5"/>
    <w:rsid w:val="00C62E37"/>
    <w:rsid w:val="00C63535"/>
    <w:rsid w:val="00C63563"/>
    <w:rsid w:val="00C66937"/>
    <w:rsid w:val="00C715EC"/>
    <w:rsid w:val="00C72F41"/>
    <w:rsid w:val="00C81649"/>
    <w:rsid w:val="00C84773"/>
    <w:rsid w:val="00C92017"/>
    <w:rsid w:val="00C926F3"/>
    <w:rsid w:val="00C948FE"/>
    <w:rsid w:val="00CA4AD8"/>
    <w:rsid w:val="00CB129B"/>
    <w:rsid w:val="00CB2357"/>
    <w:rsid w:val="00CB50D4"/>
    <w:rsid w:val="00CB59CA"/>
    <w:rsid w:val="00CB7095"/>
    <w:rsid w:val="00CC2CF1"/>
    <w:rsid w:val="00CC3E88"/>
    <w:rsid w:val="00CD0766"/>
    <w:rsid w:val="00CE0685"/>
    <w:rsid w:val="00CE150D"/>
    <w:rsid w:val="00CE6CB4"/>
    <w:rsid w:val="00CE7C12"/>
    <w:rsid w:val="00CF6F42"/>
    <w:rsid w:val="00D00507"/>
    <w:rsid w:val="00D14C08"/>
    <w:rsid w:val="00D23955"/>
    <w:rsid w:val="00D277A2"/>
    <w:rsid w:val="00D324FF"/>
    <w:rsid w:val="00D34073"/>
    <w:rsid w:val="00D35414"/>
    <w:rsid w:val="00D3571A"/>
    <w:rsid w:val="00D37544"/>
    <w:rsid w:val="00D5048B"/>
    <w:rsid w:val="00D53DA4"/>
    <w:rsid w:val="00D5430E"/>
    <w:rsid w:val="00D5454F"/>
    <w:rsid w:val="00D634C4"/>
    <w:rsid w:val="00D743F6"/>
    <w:rsid w:val="00D75926"/>
    <w:rsid w:val="00D87E78"/>
    <w:rsid w:val="00DA2C46"/>
    <w:rsid w:val="00DA3CAD"/>
    <w:rsid w:val="00DA520F"/>
    <w:rsid w:val="00DA5308"/>
    <w:rsid w:val="00DA5A15"/>
    <w:rsid w:val="00DA6592"/>
    <w:rsid w:val="00DA7B00"/>
    <w:rsid w:val="00DB6758"/>
    <w:rsid w:val="00DB7793"/>
    <w:rsid w:val="00DD0FFC"/>
    <w:rsid w:val="00DD3056"/>
    <w:rsid w:val="00DD4319"/>
    <w:rsid w:val="00DD4D3A"/>
    <w:rsid w:val="00DD7B2C"/>
    <w:rsid w:val="00DE051C"/>
    <w:rsid w:val="00DE113D"/>
    <w:rsid w:val="00DE2D50"/>
    <w:rsid w:val="00DF1E3F"/>
    <w:rsid w:val="00DF413A"/>
    <w:rsid w:val="00E029C7"/>
    <w:rsid w:val="00E0346E"/>
    <w:rsid w:val="00E05EF6"/>
    <w:rsid w:val="00E06786"/>
    <w:rsid w:val="00E1510D"/>
    <w:rsid w:val="00E169B8"/>
    <w:rsid w:val="00E24737"/>
    <w:rsid w:val="00E25122"/>
    <w:rsid w:val="00E26016"/>
    <w:rsid w:val="00E318F4"/>
    <w:rsid w:val="00E36A40"/>
    <w:rsid w:val="00E36D2D"/>
    <w:rsid w:val="00E4372F"/>
    <w:rsid w:val="00E455E5"/>
    <w:rsid w:val="00E466E0"/>
    <w:rsid w:val="00E54012"/>
    <w:rsid w:val="00E5489A"/>
    <w:rsid w:val="00E62E1D"/>
    <w:rsid w:val="00E657DC"/>
    <w:rsid w:val="00E67DC9"/>
    <w:rsid w:val="00E8463F"/>
    <w:rsid w:val="00E8553E"/>
    <w:rsid w:val="00E9018E"/>
    <w:rsid w:val="00EA2423"/>
    <w:rsid w:val="00EA2D03"/>
    <w:rsid w:val="00EA5C99"/>
    <w:rsid w:val="00EA62FC"/>
    <w:rsid w:val="00EB114D"/>
    <w:rsid w:val="00EB3A03"/>
    <w:rsid w:val="00EB755A"/>
    <w:rsid w:val="00EC0B4A"/>
    <w:rsid w:val="00EC1546"/>
    <w:rsid w:val="00EC37C2"/>
    <w:rsid w:val="00EC39DD"/>
    <w:rsid w:val="00ED1BE6"/>
    <w:rsid w:val="00ED3908"/>
    <w:rsid w:val="00ED3C5A"/>
    <w:rsid w:val="00ED4F03"/>
    <w:rsid w:val="00ED4F83"/>
    <w:rsid w:val="00EE1614"/>
    <w:rsid w:val="00EF0C5E"/>
    <w:rsid w:val="00EF1774"/>
    <w:rsid w:val="00EF6B86"/>
    <w:rsid w:val="00EF6D15"/>
    <w:rsid w:val="00F00E52"/>
    <w:rsid w:val="00F05406"/>
    <w:rsid w:val="00F31199"/>
    <w:rsid w:val="00F33937"/>
    <w:rsid w:val="00F577F2"/>
    <w:rsid w:val="00F614E4"/>
    <w:rsid w:val="00F63154"/>
    <w:rsid w:val="00F66342"/>
    <w:rsid w:val="00F66A6F"/>
    <w:rsid w:val="00F76F7C"/>
    <w:rsid w:val="00F95528"/>
    <w:rsid w:val="00F97836"/>
    <w:rsid w:val="00FB1C2B"/>
    <w:rsid w:val="00FB3E18"/>
    <w:rsid w:val="00FC0CF2"/>
    <w:rsid w:val="00FC3B64"/>
    <w:rsid w:val="00FC3FD9"/>
    <w:rsid w:val="00FC5D78"/>
    <w:rsid w:val="00FD0F8F"/>
    <w:rsid w:val="00FD3432"/>
    <w:rsid w:val="00FD5AEC"/>
    <w:rsid w:val="00FE0D40"/>
    <w:rsid w:val="00FE449C"/>
    <w:rsid w:val="00FE748E"/>
    <w:rsid w:val="00FF1872"/>
    <w:rsid w:val="00FF1B96"/>
    <w:rsid w:val="00FF4B8E"/>
    <w:rsid w:val="01083C47"/>
    <w:rsid w:val="01423F24"/>
    <w:rsid w:val="015078F3"/>
    <w:rsid w:val="016B44FB"/>
    <w:rsid w:val="0176597C"/>
    <w:rsid w:val="01987FE8"/>
    <w:rsid w:val="01BB3CD7"/>
    <w:rsid w:val="01C721D1"/>
    <w:rsid w:val="01EC5064"/>
    <w:rsid w:val="022A2E24"/>
    <w:rsid w:val="023C11A8"/>
    <w:rsid w:val="02481E22"/>
    <w:rsid w:val="02505DA7"/>
    <w:rsid w:val="02663EAD"/>
    <w:rsid w:val="026C6C99"/>
    <w:rsid w:val="026C6D7F"/>
    <w:rsid w:val="029C58B6"/>
    <w:rsid w:val="02BC02E4"/>
    <w:rsid w:val="03036481"/>
    <w:rsid w:val="03215DBB"/>
    <w:rsid w:val="032F2C92"/>
    <w:rsid w:val="033A0C2B"/>
    <w:rsid w:val="033B6E7D"/>
    <w:rsid w:val="03F01345"/>
    <w:rsid w:val="044C6E68"/>
    <w:rsid w:val="04593FB8"/>
    <w:rsid w:val="047D740D"/>
    <w:rsid w:val="047F4C17"/>
    <w:rsid w:val="047F4EC9"/>
    <w:rsid w:val="04970A63"/>
    <w:rsid w:val="04B03D9F"/>
    <w:rsid w:val="04C44A87"/>
    <w:rsid w:val="04DF7CDC"/>
    <w:rsid w:val="04E050DE"/>
    <w:rsid w:val="04E533D3"/>
    <w:rsid w:val="054162A1"/>
    <w:rsid w:val="054F4E62"/>
    <w:rsid w:val="055E52B3"/>
    <w:rsid w:val="05757AB9"/>
    <w:rsid w:val="057E271C"/>
    <w:rsid w:val="058A0B5E"/>
    <w:rsid w:val="05963025"/>
    <w:rsid w:val="05D40171"/>
    <w:rsid w:val="05EC2E44"/>
    <w:rsid w:val="06063AF2"/>
    <w:rsid w:val="06377E97"/>
    <w:rsid w:val="064C217D"/>
    <w:rsid w:val="064F10F9"/>
    <w:rsid w:val="06746CFB"/>
    <w:rsid w:val="06B35D4F"/>
    <w:rsid w:val="06CA3863"/>
    <w:rsid w:val="06D47C38"/>
    <w:rsid w:val="06E03F5B"/>
    <w:rsid w:val="07017D69"/>
    <w:rsid w:val="07CF503D"/>
    <w:rsid w:val="07E64331"/>
    <w:rsid w:val="082537F9"/>
    <w:rsid w:val="08265FE3"/>
    <w:rsid w:val="082B796D"/>
    <w:rsid w:val="083E2E91"/>
    <w:rsid w:val="085B1D6F"/>
    <w:rsid w:val="08636EFA"/>
    <w:rsid w:val="08676D00"/>
    <w:rsid w:val="0880085F"/>
    <w:rsid w:val="08A0275E"/>
    <w:rsid w:val="08A4513B"/>
    <w:rsid w:val="08B83E9B"/>
    <w:rsid w:val="08BF496D"/>
    <w:rsid w:val="08DC2636"/>
    <w:rsid w:val="08DF129D"/>
    <w:rsid w:val="092321EE"/>
    <w:rsid w:val="09232783"/>
    <w:rsid w:val="09293967"/>
    <w:rsid w:val="093B3287"/>
    <w:rsid w:val="093B58B2"/>
    <w:rsid w:val="094C50B3"/>
    <w:rsid w:val="094F5C0A"/>
    <w:rsid w:val="095204AE"/>
    <w:rsid w:val="09756E61"/>
    <w:rsid w:val="09971D5B"/>
    <w:rsid w:val="09994B85"/>
    <w:rsid w:val="09B071D5"/>
    <w:rsid w:val="09B13B63"/>
    <w:rsid w:val="09D00538"/>
    <w:rsid w:val="09E416E9"/>
    <w:rsid w:val="09F42B41"/>
    <w:rsid w:val="09F91840"/>
    <w:rsid w:val="09F9595D"/>
    <w:rsid w:val="09FC5511"/>
    <w:rsid w:val="0A3E187C"/>
    <w:rsid w:val="0A474B53"/>
    <w:rsid w:val="0A522CFE"/>
    <w:rsid w:val="0A5F2B55"/>
    <w:rsid w:val="0A872D72"/>
    <w:rsid w:val="0A8A41C5"/>
    <w:rsid w:val="0A902E09"/>
    <w:rsid w:val="0AA22CD7"/>
    <w:rsid w:val="0AB159FA"/>
    <w:rsid w:val="0AC05D10"/>
    <w:rsid w:val="0B420C77"/>
    <w:rsid w:val="0B961D9B"/>
    <w:rsid w:val="0B9A4B88"/>
    <w:rsid w:val="0BAD643E"/>
    <w:rsid w:val="0BC1638D"/>
    <w:rsid w:val="0BD062B3"/>
    <w:rsid w:val="0BE55931"/>
    <w:rsid w:val="0BF85527"/>
    <w:rsid w:val="0C1E0C74"/>
    <w:rsid w:val="0C4775E2"/>
    <w:rsid w:val="0C6913A0"/>
    <w:rsid w:val="0C756FEA"/>
    <w:rsid w:val="0C8066A6"/>
    <w:rsid w:val="0C921EFA"/>
    <w:rsid w:val="0CA33C3B"/>
    <w:rsid w:val="0CC15EA2"/>
    <w:rsid w:val="0CD91D50"/>
    <w:rsid w:val="0CFA2BE3"/>
    <w:rsid w:val="0D0E3931"/>
    <w:rsid w:val="0D5E3A73"/>
    <w:rsid w:val="0D676B90"/>
    <w:rsid w:val="0D757F62"/>
    <w:rsid w:val="0DA81358"/>
    <w:rsid w:val="0DB22432"/>
    <w:rsid w:val="0DB25A06"/>
    <w:rsid w:val="0DE56FCC"/>
    <w:rsid w:val="0DF111CF"/>
    <w:rsid w:val="0DF87735"/>
    <w:rsid w:val="0DFF4F4B"/>
    <w:rsid w:val="0E2A3A63"/>
    <w:rsid w:val="0E386E38"/>
    <w:rsid w:val="0E5232CD"/>
    <w:rsid w:val="0E5E2292"/>
    <w:rsid w:val="0E776F2B"/>
    <w:rsid w:val="0ECB797C"/>
    <w:rsid w:val="0ED4507F"/>
    <w:rsid w:val="0EDF7D98"/>
    <w:rsid w:val="0EEF5476"/>
    <w:rsid w:val="0EF85B6D"/>
    <w:rsid w:val="0F63253E"/>
    <w:rsid w:val="0F6C08B9"/>
    <w:rsid w:val="0F6F4BE6"/>
    <w:rsid w:val="0F7C354D"/>
    <w:rsid w:val="0FAB7E59"/>
    <w:rsid w:val="0FB45228"/>
    <w:rsid w:val="1005771C"/>
    <w:rsid w:val="1017608E"/>
    <w:rsid w:val="10407E83"/>
    <w:rsid w:val="10441512"/>
    <w:rsid w:val="104E4371"/>
    <w:rsid w:val="106F4452"/>
    <w:rsid w:val="10744F11"/>
    <w:rsid w:val="107F5F07"/>
    <w:rsid w:val="108D2CE2"/>
    <w:rsid w:val="109D272E"/>
    <w:rsid w:val="1111121D"/>
    <w:rsid w:val="1114617F"/>
    <w:rsid w:val="111D2B63"/>
    <w:rsid w:val="116C5D68"/>
    <w:rsid w:val="11783186"/>
    <w:rsid w:val="117D7E82"/>
    <w:rsid w:val="1181053A"/>
    <w:rsid w:val="1182472E"/>
    <w:rsid w:val="11A716C1"/>
    <w:rsid w:val="11B31DBB"/>
    <w:rsid w:val="11C356D4"/>
    <w:rsid w:val="11EB6477"/>
    <w:rsid w:val="11F50B3F"/>
    <w:rsid w:val="11F7161E"/>
    <w:rsid w:val="120255F4"/>
    <w:rsid w:val="12045226"/>
    <w:rsid w:val="12136625"/>
    <w:rsid w:val="12144E0B"/>
    <w:rsid w:val="121F6409"/>
    <w:rsid w:val="12262760"/>
    <w:rsid w:val="122B6CE4"/>
    <w:rsid w:val="12350909"/>
    <w:rsid w:val="123B2EA4"/>
    <w:rsid w:val="1268023E"/>
    <w:rsid w:val="127906AB"/>
    <w:rsid w:val="12802254"/>
    <w:rsid w:val="129671EA"/>
    <w:rsid w:val="12AA12AC"/>
    <w:rsid w:val="12C10A21"/>
    <w:rsid w:val="13160D6D"/>
    <w:rsid w:val="13173DBC"/>
    <w:rsid w:val="131B64E3"/>
    <w:rsid w:val="133156CE"/>
    <w:rsid w:val="135E5775"/>
    <w:rsid w:val="136715C8"/>
    <w:rsid w:val="13981495"/>
    <w:rsid w:val="13B12D68"/>
    <w:rsid w:val="13CA4FBE"/>
    <w:rsid w:val="13CB4516"/>
    <w:rsid w:val="13F46C51"/>
    <w:rsid w:val="14124303"/>
    <w:rsid w:val="14181F0F"/>
    <w:rsid w:val="141F1AD9"/>
    <w:rsid w:val="142A17B7"/>
    <w:rsid w:val="14466417"/>
    <w:rsid w:val="14493FD9"/>
    <w:rsid w:val="144B3E90"/>
    <w:rsid w:val="144B713C"/>
    <w:rsid w:val="146A7EB6"/>
    <w:rsid w:val="148B70B8"/>
    <w:rsid w:val="149E6547"/>
    <w:rsid w:val="14C52A4A"/>
    <w:rsid w:val="14D64D96"/>
    <w:rsid w:val="14FF77D9"/>
    <w:rsid w:val="15052E55"/>
    <w:rsid w:val="150D43F1"/>
    <w:rsid w:val="151353C3"/>
    <w:rsid w:val="151632A6"/>
    <w:rsid w:val="151D606D"/>
    <w:rsid w:val="15560E31"/>
    <w:rsid w:val="15D847F4"/>
    <w:rsid w:val="15F31C65"/>
    <w:rsid w:val="15F82B4C"/>
    <w:rsid w:val="16146547"/>
    <w:rsid w:val="1648343E"/>
    <w:rsid w:val="16985F3D"/>
    <w:rsid w:val="16BE2A62"/>
    <w:rsid w:val="16D51875"/>
    <w:rsid w:val="16DA607C"/>
    <w:rsid w:val="171717E3"/>
    <w:rsid w:val="174E640D"/>
    <w:rsid w:val="17575BA1"/>
    <w:rsid w:val="17590805"/>
    <w:rsid w:val="17711DF5"/>
    <w:rsid w:val="177166C2"/>
    <w:rsid w:val="17832749"/>
    <w:rsid w:val="17842AD0"/>
    <w:rsid w:val="17B11AB2"/>
    <w:rsid w:val="17BD418C"/>
    <w:rsid w:val="17CB7119"/>
    <w:rsid w:val="17CC0594"/>
    <w:rsid w:val="181B495B"/>
    <w:rsid w:val="18252227"/>
    <w:rsid w:val="188D49A9"/>
    <w:rsid w:val="18E328A4"/>
    <w:rsid w:val="19366100"/>
    <w:rsid w:val="19371A3D"/>
    <w:rsid w:val="193C27C7"/>
    <w:rsid w:val="196640D0"/>
    <w:rsid w:val="19A5109C"/>
    <w:rsid w:val="19B264AE"/>
    <w:rsid w:val="19B83E14"/>
    <w:rsid w:val="19EF40C6"/>
    <w:rsid w:val="1A065081"/>
    <w:rsid w:val="1A1A3FA8"/>
    <w:rsid w:val="1A432DD4"/>
    <w:rsid w:val="1A67391A"/>
    <w:rsid w:val="1AB62C11"/>
    <w:rsid w:val="1AB62E35"/>
    <w:rsid w:val="1AB75BA5"/>
    <w:rsid w:val="1AB950C8"/>
    <w:rsid w:val="1AD42D15"/>
    <w:rsid w:val="1ADA2FC8"/>
    <w:rsid w:val="1AF44C30"/>
    <w:rsid w:val="1AFE273B"/>
    <w:rsid w:val="1B252495"/>
    <w:rsid w:val="1B285AE1"/>
    <w:rsid w:val="1B2B30B2"/>
    <w:rsid w:val="1B4E66D4"/>
    <w:rsid w:val="1BA34DC9"/>
    <w:rsid w:val="1BAA00AD"/>
    <w:rsid w:val="1BF91B09"/>
    <w:rsid w:val="1C1C224C"/>
    <w:rsid w:val="1C504D1F"/>
    <w:rsid w:val="1C6D184F"/>
    <w:rsid w:val="1C6F14EE"/>
    <w:rsid w:val="1C7B2FF3"/>
    <w:rsid w:val="1C896996"/>
    <w:rsid w:val="1C8C0FB3"/>
    <w:rsid w:val="1C9E70AE"/>
    <w:rsid w:val="1CA078F9"/>
    <w:rsid w:val="1CA97497"/>
    <w:rsid w:val="1CAB69CA"/>
    <w:rsid w:val="1CB57848"/>
    <w:rsid w:val="1CF13D2E"/>
    <w:rsid w:val="1CF814E3"/>
    <w:rsid w:val="1D0E369F"/>
    <w:rsid w:val="1D310FC1"/>
    <w:rsid w:val="1D4E55A7"/>
    <w:rsid w:val="1D9122D6"/>
    <w:rsid w:val="1DA632D2"/>
    <w:rsid w:val="1DCE5E1B"/>
    <w:rsid w:val="1E0475D1"/>
    <w:rsid w:val="1E1171BA"/>
    <w:rsid w:val="1E2B7DAC"/>
    <w:rsid w:val="1E3638C9"/>
    <w:rsid w:val="1E4713E7"/>
    <w:rsid w:val="1E4A0486"/>
    <w:rsid w:val="1E692DF0"/>
    <w:rsid w:val="1EAC07D7"/>
    <w:rsid w:val="1EC11CD6"/>
    <w:rsid w:val="1ECF50B3"/>
    <w:rsid w:val="1F134CFA"/>
    <w:rsid w:val="1F2E38E2"/>
    <w:rsid w:val="1F3230E4"/>
    <w:rsid w:val="1F7F7C9A"/>
    <w:rsid w:val="1F9F4BC1"/>
    <w:rsid w:val="1FA93247"/>
    <w:rsid w:val="1FDC4643"/>
    <w:rsid w:val="2009402D"/>
    <w:rsid w:val="20377C65"/>
    <w:rsid w:val="2063580D"/>
    <w:rsid w:val="20652A43"/>
    <w:rsid w:val="20773038"/>
    <w:rsid w:val="20B37242"/>
    <w:rsid w:val="20B70E9F"/>
    <w:rsid w:val="20BE2980"/>
    <w:rsid w:val="20C718F8"/>
    <w:rsid w:val="20CF2603"/>
    <w:rsid w:val="20E07ADB"/>
    <w:rsid w:val="21093D59"/>
    <w:rsid w:val="212151DF"/>
    <w:rsid w:val="21284D54"/>
    <w:rsid w:val="21356366"/>
    <w:rsid w:val="213E5037"/>
    <w:rsid w:val="216C4FA0"/>
    <w:rsid w:val="21717AB6"/>
    <w:rsid w:val="217D328C"/>
    <w:rsid w:val="219E0F61"/>
    <w:rsid w:val="21BA10DB"/>
    <w:rsid w:val="21C565C2"/>
    <w:rsid w:val="21D10545"/>
    <w:rsid w:val="21D37FC5"/>
    <w:rsid w:val="21D47BC7"/>
    <w:rsid w:val="21DA01FE"/>
    <w:rsid w:val="21DC5FBE"/>
    <w:rsid w:val="221F7512"/>
    <w:rsid w:val="223030E8"/>
    <w:rsid w:val="223374E5"/>
    <w:rsid w:val="22361439"/>
    <w:rsid w:val="225D6382"/>
    <w:rsid w:val="22876C99"/>
    <w:rsid w:val="22A46395"/>
    <w:rsid w:val="22DE117B"/>
    <w:rsid w:val="22DF73CD"/>
    <w:rsid w:val="22FB0893"/>
    <w:rsid w:val="232911B2"/>
    <w:rsid w:val="23367469"/>
    <w:rsid w:val="236F34F5"/>
    <w:rsid w:val="23AC18DE"/>
    <w:rsid w:val="23AF0B70"/>
    <w:rsid w:val="23B53147"/>
    <w:rsid w:val="23D81984"/>
    <w:rsid w:val="23DE2394"/>
    <w:rsid w:val="24082241"/>
    <w:rsid w:val="241B145A"/>
    <w:rsid w:val="2432471C"/>
    <w:rsid w:val="2437653E"/>
    <w:rsid w:val="244D68CE"/>
    <w:rsid w:val="245C4A4D"/>
    <w:rsid w:val="247740F3"/>
    <w:rsid w:val="24836263"/>
    <w:rsid w:val="24A2597F"/>
    <w:rsid w:val="24CF4BC7"/>
    <w:rsid w:val="24EA34CA"/>
    <w:rsid w:val="250A0877"/>
    <w:rsid w:val="251C4DF7"/>
    <w:rsid w:val="252B19AC"/>
    <w:rsid w:val="254C3D55"/>
    <w:rsid w:val="256110CA"/>
    <w:rsid w:val="256C232E"/>
    <w:rsid w:val="25EC5D77"/>
    <w:rsid w:val="26551BE3"/>
    <w:rsid w:val="267E3B00"/>
    <w:rsid w:val="268D0BB3"/>
    <w:rsid w:val="268F4733"/>
    <w:rsid w:val="269B4442"/>
    <w:rsid w:val="26C8461C"/>
    <w:rsid w:val="26D63991"/>
    <w:rsid w:val="26FD0BB6"/>
    <w:rsid w:val="270674F4"/>
    <w:rsid w:val="27382186"/>
    <w:rsid w:val="2753038A"/>
    <w:rsid w:val="275832D5"/>
    <w:rsid w:val="276E1A07"/>
    <w:rsid w:val="279664C8"/>
    <w:rsid w:val="27991B93"/>
    <w:rsid w:val="279F7911"/>
    <w:rsid w:val="27A209C9"/>
    <w:rsid w:val="27AF28E7"/>
    <w:rsid w:val="27C02D3E"/>
    <w:rsid w:val="281C41C1"/>
    <w:rsid w:val="28234D0E"/>
    <w:rsid w:val="283B46BE"/>
    <w:rsid w:val="28575D22"/>
    <w:rsid w:val="2858643E"/>
    <w:rsid w:val="28BA1D43"/>
    <w:rsid w:val="28EA3927"/>
    <w:rsid w:val="28EA6ACC"/>
    <w:rsid w:val="28ED0E78"/>
    <w:rsid w:val="290646EF"/>
    <w:rsid w:val="291269F2"/>
    <w:rsid w:val="291476A5"/>
    <w:rsid w:val="2916327D"/>
    <w:rsid w:val="292F1D0E"/>
    <w:rsid w:val="29543F45"/>
    <w:rsid w:val="296F5393"/>
    <w:rsid w:val="29976FA3"/>
    <w:rsid w:val="29A46C7B"/>
    <w:rsid w:val="29AA70BD"/>
    <w:rsid w:val="29E344B2"/>
    <w:rsid w:val="29F2096C"/>
    <w:rsid w:val="29FB4481"/>
    <w:rsid w:val="2A0A6B27"/>
    <w:rsid w:val="2A13285C"/>
    <w:rsid w:val="2A3D47A0"/>
    <w:rsid w:val="2A3F4BF5"/>
    <w:rsid w:val="2A5078E5"/>
    <w:rsid w:val="2A5562EB"/>
    <w:rsid w:val="2A6978ED"/>
    <w:rsid w:val="2A7C2E1F"/>
    <w:rsid w:val="2ABC73FD"/>
    <w:rsid w:val="2AD74E2E"/>
    <w:rsid w:val="2AFB5C1B"/>
    <w:rsid w:val="2AFC7B17"/>
    <w:rsid w:val="2B0E3404"/>
    <w:rsid w:val="2B544FEC"/>
    <w:rsid w:val="2B793765"/>
    <w:rsid w:val="2B7E0E08"/>
    <w:rsid w:val="2B8419BB"/>
    <w:rsid w:val="2B8D1A8B"/>
    <w:rsid w:val="2B8F5802"/>
    <w:rsid w:val="2B943B3F"/>
    <w:rsid w:val="2B9A1625"/>
    <w:rsid w:val="2BA33C7B"/>
    <w:rsid w:val="2BA36325"/>
    <w:rsid w:val="2BA520E7"/>
    <w:rsid w:val="2BA84BC4"/>
    <w:rsid w:val="2BB56250"/>
    <w:rsid w:val="2BDF2388"/>
    <w:rsid w:val="2BE11A43"/>
    <w:rsid w:val="2BEE0681"/>
    <w:rsid w:val="2BEF54A8"/>
    <w:rsid w:val="2BF92ED7"/>
    <w:rsid w:val="2C257E8E"/>
    <w:rsid w:val="2C4E6D38"/>
    <w:rsid w:val="2C5C003E"/>
    <w:rsid w:val="2C7727C8"/>
    <w:rsid w:val="2CDC4B16"/>
    <w:rsid w:val="2CE83DD2"/>
    <w:rsid w:val="2CEC326F"/>
    <w:rsid w:val="2CFE48F4"/>
    <w:rsid w:val="2D1B3B7E"/>
    <w:rsid w:val="2D1C764D"/>
    <w:rsid w:val="2D297497"/>
    <w:rsid w:val="2D2C7D30"/>
    <w:rsid w:val="2DAD3110"/>
    <w:rsid w:val="2DBB738C"/>
    <w:rsid w:val="2DFC26ED"/>
    <w:rsid w:val="2DFC2F3E"/>
    <w:rsid w:val="2DFC33F4"/>
    <w:rsid w:val="2E051EF5"/>
    <w:rsid w:val="2E3020C2"/>
    <w:rsid w:val="2E4C78E1"/>
    <w:rsid w:val="2E56075F"/>
    <w:rsid w:val="2E567479"/>
    <w:rsid w:val="2E6A7D67"/>
    <w:rsid w:val="2E6B5FB9"/>
    <w:rsid w:val="2E7B5519"/>
    <w:rsid w:val="2EAD1702"/>
    <w:rsid w:val="2ED96D5D"/>
    <w:rsid w:val="2F1A353B"/>
    <w:rsid w:val="2F2E0AC2"/>
    <w:rsid w:val="2F4405B8"/>
    <w:rsid w:val="2F503DDA"/>
    <w:rsid w:val="2F534D44"/>
    <w:rsid w:val="2F6F1D22"/>
    <w:rsid w:val="2F7B7EA8"/>
    <w:rsid w:val="2F8C60B1"/>
    <w:rsid w:val="2F9136C6"/>
    <w:rsid w:val="2F9C6646"/>
    <w:rsid w:val="2FAC2BFA"/>
    <w:rsid w:val="2FDB126F"/>
    <w:rsid w:val="2FE57FED"/>
    <w:rsid w:val="30234019"/>
    <w:rsid w:val="30285E3F"/>
    <w:rsid w:val="303845C1"/>
    <w:rsid w:val="3049057C"/>
    <w:rsid w:val="304940D8"/>
    <w:rsid w:val="306F78B6"/>
    <w:rsid w:val="307D5614"/>
    <w:rsid w:val="30A12C5D"/>
    <w:rsid w:val="30A6152A"/>
    <w:rsid w:val="30E97669"/>
    <w:rsid w:val="30EB173F"/>
    <w:rsid w:val="31093867"/>
    <w:rsid w:val="310A0DA3"/>
    <w:rsid w:val="310D7E44"/>
    <w:rsid w:val="311627E2"/>
    <w:rsid w:val="311A20BE"/>
    <w:rsid w:val="312318F4"/>
    <w:rsid w:val="312B4230"/>
    <w:rsid w:val="315F2FCC"/>
    <w:rsid w:val="316B62D0"/>
    <w:rsid w:val="316D3DF6"/>
    <w:rsid w:val="31741628"/>
    <w:rsid w:val="31D56B28"/>
    <w:rsid w:val="32134119"/>
    <w:rsid w:val="3228001B"/>
    <w:rsid w:val="323C1D9B"/>
    <w:rsid w:val="32494863"/>
    <w:rsid w:val="32787703"/>
    <w:rsid w:val="329577CD"/>
    <w:rsid w:val="32C95F7A"/>
    <w:rsid w:val="32CF1263"/>
    <w:rsid w:val="33016E4A"/>
    <w:rsid w:val="332A4DC4"/>
    <w:rsid w:val="332D2A48"/>
    <w:rsid w:val="332F4ACB"/>
    <w:rsid w:val="334828FC"/>
    <w:rsid w:val="335217EE"/>
    <w:rsid w:val="338F274A"/>
    <w:rsid w:val="33BB00B3"/>
    <w:rsid w:val="33C87A09"/>
    <w:rsid w:val="33D6170C"/>
    <w:rsid w:val="34026237"/>
    <w:rsid w:val="342959C4"/>
    <w:rsid w:val="347831DE"/>
    <w:rsid w:val="349124F1"/>
    <w:rsid w:val="34C6347A"/>
    <w:rsid w:val="34D80120"/>
    <w:rsid w:val="34E73EBF"/>
    <w:rsid w:val="354D644A"/>
    <w:rsid w:val="35630643"/>
    <w:rsid w:val="35FA79D2"/>
    <w:rsid w:val="35FC6BDB"/>
    <w:rsid w:val="36140CE4"/>
    <w:rsid w:val="36720B5A"/>
    <w:rsid w:val="368E4872"/>
    <w:rsid w:val="369216D1"/>
    <w:rsid w:val="36CA1D6A"/>
    <w:rsid w:val="370E6003"/>
    <w:rsid w:val="371F53A0"/>
    <w:rsid w:val="372910E3"/>
    <w:rsid w:val="37303D84"/>
    <w:rsid w:val="37934AC0"/>
    <w:rsid w:val="379A790F"/>
    <w:rsid w:val="37A75B88"/>
    <w:rsid w:val="37B67380"/>
    <w:rsid w:val="37CA427B"/>
    <w:rsid w:val="38035BF2"/>
    <w:rsid w:val="380F0CE1"/>
    <w:rsid w:val="380F74F2"/>
    <w:rsid w:val="381948A5"/>
    <w:rsid w:val="38574CEC"/>
    <w:rsid w:val="38860FD0"/>
    <w:rsid w:val="38A5074F"/>
    <w:rsid w:val="38AC78FA"/>
    <w:rsid w:val="38B668FA"/>
    <w:rsid w:val="38CC7F9C"/>
    <w:rsid w:val="38E828D3"/>
    <w:rsid w:val="39311BAD"/>
    <w:rsid w:val="39331EDA"/>
    <w:rsid w:val="393F251C"/>
    <w:rsid w:val="39431224"/>
    <w:rsid w:val="39435945"/>
    <w:rsid w:val="39582983"/>
    <w:rsid w:val="397B5B5C"/>
    <w:rsid w:val="398623C9"/>
    <w:rsid w:val="3989299E"/>
    <w:rsid w:val="39EF3859"/>
    <w:rsid w:val="39F0713A"/>
    <w:rsid w:val="3A0B68A2"/>
    <w:rsid w:val="3A243BF3"/>
    <w:rsid w:val="3A3059F6"/>
    <w:rsid w:val="3A6A181A"/>
    <w:rsid w:val="3A784B13"/>
    <w:rsid w:val="3A7E4786"/>
    <w:rsid w:val="3A933FA5"/>
    <w:rsid w:val="3AC523E5"/>
    <w:rsid w:val="3ACE744A"/>
    <w:rsid w:val="3AD847AC"/>
    <w:rsid w:val="3B0D1385"/>
    <w:rsid w:val="3B4851B2"/>
    <w:rsid w:val="3B4A4369"/>
    <w:rsid w:val="3B6D1167"/>
    <w:rsid w:val="3BAF4502"/>
    <w:rsid w:val="3BC51965"/>
    <w:rsid w:val="3BE92C13"/>
    <w:rsid w:val="3BF125E8"/>
    <w:rsid w:val="3C0B4937"/>
    <w:rsid w:val="3C167EF7"/>
    <w:rsid w:val="3C206624"/>
    <w:rsid w:val="3C281AD0"/>
    <w:rsid w:val="3C3F2833"/>
    <w:rsid w:val="3C8026E0"/>
    <w:rsid w:val="3CC77996"/>
    <w:rsid w:val="3CD5607A"/>
    <w:rsid w:val="3CF33D2E"/>
    <w:rsid w:val="3D0777F5"/>
    <w:rsid w:val="3D127F47"/>
    <w:rsid w:val="3D2802A6"/>
    <w:rsid w:val="3D311355"/>
    <w:rsid w:val="3D316ADC"/>
    <w:rsid w:val="3D5347E8"/>
    <w:rsid w:val="3D992F20"/>
    <w:rsid w:val="3DA81B75"/>
    <w:rsid w:val="3DC01751"/>
    <w:rsid w:val="3DDA2813"/>
    <w:rsid w:val="3DEB09C5"/>
    <w:rsid w:val="3E000846"/>
    <w:rsid w:val="3E0D7184"/>
    <w:rsid w:val="3E630D47"/>
    <w:rsid w:val="3E7A2248"/>
    <w:rsid w:val="3E982F64"/>
    <w:rsid w:val="3EC14A75"/>
    <w:rsid w:val="3ECA5215"/>
    <w:rsid w:val="3EEC4C06"/>
    <w:rsid w:val="3EEF00CC"/>
    <w:rsid w:val="3F060A30"/>
    <w:rsid w:val="3F28248A"/>
    <w:rsid w:val="3F2E7ABE"/>
    <w:rsid w:val="3F3E526B"/>
    <w:rsid w:val="3F4563B2"/>
    <w:rsid w:val="3F4B7F0F"/>
    <w:rsid w:val="3F7907A7"/>
    <w:rsid w:val="3F7E5ACC"/>
    <w:rsid w:val="3FA702E8"/>
    <w:rsid w:val="3FA847A5"/>
    <w:rsid w:val="3FE231B7"/>
    <w:rsid w:val="3FE3382A"/>
    <w:rsid w:val="40091C75"/>
    <w:rsid w:val="402C12DE"/>
    <w:rsid w:val="402E0630"/>
    <w:rsid w:val="403000C4"/>
    <w:rsid w:val="403D7AC4"/>
    <w:rsid w:val="404544F3"/>
    <w:rsid w:val="405E7503"/>
    <w:rsid w:val="408E6FA1"/>
    <w:rsid w:val="409C2592"/>
    <w:rsid w:val="40B61E6C"/>
    <w:rsid w:val="40BC4F31"/>
    <w:rsid w:val="40EF6340"/>
    <w:rsid w:val="40F956A6"/>
    <w:rsid w:val="41026F76"/>
    <w:rsid w:val="41030CEA"/>
    <w:rsid w:val="41292563"/>
    <w:rsid w:val="412A5860"/>
    <w:rsid w:val="413C1B53"/>
    <w:rsid w:val="41602ED8"/>
    <w:rsid w:val="41703329"/>
    <w:rsid w:val="417B255F"/>
    <w:rsid w:val="417F5AC4"/>
    <w:rsid w:val="41AD2348"/>
    <w:rsid w:val="41CD3D71"/>
    <w:rsid w:val="41FD1018"/>
    <w:rsid w:val="425D3850"/>
    <w:rsid w:val="425E5D20"/>
    <w:rsid w:val="42623DBF"/>
    <w:rsid w:val="428000C6"/>
    <w:rsid w:val="42846A9B"/>
    <w:rsid w:val="42847CB3"/>
    <w:rsid w:val="42864D18"/>
    <w:rsid w:val="42904E2C"/>
    <w:rsid w:val="42BA2C13"/>
    <w:rsid w:val="42C972FA"/>
    <w:rsid w:val="430C04D3"/>
    <w:rsid w:val="43141A8F"/>
    <w:rsid w:val="435D65F0"/>
    <w:rsid w:val="43724694"/>
    <w:rsid w:val="438008EC"/>
    <w:rsid w:val="43803E5D"/>
    <w:rsid w:val="439C526E"/>
    <w:rsid w:val="43E06249"/>
    <w:rsid w:val="43E17924"/>
    <w:rsid w:val="43E86472"/>
    <w:rsid w:val="441A7346"/>
    <w:rsid w:val="445D7CFA"/>
    <w:rsid w:val="447C5195"/>
    <w:rsid w:val="45033789"/>
    <w:rsid w:val="452151CC"/>
    <w:rsid w:val="452236DB"/>
    <w:rsid w:val="452B604A"/>
    <w:rsid w:val="45417700"/>
    <w:rsid w:val="456447EC"/>
    <w:rsid w:val="45694306"/>
    <w:rsid w:val="45961716"/>
    <w:rsid w:val="45A47FC7"/>
    <w:rsid w:val="45C344D5"/>
    <w:rsid w:val="45D81DE2"/>
    <w:rsid w:val="460947C1"/>
    <w:rsid w:val="46117B99"/>
    <w:rsid w:val="46147DC7"/>
    <w:rsid w:val="461E61CF"/>
    <w:rsid w:val="462036D5"/>
    <w:rsid w:val="463D7DBF"/>
    <w:rsid w:val="466B316B"/>
    <w:rsid w:val="46765F44"/>
    <w:rsid w:val="467D3593"/>
    <w:rsid w:val="46A44503"/>
    <w:rsid w:val="46E96E0B"/>
    <w:rsid w:val="46F37065"/>
    <w:rsid w:val="46F84072"/>
    <w:rsid w:val="474C0428"/>
    <w:rsid w:val="475757D7"/>
    <w:rsid w:val="475821DB"/>
    <w:rsid w:val="476A4124"/>
    <w:rsid w:val="478701CE"/>
    <w:rsid w:val="478A1680"/>
    <w:rsid w:val="47B31A9A"/>
    <w:rsid w:val="47C40F5F"/>
    <w:rsid w:val="47CE142F"/>
    <w:rsid w:val="47EC7D13"/>
    <w:rsid w:val="47F7781E"/>
    <w:rsid w:val="48234DC9"/>
    <w:rsid w:val="483A1661"/>
    <w:rsid w:val="485627F5"/>
    <w:rsid w:val="486B28C4"/>
    <w:rsid w:val="486F68D8"/>
    <w:rsid w:val="488E25AA"/>
    <w:rsid w:val="489F6B33"/>
    <w:rsid w:val="48A405ED"/>
    <w:rsid w:val="48A40CC7"/>
    <w:rsid w:val="48AF3319"/>
    <w:rsid w:val="48B1389C"/>
    <w:rsid w:val="48C77E38"/>
    <w:rsid w:val="48D00450"/>
    <w:rsid w:val="48E8794D"/>
    <w:rsid w:val="48F350D1"/>
    <w:rsid w:val="48F454D0"/>
    <w:rsid w:val="492D4F91"/>
    <w:rsid w:val="49301E81"/>
    <w:rsid w:val="495667AD"/>
    <w:rsid w:val="49EE0817"/>
    <w:rsid w:val="4A0374E6"/>
    <w:rsid w:val="4A0D23DC"/>
    <w:rsid w:val="4A147156"/>
    <w:rsid w:val="4A3820DB"/>
    <w:rsid w:val="4A69564B"/>
    <w:rsid w:val="4A9602CA"/>
    <w:rsid w:val="4AA74CE3"/>
    <w:rsid w:val="4AAB2E8E"/>
    <w:rsid w:val="4AAB4CCD"/>
    <w:rsid w:val="4ACA4832"/>
    <w:rsid w:val="4AD44C10"/>
    <w:rsid w:val="4AD54142"/>
    <w:rsid w:val="4ADF2C32"/>
    <w:rsid w:val="4AFB4ED1"/>
    <w:rsid w:val="4B151CBC"/>
    <w:rsid w:val="4B225A34"/>
    <w:rsid w:val="4B2378DD"/>
    <w:rsid w:val="4B35191A"/>
    <w:rsid w:val="4B405161"/>
    <w:rsid w:val="4BA32DDE"/>
    <w:rsid w:val="4BDE3CBF"/>
    <w:rsid w:val="4C1B701C"/>
    <w:rsid w:val="4C306B0D"/>
    <w:rsid w:val="4C5E4F57"/>
    <w:rsid w:val="4C734828"/>
    <w:rsid w:val="4CA273AE"/>
    <w:rsid w:val="4CC37CD5"/>
    <w:rsid w:val="4CCD0192"/>
    <w:rsid w:val="4D0D3770"/>
    <w:rsid w:val="4D40702A"/>
    <w:rsid w:val="4D5F155E"/>
    <w:rsid w:val="4D8669FB"/>
    <w:rsid w:val="4D952FD8"/>
    <w:rsid w:val="4D9A71EC"/>
    <w:rsid w:val="4DCD1234"/>
    <w:rsid w:val="4DF02EEC"/>
    <w:rsid w:val="4DFC67D6"/>
    <w:rsid w:val="4E123FDD"/>
    <w:rsid w:val="4E565D23"/>
    <w:rsid w:val="4E6425A0"/>
    <w:rsid w:val="4E652758"/>
    <w:rsid w:val="4E65726F"/>
    <w:rsid w:val="4E7B76FB"/>
    <w:rsid w:val="4E7E368F"/>
    <w:rsid w:val="4EA8070C"/>
    <w:rsid w:val="4EE53B72"/>
    <w:rsid w:val="4F0B3174"/>
    <w:rsid w:val="4F1067EC"/>
    <w:rsid w:val="4F1418FD"/>
    <w:rsid w:val="4F1F7F83"/>
    <w:rsid w:val="4F2B5D2E"/>
    <w:rsid w:val="4F4A19EE"/>
    <w:rsid w:val="4F8232AA"/>
    <w:rsid w:val="4F8543CC"/>
    <w:rsid w:val="4FB07739"/>
    <w:rsid w:val="50036CCC"/>
    <w:rsid w:val="501E57DF"/>
    <w:rsid w:val="5023004A"/>
    <w:rsid w:val="503E001E"/>
    <w:rsid w:val="504B2837"/>
    <w:rsid w:val="5060514F"/>
    <w:rsid w:val="50803E5C"/>
    <w:rsid w:val="50BD2A33"/>
    <w:rsid w:val="50BD7614"/>
    <w:rsid w:val="50C45C07"/>
    <w:rsid w:val="50CD0A29"/>
    <w:rsid w:val="50F639B0"/>
    <w:rsid w:val="5125720E"/>
    <w:rsid w:val="51384413"/>
    <w:rsid w:val="517A4364"/>
    <w:rsid w:val="518B5C9E"/>
    <w:rsid w:val="51901135"/>
    <w:rsid w:val="51F20E41"/>
    <w:rsid w:val="51FE3F1E"/>
    <w:rsid w:val="52162A28"/>
    <w:rsid w:val="52284F19"/>
    <w:rsid w:val="522D57B4"/>
    <w:rsid w:val="523B594F"/>
    <w:rsid w:val="52562871"/>
    <w:rsid w:val="526510B6"/>
    <w:rsid w:val="526B2B61"/>
    <w:rsid w:val="52A42DB6"/>
    <w:rsid w:val="52BC17B1"/>
    <w:rsid w:val="52C30BD4"/>
    <w:rsid w:val="52E87DF2"/>
    <w:rsid w:val="52FE6B4C"/>
    <w:rsid w:val="5309483E"/>
    <w:rsid w:val="53191BD8"/>
    <w:rsid w:val="5322283B"/>
    <w:rsid w:val="53306F61"/>
    <w:rsid w:val="536746F1"/>
    <w:rsid w:val="5375446F"/>
    <w:rsid w:val="537F0012"/>
    <w:rsid w:val="53BE615B"/>
    <w:rsid w:val="53DC50DF"/>
    <w:rsid w:val="53DD49B3"/>
    <w:rsid w:val="541367BE"/>
    <w:rsid w:val="542E642F"/>
    <w:rsid w:val="544667B3"/>
    <w:rsid w:val="545C2882"/>
    <w:rsid w:val="54646E83"/>
    <w:rsid w:val="54F32E69"/>
    <w:rsid w:val="552C62DE"/>
    <w:rsid w:val="554722CA"/>
    <w:rsid w:val="55AB1748"/>
    <w:rsid w:val="55B22295"/>
    <w:rsid w:val="55B96A08"/>
    <w:rsid w:val="562E26C0"/>
    <w:rsid w:val="56364370"/>
    <w:rsid w:val="564E1B99"/>
    <w:rsid w:val="56552F0C"/>
    <w:rsid w:val="56944FDC"/>
    <w:rsid w:val="56D40CD8"/>
    <w:rsid w:val="56DF3A3C"/>
    <w:rsid w:val="56EE44BC"/>
    <w:rsid w:val="56FA762A"/>
    <w:rsid w:val="56FC6E95"/>
    <w:rsid w:val="573B74AD"/>
    <w:rsid w:val="575B631B"/>
    <w:rsid w:val="5818245E"/>
    <w:rsid w:val="588A5D18"/>
    <w:rsid w:val="588D76CF"/>
    <w:rsid w:val="589944CB"/>
    <w:rsid w:val="58DE2630"/>
    <w:rsid w:val="58F736C9"/>
    <w:rsid w:val="59063BE5"/>
    <w:rsid w:val="590A1D69"/>
    <w:rsid w:val="590A41B7"/>
    <w:rsid w:val="590C52AB"/>
    <w:rsid w:val="591E2FA2"/>
    <w:rsid w:val="594F6EA8"/>
    <w:rsid w:val="59657216"/>
    <w:rsid w:val="597444FC"/>
    <w:rsid w:val="599E6993"/>
    <w:rsid w:val="59DD4026"/>
    <w:rsid w:val="59FD24D2"/>
    <w:rsid w:val="5A08150F"/>
    <w:rsid w:val="5A672EBE"/>
    <w:rsid w:val="5A6C2B2C"/>
    <w:rsid w:val="5A81253D"/>
    <w:rsid w:val="5AB22340"/>
    <w:rsid w:val="5AC1599C"/>
    <w:rsid w:val="5ADB4609"/>
    <w:rsid w:val="5AEC36DF"/>
    <w:rsid w:val="5AF1453D"/>
    <w:rsid w:val="5AF26B48"/>
    <w:rsid w:val="5AFD08EE"/>
    <w:rsid w:val="5B1D1E0D"/>
    <w:rsid w:val="5B333260"/>
    <w:rsid w:val="5B494D40"/>
    <w:rsid w:val="5BB56B61"/>
    <w:rsid w:val="5BDB0550"/>
    <w:rsid w:val="5C0D3137"/>
    <w:rsid w:val="5C357660"/>
    <w:rsid w:val="5C38462F"/>
    <w:rsid w:val="5C3A224A"/>
    <w:rsid w:val="5C4C1793"/>
    <w:rsid w:val="5C5617A7"/>
    <w:rsid w:val="5C734107"/>
    <w:rsid w:val="5C7B03AB"/>
    <w:rsid w:val="5C80018A"/>
    <w:rsid w:val="5CBC7332"/>
    <w:rsid w:val="5CD8555F"/>
    <w:rsid w:val="5CEA2F12"/>
    <w:rsid w:val="5CEE7C31"/>
    <w:rsid w:val="5D152432"/>
    <w:rsid w:val="5D160AAC"/>
    <w:rsid w:val="5D335075"/>
    <w:rsid w:val="5D4F60A9"/>
    <w:rsid w:val="5D5C7A80"/>
    <w:rsid w:val="5D5D3C4A"/>
    <w:rsid w:val="5D60134F"/>
    <w:rsid w:val="5D804278"/>
    <w:rsid w:val="5D8A2C31"/>
    <w:rsid w:val="5D8C339C"/>
    <w:rsid w:val="5D924D93"/>
    <w:rsid w:val="5DB7312E"/>
    <w:rsid w:val="5DDC5CDC"/>
    <w:rsid w:val="5DE61A39"/>
    <w:rsid w:val="5E06215C"/>
    <w:rsid w:val="5E231052"/>
    <w:rsid w:val="5E271D56"/>
    <w:rsid w:val="5E547B43"/>
    <w:rsid w:val="5E5D296F"/>
    <w:rsid w:val="5E753C34"/>
    <w:rsid w:val="5E7A0EC6"/>
    <w:rsid w:val="5E7C118A"/>
    <w:rsid w:val="5E9A65D8"/>
    <w:rsid w:val="5EA900D4"/>
    <w:rsid w:val="5EDD61AF"/>
    <w:rsid w:val="5EE70977"/>
    <w:rsid w:val="5F1314CF"/>
    <w:rsid w:val="5F1527E7"/>
    <w:rsid w:val="5F24793A"/>
    <w:rsid w:val="5F2C4A61"/>
    <w:rsid w:val="5F302990"/>
    <w:rsid w:val="5F3202A9"/>
    <w:rsid w:val="5F532AA1"/>
    <w:rsid w:val="5F620747"/>
    <w:rsid w:val="5F67606E"/>
    <w:rsid w:val="5F6F1A2E"/>
    <w:rsid w:val="5F7042AD"/>
    <w:rsid w:val="5FA339AF"/>
    <w:rsid w:val="5FAF60D6"/>
    <w:rsid w:val="5FBB06E6"/>
    <w:rsid w:val="5FD81212"/>
    <w:rsid w:val="5FF70EC8"/>
    <w:rsid w:val="60044BDF"/>
    <w:rsid w:val="60234096"/>
    <w:rsid w:val="603C0E54"/>
    <w:rsid w:val="606D6C2A"/>
    <w:rsid w:val="60996106"/>
    <w:rsid w:val="60CD45BB"/>
    <w:rsid w:val="60F241D0"/>
    <w:rsid w:val="612E5C3F"/>
    <w:rsid w:val="61453D1A"/>
    <w:rsid w:val="6152578B"/>
    <w:rsid w:val="61710B30"/>
    <w:rsid w:val="618D7A19"/>
    <w:rsid w:val="619A2E02"/>
    <w:rsid w:val="61DF2860"/>
    <w:rsid w:val="62203663"/>
    <w:rsid w:val="623214A1"/>
    <w:rsid w:val="62602773"/>
    <w:rsid w:val="6276697D"/>
    <w:rsid w:val="62AF662D"/>
    <w:rsid w:val="62C44FB9"/>
    <w:rsid w:val="62CA40C8"/>
    <w:rsid w:val="62D845B5"/>
    <w:rsid w:val="62FB0158"/>
    <w:rsid w:val="630F140E"/>
    <w:rsid w:val="63227CC5"/>
    <w:rsid w:val="635A18DF"/>
    <w:rsid w:val="635A6513"/>
    <w:rsid w:val="63602B9C"/>
    <w:rsid w:val="63850579"/>
    <w:rsid w:val="63974516"/>
    <w:rsid w:val="639D0223"/>
    <w:rsid w:val="63E145E6"/>
    <w:rsid w:val="63FE63C6"/>
    <w:rsid w:val="64324028"/>
    <w:rsid w:val="643738F3"/>
    <w:rsid w:val="643806E4"/>
    <w:rsid w:val="64386386"/>
    <w:rsid w:val="64453913"/>
    <w:rsid w:val="64790173"/>
    <w:rsid w:val="648A733E"/>
    <w:rsid w:val="6548764D"/>
    <w:rsid w:val="656A0267"/>
    <w:rsid w:val="657D7201"/>
    <w:rsid w:val="659742B1"/>
    <w:rsid w:val="65A45331"/>
    <w:rsid w:val="65EA4884"/>
    <w:rsid w:val="660B7886"/>
    <w:rsid w:val="662A132F"/>
    <w:rsid w:val="6637797A"/>
    <w:rsid w:val="66397BA0"/>
    <w:rsid w:val="6666379E"/>
    <w:rsid w:val="668A3AFF"/>
    <w:rsid w:val="66C11670"/>
    <w:rsid w:val="66CE5D4B"/>
    <w:rsid w:val="66D40490"/>
    <w:rsid w:val="66FB4F13"/>
    <w:rsid w:val="673B19CC"/>
    <w:rsid w:val="67455A23"/>
    <w:rsid w:val="67620151"/>
    <w:rsid w:val="677B2DB4"/>
    <w:rsid w:val="678C60C5"/>
    <w:rsid w:val="67900263"/>
    <w:rsid w:val="679035FD"/>
    <w:rsid w:val="679E4D0E"/>
    <w:rsid w:val="67AD586F"/>
    <w:rsid w:val="67B67679"/>
    <w:rsid w:val="67E667D7"/>
    <w:rsid w:val="67EE0AA6"/>
    <w:rsid w:val="681C32B8"/>
    <w:rsid w:val="682C6A77"/>
    <w:rsid w:val="684A6FA0"/>
    <w:rsid w:val="68516F14"/>
    <w:rsid w:val="68522C20"/>
    <w:rsid w:val="68656224"/>
    <w:rsid w:val="68691D08"/>
    <w:rsid w:val="687A4A6F"/>
    <w:rsid w:val="68B86009"/>
    <w:rsid w:val="68DE6DAC"/>
    <w:rsid w:val="692E7D33"/>
    <w:rsid w:val="693E0AA2"/>
    <w:rsid w:val="69450BD9"/>
    <w:rsid w:val="69896101"/>
    <w:rsid w:val="69AB4C17"/>
    <w:rsid w:val="69B1292E"/>
    <w:rsid w:val="69C7082B"/>
    <w:rsid w:val="69CA6294"/>
    <w:rsid w:val="69D82FE1"/>
    <w:rsid w:val="6A216B41"/>
    <w:rsid w:val="6A5B7C61"/>
    <w:rsid w:val="6A701C86"/>
    <w:rsid w:val="6AAF07C4"/>
    <w:rsid w:val="6ACD2C37"/>
    <w:rsid w:val="6AFA59F3"/>
    <w:rsid w:val="6B300A71"/>
    <w:rsid w:val="6B7043C1"/>
    <w:rsid w:val="6BC73521"/>
    <w:rsid w:val="6BD22649"/>
    <w:rsid w:val="6BFB7C75"/>
    <w:rsid w:val="6C0346FB"/>
    <w:rsid w:val="6C204F1D"/>
    <w:rsid w:val="6C6D6230"/>
    <w:rsid w:val="6C7A119F"/>
    <w:rsid w:val="6C884442"/>
    <w:rsid w:val="6CAB6FE6"/>
    <w:rsid w:val="6CBC4A25"/>
    <w:rsid w:val="6CE46AD6"/>
    <w:rsid w:val="6D0351E8"/>
    <w:rsid w:val="6D360228"/>
    <w:rsid w:val="6D6E3AD5"/>
    <w:rsid w:val="6D891668"/>
    <w:rsid w:val="6DC21353"/>
    <w:rsid w:val="6DD91078"/>
    <w:rsid w:val="6DDE35EE"/>
    <w:rsid w:val="6DE1413C"/>
    <w:rsid w:val="6DFA234A"/>
    <w:rsid w:val="6E015E3C"/>
    <w:rsid w:val="6E032E11"/>
    <w:rsid w:val="6E06436A"/>
    <w:rsid w:val="6E1D093F"/>
    <w:rsid w:val="6E661D1D"/>
    <w:rsid w:val="6E704952"/>
    <w:rsid w:val="6EAA6A3B"/>
    <w:rsid w:val="6EEF0C70"/>
    <w:rsid w:val="6F0B6421"/>
    <w:rsid w:val="6F0F5516"/>
    <w:rsid w:val="6F433C72"/>
    <w:rsid w:val="6F4A6F49"/>
    <w:rsid w:val="6F575A56"/>
    <w:rsid w:val="6F6F4C02"/>
    <w:rsid w:val="70076BE8"/>
    <w:rsid w:val="700F245C"/>
    <w:rsid w:val="70433998"/>
    <w:rsid w:val="705A03B8"/>
    <w:rsid w:val="706337AE"/>
    <w:rsid w:val="707D5E24"/>
    <w:rsid w:val="709D26ED"/>
    <w:rsid w:val="70A37B2B"/>
    <w:rsid w:val="70B623BC"/>
    <w:rsid w:val="70BC1FF6"/>
    <w:rsid w:val="70C27F18"/>
    <w:rsid w:val="710114CA"/>
    <w:rsid w:val="710A4126"/>
    <w:rsid w:val="710E594F"/>
    <w:rsid w:val="71215755"/>
    <w:rsid w:val="71305ED2"/>
    <w:rsid w:val="71633A2D"/>
    <w:rsid w:val="716F2C97"/>
    <w:rsid w:val="71C04F3A"/>
    <w:rsid w:val="71EC7360"/>
    <w:rsid w:val="71FB09CF"/>
    <w:rsid w:val="72077373"/>
    <w:rsid w:val="721455EC"/>
    <w:rsid w:val="721B647A"/>
    <w:rsid w:val="72220DAF"/>
    <w:rsid w:val="722602D8"/>
    <w:rsid w:val="72571343"/>
    <w:rsid w:val="728712AC"/>
    <w:rsid w:val="728D6291"/>
    <w:rsid w:val="72E324EA"/>
    <w:rsid w:val="72FC49FE"/>
    <w:rsid w:val="73005B8F"/>
    <w:rsid w:val="733220BD"/>
    <w:rsid w:val="733702F8"/>
    <w:rsid w:val="73522870"/>
    <w:rsid w:val="73550A60"/>
    <w:rsid w:val="735710C4"/>
    <w:rsid w:val="73761AAA"/>
    <w:rsid w:val="73881308"/>
    <w:rsid w:val="738E30EA"/>
    <w:rsid w:val="73901142"/>
    <w:rsid w:val="73934E91"/>
    <w:rsid w:val="739F5E1F"/>
    <w:rsid w:val="73B17F89"/>
    <w:rsid w:val="73D17C39"/>
    <w:rsid w:val="73D96FFD"/>
    <w:rsid w:val="73DA3E1F"/>
    <w:rsid w:val="740F2CE8"/>
    <w:rsid w:val="74326664"/>
    <w:rsid w:val="74476E70"/>
    <w:rsid w:val="7467352C"/>
    <w:rsid w:val="74683C8F"/>
    <w:rsid w:val="7478226E"/>
    <w:rsid w:val="748F3650"/>
    <w:rsid w:val="750676EA"/>
    <w:rsid w:val="751E58E9"/>
    <w:rsid w:val="752B22F3"/>
    <w:rsid w:val="75415D07"/>
    <w:rsid w:val="75546BA3"/>
    <w:rsid w:val="755D54FC"/>
    <w:rsid w:val="7576107E"/>
    <w:rsid w:val="759A04FF"/>
    <w:rsid w:val="759F405A"/>
    <w:rsid w:val="75C95155"/>
    <w:rsid w:val="75F714AD"/>
    <w:rsid w:val="76171B4F"/>
    <w:rsid w:val="76207BC3"/>
    <w:rsid w:val="7637348C"/>
    <w:rsid w:val="76417786"/>
    <w:rsid w:val="76437B7F"/>
    <w:rsid w:val="7648556A"/>
    <w:rsid w:val="764F3097"/>
    <w:rsid w:val="76514EEA"/>
    <w:rsid w:val="76602A6E"/>
    <w:rsid w:val="769C2114"/>
    <w:rsid w:val="769D2054"/>
    <w:rsid w:val="76BB08A3"/>
    <w:rsid w:val="76D67CCF"/>
    <w:rsid w:val="771A50BF"/>
    <w:rsid w:val="77291A68"/>
    <w:rsid w:val="772E249B"/>
    <w:rsid w:val="77A452B8"/>
    <w:rsid w:val="77C76C79"/>
    <w:rsid w:val="77C91146"/>
    <w:rsid w:val="77DC4DFE"/>
    <w:rsid w:val="77F40FB7"/>
    <w:rsid w:val="77FA44D9"/>
    <w:rsid w:val="781C32C2"/>
    <w:rsid w:val="78247FD2"/>
    <w:rsid w:val="78856D19"/>
    <w:rsid w:val="78857244"/>
    <w:rsid w:val="788B412F"/>
    <w:rsid w:val="788E4D92"/>
    <w:rsid w:val="78A36A3C"/>
    <w:rsid w:val="78C23FF4"/>
    <w:rsid w:val="78F46331"/>
    <w:rsid w:val="78FE532A"/>
    <w:rsid w:val="79030169"/>
    <w:rsid w:val="7932625A"/>
    <w:rsid w:val="795D1F6F"/>
    <w:rsid w:val="798157DC"/>
    <w:rsid w:val="798F75D9"/>
    <w:rsid w:val="79937461"/>
    <w:rsid w:val="79B52BD3"/>
    <w:rsid w:val="79B94395"/>
    <w:rsid w:val="79F503F9"/>
    <w:rsid w:val="7A1267F2"/>
    <w:rsid w:val="7A27429B"/>
    <w:rsid w:val="7A441C05"/>
    <w:rsid w:val="7A4B626B"/>
    <w:rsid w:val="7A705F1F"/>
    <w:rsid w:val="7AB56B44"/>
    <w:rsid w:val="7AD00A78"/>
    <w:rsid w:val="7AD26045"/>
    <w:rsid w:val="7B127680"/>
    <w:rsid w:val="7B2134E7"/>
    <w:rsid w:val="7B537186"/>
    <w:rsid w:val="7B590514"/>
    <w:rsid w:val="7B716D82"/>
    <w:rsid w:val="7B730C1B"/>
    <w:rsid w:val="7B887911"/>
    <w:rsid w:val="7B944698"/>
    <w:rsid w:val="7BA34308"/>
    <w:rsid w:val="7BB92C71"/>
    <w:rsid w:val="7BE60972"/>
    <w:rsid w:val="7BF05570"/>
    <w:rsid w:val="7BF56A49"/>
    <w:rsid w:val="7BFA5F25"/>
    <w:rsid w:val="7C305AA4"/>
    <w:rsid w:val="7CB23545"/>
    <w:rsid w:val="7D13400B"/>
    <w:rsid w:val="7D1961AD"/>
    <w:rsid w:val="7D1F2C1B"/>
    <w:rsid w:val="7D282781"/>
    <w:rsid w:val="7D4B160D"/>
    <w:rsid w:val="7D7336CA"/>
    <w:rsid w:val="7D96764F"/>
    <w:rsid w:val="7DBA688F"/>
    <w:rsid w:val="7DD1161D"/>
    <w:rsid w:val="7DDC16B6"/>
    <w:rsid w:val="7DED5463"/>
    <w:rsid w:val="7DEE7682"/>
    <w:rsid w:val="7DF00F00"/>
    <w:rsid w:val="7E041BBF"/>
    <w:rsid w:val="7E386B07"/>
    <w:rsid w:val="7E55793F"/>
    <w:rsid w:val="7E6A0C47"/>
    <w:rsid w:val="7E9C1A71"/>
    <w:rsid w:val="7EA66A1A"/>
    <w:rsid w:val="7EB3548E"/>
    <w:rsid w:val="7EBC7738"/>
    <w:rsid w:val="7EC533DC"/>
    <w:rsid w:val="7ECB3019"/>
    <w:rsid w:val="7ED17A08"/>
    <w:rsid w:val="7ED74BCE"/>
    <w:rsid w:val="7F087A80"/>
    <w:rsid w:val="7F150C7C"/>
    <w:rsid w:val="7F232A67"/>
    <w:rsid w:val="7F2F3A66"/>
    <w:rsid w:val="7F335454"/>
    <w:rsid w:val="7F3B7B5B"/>
    <w:rsid w:val="7F526718"/>
    <w:rsid w:val="7F7327AE"/>
    <w:rsid w:val="7F797F50"/>
    <w:rsid w:val="7F7D1C1B"/>
    <w:rsid w:val="7F98501A"/>
    <w:rsid w:val="7F9F4C48"/>
    <w:rsid w:val="7F9F68F6"/>
    <w:rsid w:val="7FA76975"/>
    <w:rsid w:val="7FAF4BA7"/>
    <w:rsid w:val="7FD12B85"/>
    <w:rsid w:val="7FD71A96"/>
    <w:rsid w:val="7FDC54D8"/>
    <w:rsid w:val="7FDE62CE"/>
    <w:rsid w:val="7FE8125E"/>
    <w:rsid w:val="CDFF3C25"/>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unhideWhenUsed="0" w:uiPriority="0" w:semiHidden="0" w:name="footnote text"/>
    <w:lsdException w:qFormat="1" w:unhideWhenUsed="0" w:uiPriority="99"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qFormat="1" w:unhideWhenUsed="0" w:uiPriority="0" w:semiHidden="0" w:name="HTML Acronym"/>
    <w:lsdException w:unhideWhenUsed="0" w:uiPriority="0" w:semiHidden="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unhideWhenUsed="0" w:uiPriority="0" w:semiHidden="0" w:name="HTML Preformatted"/>
    <w:lsdException w:qFormat="1" w:unhideWhenUsed="0" w:uiPriority="0" w:semiHidden="0" w:name="HTML Sample"/>
    <w:lsdException w:qFormat="1" w:unhideWhenUsed="0" w:uiPriority="0" w:semiHidden="0" w:name="HTML Typewriter"/>
    <w:lsdException w:qFormat="1"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9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宋体" w:hAnsi="Times New Roman" w:eastAsia="宋体" w:cs="Times New Roman"/>
      <w:sz w:val="34"/>
      <w:lang w:val="en-US" w:eastAsia="zh-CN" w:bidi="ar-SA"/>
    </w:rPr>
  </w:style>
  <w:style w:type="paragraph" w:styleId="3">
    <w:name w:val="heading 1"/>
    <w:basedOn w:val="1"/>
    <w:next w:val="1"/>
    <w:link w:val="66"/>
    <w:qFormat/>
    <w:uiPriority w:val="0"/>
    <w:pPr>
      <w:keepNext/>
      <w:keepLines/>
      <w:spacing w:before="120" w:after="120"/>
      <w:jc w:val="center"/>
      <w:outlineLvl w:val="0"/>
    </w:pPr>
    <w:rPr>
      <w:b/>
      <w:bCs/>
      <w:kern w:val="44"/>
      <w:sz w:val="44"/>
      <w:szCs w:val="44"/>
    </w:rPr>
  </w:style>
  <w:style w:type="paragraph" w:styleId="4">
    <w:name w:val="heading 2"/>
    <w:basedOn w:val="1"/>
    <w:next w:val="1"/>
    <w:link w:val="67"/>
    <w:qFormat/>
    <w:uiPriority w:val="0"/>
    <w:pPr>
      <w:keepNext/>
      <w:keepLines/>
      <w:spacing w:line="413" w:lineRule="auto"/>
      <w:outlineLvl w:val="1"/>
    </w:pPr>
    <w:rPr>
      <w:rFonts w:ascii="Arial" w:hAnsi="Arial" w:eastAsia="黑体"/>
      <w:b/>
      <w:bCs/>
      <w:sz w:val="32"/>
      <w:szCs w:val="32"/>
    </w:rPr>
  </w:style>
  <w:style w:type="paragraph" w:styleId="5">
    <w:name w:val="heading 3"/>
    <w:basedOn w:val="1"/>
    <w:next w:val="1"/>
    <w:link w:val="68"/>
    <w:qFormat/>
    <w:uiPriority w:val="0"/>
    <w:pPr>
      <w:keepNext/>
      <w:keepLines/>
      <w:spacing w:line="413" w:lineRule="auto"/>
      <w:outlineLvl w:val="2"/>
    </w:pPr>
    <w:rPr>
      <w:b/>
      <w:bCs/>
      <w:sz w:val="32"/>
      <w:szCs w:val="32"/>
    </w:rPr>
  </w:style>
  <w:style w:type="paragraph" w:styleId="6">
    <w:name w:val="heading 4"/>
    <w:basedOn w:val="1"/>
    <w:next w:val="1"/>
    <w:link w:val="77"/>
    <w:qFormat/>
    <w:uiPriority w:val="0"/>
    <w:pPr>
      <w:keepNext/>
      <w:outlineLvl w:val="3"/>
    </w:pPr>
    <w:rPr>
      <w:rFonts w:ascii="Times New Roman"/>
      <w:b/>
      <w:bCs/>
      <w:sz w:val="28"/>
      <w:szCs w:val="28"/>
    </w:rPr>
  </w:style>
  <w:style w:type="character" w:default="1" w:styleId="31">
    <w:name w:val="Default Paragraph Font"/>
    <w:semiHidden/>
    <w:unhideWhenUsed/>
    <w:qFormat/>
    <w:uiPriority w:val="1"/>
  </w:style>
  <w:style w:type="table" w:default="1" w:styleId="29">
    <w:name w:val="Normal Table"/>
    <w:semiHidden/>
    <w:unhideWhenUsed/>
    <w:qFormat/>
    <w:uiPriority w:val="99"/>
    <w:tblPr>
      <w:tblCellMar>
        <w:top w:w="0" w:type="dxa"/>
        <w:left w:w="108" w:type="dxa"/>
        <w:bottom w:w="0" w:type="dxa"/>
        <w:right w:w="108" w:type="dxa"/>
      </w:tblCellMar>
    </w:tblPr>
  </w:style>
  <w:style w:type="paragraph" w:styleId="2">
    <w:name w:val="Body Text"/>
    <w:basedOn w:val="1"/>
    <w:next w:val="1"/>
    <w:link w:val="65"/>
    <w:qFormat/>
    <w:uiPriority w:val="0"/>
  </w:style>
  <w:style w:type="paragraph" w:styleId="7">
    <w:name w:val="toc 7"/>
    <w:basedOn w:val="1"/>
    <w:next w:val="1"/>
    <w:qFormat/>
    <w:uiPriority w:val="39"/>
    <w:pPr>
      <w:ind w:left="2040"/>
      <w:jc w:val="left"/>
    </w:pPr>
    <w:rPr>
      <w:rFonts w:asciiTheme="minorHAnsi" w:hAnsiTheme="minorHAnsi" w:cstheme="minorHAnsi"/>
      <w:sz w:val="18"/>
      <w:szCs w:val="18"/>
    </w:rPr>
  </w:style>
  <w:style w:type="paragraph" w:styleId="8">
    <w:name w:val="Normal Indent"/>
    <w:basedOn w:val="1"/>
    <w:qFormat/>
    <w:uiPriority w:val="0"/>
    <w:pPr>
      <w:ind w:firstLine="420" w:firstLineChars="200"/>
    </w:pPr>
    <w:rPr>
      <w:kern w:val="2"/>
      <w:sz w:val="21"/>
      <w:szCs w:val="24"/>
    </w:rPr>
  </w:style>
  <w:style w:type="paragraph" w:styleId="9">
    <w:name w:val="Document Map"/>
    <w:basedOn w:val="1"/>
    <w:link w:val="56"/>
    <w:qFormat/>
    <w:uiPriority w:val="0"/>
    <w:rPr>
      <w:sz w:val="18"/>
      <w:szCs w:val="18"/>
    </w:rPr>
  </w:style>
  <w:style w:type="paragraph" w:styleId="10">
    <w:name w:val="annotation text"/>
    <w:basedOn w:val="1"/>
    <w:link w:val="57"/>
    <w:qFormat/>
    <w:uiPriority w:val="99"/>
    <w:pPr>
      <w:jc w:val="left"/>
    </w:pPr>
  </w:style>
  <w:style w:type="paragraph" w:styleId="11">
    <w:name w:val="Body Text Indent"/>
    <w:basedOn w:val="1"/>
    <w:qFormat/>
    <w:uiPriority w:val="0"/>
    <w:pPr>
      <w:autoSpaceDE w:val="0"/>
      <w:autoSpaceDN w:val="0"/>
      <w:adjustRightInd w:val="0"/>
      <w:spacing w:line="360" w:lineRule="auto"/>
      <w:ind w:firstLine="540" w:firstLineChars="180"/>
    </w:pPr>
    <w:rPr>
      <w:sz w:val="30"/>
      <w:szCs w:val="24"/>
    </w:rPr>
  </w:style>
  <w:style w:type="paragraph" w:styleId="12">
    <w:name w:val="Block Text"/>
    <w:basedOn w:val="1"/>
    <w:qFormat/>
    <w:uiPriority w:val="0"/>
    <w:pPr>
      <w:tabs>
        <w:tab w:val="left" w:pos="1440"/>
      </w:tabs>
      <w:spacing w:after="100"/>
      <w:ind w:left="3600" w:right="-288" w:hanging="2880"/>
    </w:pPr>
    <w:rPr>
      <w:snapToGrid w:val="0"/>
      <w:sz w:val="22"/>
      <w:lang w:eastAsia="en-US"/>
    </w:rPr>
  </w:style>
  <w:style w:type="paragraph" w:styleId="13">
    <w:name w:val="toc 5"/>
    <w:basedOn w:val="1"/>
    <w:next w:val="1"/>
    <w:qFormat/>
    <w:uiPriority w:val="39"/>
    <w:pPr>
      <w:ind w:left="1360"/>
      <w:jc w:val="left"/>
    </w:pPr>
    <w:rPr>
      <w:rFonts w:asciiTheme="minorHAnsi" w:hAnsiTheme="minorHAnsi" w:cstheme="minorHAnsi"/>
      <w:sz w:val="18"/>
      <w:szCs w:val="18"/>
    </w:rPr>
  </w:style>
  <w:style w:type="paragraph" w:styleId="14">
    <w:name w:val="toc 3"/>
    <w:basedOn w:val="1"/>
    <w:next w:val="1"/>
    <w:qFormat/>
    <w:uiPriority w:val="39"/>
    <w:pPr>
      <w:ind w:left="680"/>
      <w:jc w:val="left"/>
    </w:pPr>
    <w:rPr>
      <w:rFonts w:asciiTheme="minorHAnsi" w:hAnsiTheme="minorHAnsi" w:cstheme="minorHAnsi"/>
      <w:i/>
      <w:iCs/>
      <w:sz w:val="20"/>
    </w:rPr>
  </w:style>
  <w:style w:type="paragraph" w:styleId="15">
    <w:name w:val="toc 8"/>
    <w:basedOn w:val="1"/>
    <w:next w:val="1"/>
    <w:qFormat/>
    <w:uiPriority w:val="39"/>
    <w:pPr>
      <w:ind w:left="2380"/>
      <w:jc w:val="left"/>
    </w:pPr>
    <w:rPr>
      <w:rFonts w:asciiTheme="minorHAnsi" w:hAnsiTheme="minorHAnsi" w:cstheme="minorHAnsi"/>
      <w:sz w:val="18"/>
      <w:szCs w:val="18"/>
    </w:rPr>
  </w:style>
  <w:style w:type="paragraph" w:styleId="16">
    <w:name w:val="Body Text Indent 2"/>
    <w:basedOn w:val="1"/>
    <w:link w:val="70"/>
    <w:qFormat/>
    <w:uiPriority w:val="0"/>
    <w:pPr>
      <w:spacing w:line="480" w:lineRule="auto"/>
      <w:ind w:left="420" w:leftChars="200"/>
    </w:pPr>
  </w:style>
  <w:style w:type="paragraph" w:styleId="17">
    <w:name w:val="Balloon Text"/>
    <w:basedOn w:val="1"/>
    <w:link w:val="55"/>
    <w:qFormat/>
    <w:uiPriority w:val="0"/>
    <w:rPr>
      <w:sz w:val="18"/>
      <w:szCs w:val="18"/>
    </w:rPr>
  </w:style>
  <w:style w:type="paragraph" w:styleId="18">
    <w:name w:val="footer"/>
    <w:basedOn w:val="1"/>
    <w:link w:val="64"/>
    <w:qFormat/>
    <w:uiPriority w:val="99"/>
    <w:pPr>
      <w:tabs>
        <w:tab w:val="center" w:pos="4153"/>
        <w:tab w:val="right" w:pos="8306"/>
      </w:tabs>
      <w:snapToGrid w:val="0"/>
      <w:jc w:val="left"/>
    </w:pPr>
    <w:rPr>
      <w:sz w:val="18"/>
    </w:rPr>
  </w:style>
  <w:style w:type="paragraph" w:styleId="19">
    <w:name w:val="header"/>
    <w:basedOn w:val="1"/>
    <w:link w:val="71"/>
    <w:qFormat/>
    <w:uiPriority w:val="0"/>
    <w:pPr>
      <w:pBdr>
        <w:bottom w:val="single" w:color="auto" w:sz="6" w:space="1"/>
      </w:pBdr>
      <w:tabs>
        <w:tab w:val="center" w:pos="4153"/>
        <w:tab w:val="right" w:pos="8306"/>
      </w:tabs>
      <w:snapToGrid w:val="0"/>
      <w:jc w:val="center"/>
    </w:pPr>
    <w:rPr>
      <w:sz w:val="18"/>
    </w:rPr>
  </w:style>
  <w:style w:type="paragraph" w:styleId="20">
    <w:name w:val="toc 1"/>
    <w:basedOn w:val="1"/>
    <w:next w:val="1"/>
    <w:qFormat/>
    <w:uiPriority w:val="39"/>
    <w:pPr>
      <w:spacing w:before="120" w:after="120"/>
      <w:jc w:val="left"/>
    </w:pPr>
    <w:rPr>
      <w:rFonts w:asciiTheme="minorHAnsi" w:hAnsiTheme="minorHAnsi" w:cstheme="minorHAnsi"/>
      <w:b/>
      <w:bCs/>
      <w:caps/>
      <w:sz w:val="20"/>
    </w:rPr>
  </w:style>
  <w:style w:type="paragraph" w:styleId="21">
    <w:name w:val="toc 4"/>
    <w:basedOn w:val="1"/>
    <w:next w:val="1"/>
    <w:qFormat/>
    <w:uiPriority w:val="39"/>
    <w:pPr>
      <w:ind w:left="1020"/>
      <w:jc w:val="left"/>
    </w:pPr>
    <w:rPr>
      <w:rFonts w:asciiTheme="minorHAnsi" w:hAnsiTheme="minorHAnsi" w:cstheme="minorHAnsi"/>
      <w:sz w:val="18"/>
      <w:szCs w:val="18"/>
    </w:rPr>
  </w:style>
  <w:style w:type="paragraph" w:styleId="22">
    <w:name w:val="Subtitle"/>
    <w:basedOn w:val="1"/>
    <w:next w:val="1"/>
    <w:link w:val="69"/>
    <w:qFormat/>
    <w:uiPriority w:val="0"/>
    <w:pPr>
      <w:spacing w:before="240" w:after="60" w:line="312" w:lineRule="auto"/>
      <w:jc w:val="center"/>
      <w:outlineLvl w:val="1"/>
    </w:pPr>
    <w:rPr>
      <w:rFonts w:ascii="Arial" w:hAnsi="Arial" w:cs="Arial"/>
      <w:b/>
      <w:bCs/>
      <w:kern w:val="28"/>
      <w:sz w:val="32"/>
      <w:szCs w:val="32"/>
    </w:rPr>
  </w:style>
  <w:style w:type="paragraph" w:styleId="23">
    <w:name w:val="toc 6"/>
    <w:basedOn w:val="1"/>
    <w:next w:val="1"/>
    <w:qFormat/>
    <w:uiPriority w:val="39"/>
    <w:pPr>
      <w:ind w:left="1700"/>
      <w:jc w:val="left"/>
    </w:pPr>
    <w:rPr>
      <w:rFonts w:asciiTheme="minorHAnsi" w:hAnsiTheme="minorHAnsi" w:cstheme="minorHAnsi"/>
      <w:sz w:val="18"/>
      <w:szCs w:val="18"/>
    </w:rPr>
  </w:style>
  <w:style w:type="paragraph" w:styleId="24">
    <w:name w:val="toc 2"/>
    <w:basedOn w:val="1"/>
    <w:next w:val="1"/>
    <w:qFormat/>
    <w:uiPriority w:val="39"/>
    <w:pPr>
      <w:ind w:left="340"/>
      <w:jc w:val="left"/>
    </w:pPr>
    <w:rPr>
      <w:rFonts w:asciiTheme="minorHAnsi" w:hAnsiTheme="minorHAnsi" w:cstheme="minorHAnsi"/>
      <w:smallCaps/>
      <w:sz w:val="20"/>
    </w:rPr>
  </w:style>
  <w:style w:type="paragraph" w:styleId="25">
    <w:name w:val="toc 9"/>
    <w:basedOn w:val="1"/>
    <w:next w:val="1"/>
    <w:qFormat/>
    <w:uiPriority w:val="39"/>
    <w:pPr>
      <w:ind w:left="2720"/>
      <w:jc w:val="left"/>
    </w:pPr>
    <w:rPr>
      <w:rFonts w:asciiTheme="minorHAnsi" w:hAnsiTheme="minorHAnsi" w:cstheme="minorHAnsi"/>
      <w:sz w:val="18"/>
      <w:szCs w:val="18"/>
    </w:rPr>
  </w:style>
  <w:style w:type="paragraph" w:styleId="26">
    <w:name w:val="Normal (Web)"/>
    <w:basedOn w:val="1"/>
    <w:qFormat/>
    <w:uiPriority w:val="0"/>
    <w:pPr>
      <w:widowControl/>
      <w:spacing w:beforeAutospacing="1" w:afterAutospacing="1"/>
      <w:jc w:val="left"/>
    </w:pPr>
    <w:rPr>
      <w:rFonts w:hAnsi="宋体"/>
      <w:sz w:val="18"/>
      <w:szCs w:val="18"/>
    </w:rPr>
  </w:style>
  <w:style w:type="paragraph" w:styleId="27">
    <w:name w:val="annotation subject"/>
    <w:basedOn w:val="10"/>
    <w:next w:val="10"/>
    <w:link w:val="58"/>
    <w:qFormat/>
    <w:uiPriority w:val="0"/>
    <w:rPr>
      <w:b/>
      <w:bCs/>
    </w:rPr>
  </w:style>
  <w:style w:type="paragraph" w:styleId="28">
    <w:name w:val="Body Text First Indent"/>
    <w:basedOn w:val="2"/>
    <w:qFormat/>
    <w:uiPriority w:val="0"/>
    <w:pPr>
      <w:ind w:firstLine="420" w:firstLineChars="100"/>
    </w:pPr>
  </w:style>
  <w:style w:type="table" w:styleId="30">
    <w:name w:val="Table Grid"/>
    <w:basedOn w:val="29"/>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32">
    <w:name w:val="Strong"/>
    <w:basedOn w:val="31"/>
    <w:qFormat/>
    <w:uiPriority w:val="0"/>
    <w:rPr>
      <w:b/>
      <w:bCs/>
    </w:rPr>
  </w:style>
  <w:style w:type="character" w:styleId="33">
    <w:name w:val="page number"/>
    <w:basedOn w:val="31"/>
    <w:qFormat/>
    <w:uiPriority w:val="0"/>
  </w:style>
  <w:style w:type="character" w:styleId="34">
    <w:name w:val="FollowedHyperlink"/>
    <w:basedOn w:val="31"/>
    <w:qFormat/>
    <w:uiPriority w:val="0"/>
    <w:rPr>
      <w:color w:val="800080"/>
      <w:u w:val="none"/>
    </w:rPr>
  </w:style>
  <w:style w:type="character" w:styleId="35">
    <w:name w:val="Emphasis"/>
    <w:basedOn w:val="31"/>
    <w:qFormat/>
    <w:uiPriority w:val="0"/>
    <w:rPr>
      <w:b/>
      <w:bCs/>
    </w:rPr>
  </w:style>
  <w:style w:type="character" w:styleId="36">
    <w:name w:val="HTML Definition"/>
    <w:basedOn w:val="31"/>
    <w:qFormat/>
    <w:uiPriority w:val="0"/>
  </w:style>
  <w:style w:type="character" w:styleId="37">
    <w:name w:val="HTML Typewriter"/>
    <w:basedOn w:val="31"/>
    <w:qFormat/>
    <w:uiPriority w:val="0"/>
    <w:rPr>
      <w:rFonts w:ascii="monospace" w:hAnsi="monospace" w:eastAsia="monospace" w:cs="monospace"/>
      <w:sz w:val="20"/>
    </w:rPr>
  </w:style>
  <w:style w:type="character" w:styleId="38">
    <w:name w:val="HTML Acronym"/>
    <w:basedOn w:val="31"/>
    <w:qFormat/>
    <w:uiPriority w:val="0"/>
  </w:style>
  <w:style w:type="character" w:styleId="39">
    <w:name w:val="HTML Variable"/>
    <w:basedOn w:val="31"/>
    <w:qFormat/>
    <w:uiPriority w:val="0"/>
  </w:style>
  <w:style w:type="character" w:styleId="40">
    <w:name w:val="Hyperlink"/>
    <w:basedOn w:val="31"/>
    <w:qFormat/>
    <w:uiPriority w:val="99"/>
    <w:rPr>
      <w:color w:val="0000FF"/>
      <w:u w:val="none"/>
    </w:rPr>
  </w:style>
  <w:style w:type="character" w:styleId="41">
    <w:name w:val="HTML Code"/>
    <w:basedOn w:val="31"/>
    <w:qFormat/>
    <w:uiPriority w:val="0"/>
    <w:rPr>
      <w:rFonts w:hint="default" w:ascii="monospace" w:hAnsi="monospace" w:eastAsia="monospace" w:cs="monospace"/>
      <w:sz w:val="20"/>
    </w:rPr>
  </w:style>
  <w:style w:type="character" w:styleId="42">
    <w:name w:val="annotation reference"/>
    <w:basedOn w:val="31"/>
    <w:qFormat/>
    <w:uiPriority w:val="0"/>
    <w:rPr>
      <w:sz w:val="21"/>
      <w:szCs w:val="21"/>
    </w:rPr>
  </w:style>
  <w:style w:type="character" w:styleId="43">
    <w:name w:val="HTML Cite"/>
    <w:basedOn w:val="31"/>
    <w:qFormat/>
    <w:uiPriority w:val="0"/>
  </w:style>
  <w:style w:type="character" w:styleId="44">
    <w:name w:val="HTML Keyboard"/>
    <w:basedOn w:val="31"/>
    <w:qFormat/>
    <w:uiPriority w:val="0"/>
    <w:rPr>
      <w:rFonts w:hint="default" w:ascii="monospace" w:hAnsi="monospace" w:eastAsia="monospace" w:cs="monospace"/>
      <w:sz w:val="20"/>
    </w:rPr>
  </w:style>
  <w:style w:type="character" w:styleId="45">
    <w:name w:val="HTML Sample"/>
    <w:basedOn w:val="31"/>
    <w:qFormat/>
    <w:uiPriority w:val="0"/>
    <w:rPr>
      <w:rFonts w:hint="default" w:ascii="monospace" w:hAnsi="monospace" w:eastAsia="monospace" w:cs="monospace"/>
    </w:rPr>
  </w:style>
  <w:style w:type="paragraph" w:customStyle="1" w:styleId="46">
    <w:name w:val="Body Text1"/>
    <w:basedOn w:val="1"/>
    <w:qFormat/>
    <w:uiPriority w:val="0"/>
    <w:pPr>
      <w:spacing w:after="120"/>
    </w:pPr>
  </w:style>
  <w:style w:type="paragraph" w:customStyle="1" w:styleId="47">
    <w:name w:val="Default"/>
    <w:qFormat/>
    <w:uiPriority w:val="0"/>
    <w:pPr>
      <w:widowControl w:val="0"/>
      <w:autoSpaceDE w:val="0"/>
      <w:autoSpaceDN w:val="0"/>
      <w:adjustRightInd w:val="0"/>
    </w:pPr>
    <w:rPr>
      <w:rFonts w:ascii="黑体" w:hAnsi="Calibri" w:eastAsia="黑体" w:cs="黑体"/>
      <w:color w:val="000000"/>
      <w:sz w:val="24"/>
      <w:szCs w:val="24"/>
      <w:lang w:val="en-US" w:eastAsia="zh-CN" w:bidi="ar-SA"/>
    </w:rPr>
  </w:style>
  <w:style w:type="paragraph" w:styleId="48">
    <w:name w:val="Quote"/>
    <w:basedOn w:val="1"/>
    <w:next w:val="1"/>
    <w:qFormat/>
    <w:uiPriority w:val="99"/>
    <w:pPr>
      <w:widowControl/>
      <w:wordWrap w:val="0"/>
      <w:spacing w:before="200" w:after="160"/>
      <w:ind w:left="864" w:right="864"/>
      <w:jc w:val="center"/>
    </w:pPr>
    <w:rPr>
      <w:rFonts w:ascii="Times New Roman"/>
      <w:i/>
    </w:rPr>
  </w:style>
  <w:style w:type="paragraph" w:customStyle="1" w:styleId="49">
    <w:name w:val="标题 5（有编号）（绿盟科技）"/>
    <w:basedOn w:val="1"/>
    <w:next w:val="50"/>
    <w:qFormat/>
    <w:uiPriority w:val="0"/>
    <w:pPr>
      <w:keepNext/>
      <w:keepLines/>
      <w:numPr>
        <w:ilvl w:val="4"/>
        <w:numId w:val="1"/>
      </w:numPr>
      <w:spacing w:before="280" w:after="156" w:line="377" w:lineRule="auto"/>
      <w:jc w:val="left"/>
      <w:outlineLvl w:val="4"/>
    </w:pPr>
    <w:rPr>
      <w:rFonts w:ascii="Arial" w:hAnsi="Arial" w:eastAsia="黑体"/>
      <w:b/>
      <w:sz w:val="24"/>
      <w:szCs w:val="28"/>
    </w:rPr>
  </w:style>
  <w:style w:type="paragraph" w:customStyle="1" w:styleId="50">
    <w:name w:val="正文（绿盟科技）"/>
    <w:qFormat/>
    <w:uiPriority w:val="0"/>
    <w:pPr>
      <w:spacing w:line="300" w:lineRule="auto"/>
    </w:pPr>
    <w:rPr>
      <w:rFonts w:ascii="Arial" w:hAnsi="Arial" w:eastAsia="宋体" w:cs="黑体"/>
      <w:sz w:val="21"/>
      <w:szCs w:val="21"/>
      <w:lang w:val="en-US" w:eastAsia="zh-CN" w:bidi="ar-SA"/>
    </w:rPr>
  </w:style>
  <w:style w:type="paragraph" w:customStyle="1" w:styleId="51">
    <w:name w:val="正文首行缩进两字符"/>
    <w:basedOn w:val="1"/>
    <w:qFormat/>
    <w:uiPriority w:val="0"/>
    <w:pPr>
      <w:spacing w:line="360" w:lineRule="auto"/>
      <w:ind w:firstLine="200" w:firstLineChars="200"/>
    </w:pPr>
  </w:style>
  <w:style w:type="paragraph" w:customStyle="1" w:styleId="52">
    <w:name w:val="样式"/>
    <w:qFormat/>
    <w:uiPriority w:val="0"/>
    <w:pPr>
      <w:widowControl w:val="0"/>
      <w:autoSpaceDE w:val="0"/>
      <w:autoSpaceDN w:val="0"/>
      <w:adjustRightInd w:val="0"/>
    </w:pPr>
    <w:rPr>
      <w:rFonts w:ascii="宋体" w:hAnsi="宋体" w:eastAsia="宋体" w:cs="宋体"/>
      <w:sz w:val="24"/>
      <w:szCs w:val="24"/>
      <w:lang w:val="en-US" w:eastAsia="zh-CN" w:bidi="ar-SA"/>
    </w:rPr>
  </w:style>
  <w:style w:type="paragraph" w:customStyle="1" w:styleId="53">
    <w:name w:val="样式 首行缩进:  2 字符"/>
    <w:basedOn w:val="1"/>
    <w:qFormat/>
    <w:uiPriority w:val="0"/>
    <w:pPr>
      <w:spacing w:line="400" w:lineRule="exact"/>
      <w:ind w:firstLine="200" w:firstLineChars="200"/>
    </w:pPr>
    <w:rPr>
      <w:rFonts w:cs="宋体"/>
      <w:sz w:val="24"/>
    </w:rPr>
  </w:style>
  <w:style w:type="paragraph" w:customStyle="1" w:styleId="54">
    <w:name w:val="正文1"/>
    <w:qFormat/>
    <w:uiPriority w:val="0"/>
    <w:pPr>
      <w:widowControl w:val="0"/>
      <w:adjustRightInd w:val="0"/>
      <w:spacing w:line="312" w:lineRule="atLeast"/>
      <w:jc w:val="both"/>
      <w:textAlignment w:val="baseline"/>
    </w:pPr>
    <w:rPr>
      <w:rFonts w:ascii="宋体" w:hAnsi="Times New Roman" w:eastAsia="宋体" w:cs="Times New Roman"/>
      <w:sz w:val="34"/>
      <w:lang w:val="en-US" w:eastAsia="zh-CN" w:bidi="ar-SA"/>
    </w:rPr>
  </w:style>
  <w:style w:type="character" w:customStyle="1" w:styleId="55">
    <w:name w:val="批注框文本 Char"/>
    <w:basedOn w:val="31"/>
    <w:link w:val="17"/>
    <w:qFormat/>
    <w:uiPriority w:val="0"/>
    <w:rPr>
      <w:rFonts w:ascii="宋体" w:hAnsi="Times New Roman" w:eastAsia="宋体" w:cs="Times New Roman"/>
      <w:sz w:val="18"/>
      <w:szCs w:val="18"/>
    </w:rPr>
  </w:style>
  <w:style w:type="character" w:customStyle="1" w:styleId="56">
    <w:name w:val="文档结构图 Char"/>
    <w:basedOn w:val="31"/>
    <w:link w:val="9"/>
    <w:qFormat/>
    <w:uiPriority w:val="0"/>
    <w:rPr>
      <w:rFonts w:ascii="宋体" w:hAnsi="Times New Roman" w:eastAsia="宋体" w:cs="Times New Roman"/>
      <w:sz w:val="18"/>
      <w:szCs w:val="18"/>
    </w:rPr>
  </w:style>
  <w:style w:type="character" w:customStyle="1" w:styleId="57">
    <w:name w:val="批注文字 Char"/>
    <w:basedOn w:val="31"/>
    <w:link w:val="10"/>
    <w:qFormat/>
    <w:uiPriority w:val="99"/>
    <w:rPr>
      <w:rFonts w:ascii="宋体" w:hAnsi="Times New Roman" w:eastAsia="宋体" w:cs="Times New Roman"/>
      <w:sz w:val="34"/>
    </w:rPr>
  </w:style>
  <w:style w:type="character" w:customStyle="1" w:styleId="58">
    <w:name w:val="批注主题 Char"/>
    <w:basedOn w:val="57"/>
    <w:link w:val="27"/>
    <w:qFormat/>
    <w:uiPriority w:val="0"/>
    <w:rPr>
      <w:rFonts w:ascii="宋体" w:hAnsi="Times New Roman" w:eastAsia="宋体" w:cs="Times New Roman"/>
      <w:sz w:val="34"/>
    </w:rPr>
  </w:style>
  <w:style w:type="paragraph" w:customStyle="1" w:styleId="59">
    <w:name w:val="Table Paragraph"/>
    <w:basedOn w:val="1"/>
    <w:qFormat/>
    <w:uiPriority w:val="1"/>
    <w:rPr>
      <w:rFonts w:ascii="仿宋" w:hAnsi="仿宋" w:eastAsia="仿宋" w:cs="仿宋"/>
      <w:lang w:val="zh-CN" w:bidi="zh-CN"/>
    </w:rPr>
  </w:style>
  <w:style w:type="paragraph" w:customStyle="1" w:styleId="60">
    <w:name w:val="正文 A"/>
    <w:qFormat/>
    <w:uiPriority w:val="0"/>
    <w:pPr>
      <w:widowControl w:val="0"/>
      <w:jc w:val="both"/>
    </w:pPr>
    <w:rPr>
      <w:rFonts w:ascii="宋体" w:hAnsi="宋体" w:eastAsia="宋体" w:cs="宋体"/>
      <w:color w:val="000000"/>
      <w:sz w:val="34"/>
      <w:szCs w:val="34"/>
      <w:u w:color="000000"/>
      <w:lang w:val="en-US" w:eastAsia="zh-CN" w:bidi="ar-SA"/>
    </w:rPr>
  </w:style>
  <w:style w:type="character" w:customStyle="1" w:styleId="61">
    <w:name w:val="无"/>
    <w:qFormat/>
    <w:uiPriority w:val="0"/>
  </w:style>
  <w:style w:type="paragraph" w:styleId="62">
    <w:name w:val="List Paragraph"/>
    <w:basedOn w:val="1"/>
    <w:qFormat/>
    <w:uiPriority w:val="34"/>
    <w:pPr>
      <w:ind w:firstLine="420" w:firstLineChars="200"/>
    </w:pPr>
  </w:style>
  <w:style w:type="character" w:customStyle="1" w:styleId="63">
    <w:name w:val="font31"/>
    <w:qFormat/>
    <w:uiPriority w:val="0"/>
    <w:rPr>
      <w:rFonts w:hint="eastAsia" w:ascii="宋体" w:hAnsi="宋体" w:eastAsia="宋体" w:cs="宋体"/>
      <w:color w:val="000000"/>
      <w:sz w:val="21"/>
      <w:szCs w:val="21"/>
      <w:u w:val="none"/>
    </w:rPr>
  </w:style>
  <w:style w:type="character" w:customStyle="1" w:styleId="64">
    <w:name w:val="页脚 Char"/>
    <w:basedOn w:val="31"/>
    <w:link w:val="18"/>
    <w:qFormat/>
    <w:uiPriority w:val="99"/>
    <w:rPr>
      <w:rFonts w:ascii="宋体"/>
      <w:sz w:val="18"/>
    </w:rPr>
  </w:style>
  <w:style w:type="character" w:customStyle="1" w:styleId="65">
    <w:name w:val="正文文本 Char"/>
    <w:basedOn w:val="31"/>
    <w:link w:val="2"/>
    <w:qFormat/>
    <w:uiPriority w:val="0"/>
    <w:rPr>
      <w:rFonts w:ascii="宋体"/>
      <w:sz w:val="34"/>
    </w:rPr>
  </w:style>
  <w:style w:type="character" w:customStyle="1" w:styleId="66">
    <w:name w:val="标题 1 Char"/>
    <w:basedOn w:val="31"/>
    <w:link w:val="3"/>
    <w:qFormat/>
    <w:uiPriority w:val="0"/>
    <w:rPr>
      <w:rFonts w:ascii="宋体"/>
      <w:b/>
      <w:bCs/>
      <w:kern w:val="44"/>
      <w:sz w:val="44"/>
      <w:szCs w:val="44"/>
    </w:rPr>
  </w:style>
  <w:style w:type="character" w:customStyle="1" w:styleId="67">
    <w:name w:val="标题 2 Char"/>
    <w:basedOn w:val="31"/>
    <w:link w:val="4"/>
    <w:qFormat/>
    <w:uiPriority w:val="0"/>
    <w:rPr>
      <w:rFonts w:ascii="Arial" w:hAnsi="Arial" w:eastAsia="黑体"/>
      <w:b/>
      <w:bCs/>
      <w:sz w:val="32"/>
      <w:szCs w:val="32"/>
    </w:rPr>
  </w:style>
  <w:style w:type="character" w:customStyle="1" w:styleId="68">
    <w:name w:val="标题 3 Char"/>
    <w:basedOn w:val="31"/>
    <w:link w:val="5"/>
    <w:qFormat/>
    <w:uiPriority w:val="0"/>
    <w:rPr>
      <w:rFonts w:ascii="宋体"/>
      <w:b/>
      <w:bCs/>
      <w:sz w:val="32"/>
      <w:szCs w:val="32"/>
    </w:rPr>
  </w:style>
  <w:style w:type="character" w:customStyle="1" w:styleId="69">
    <w:name w:val="副标题 Char"/>
    <w:basedOn w:val="31"/>
    <w:link w:val="22"/>
    <w:qFormat/>
    <w:uiPriority w:val="0"/>
    <w:rPr>
      <w:rFonts w:ascii="Arial" w:hAnsi="Arial" w:cs="Arial"/>
      <w:b/>
      <w:bCs/>
      <w:kern w:val="28"/>
      <w:sz w:val="32"/>
      <w:szCs w:val="32"/>
    </w:rPr>
  </w:style>
  <w:style w:type="character" w:customStyle="1" w:styleId="70">
    <w:name w:val="正文文本缩进 2 Char"/>
    <w:basedOn w:val="31"/>
    <w:link w:val="16"/>
    <w:qFormat/>
    <w:uiPriority w:val="0"/>
    <w:rPr>
      <w:rFonts w:ascii="宋体"/>
      <w:sz w:val="34"/>
    </w:rPr>
  </w:style>
  <w:style w:type="character" w:customStyle="1" w:styleId="71">
    <w:name w:val="页眉 Char"/>
    <w:basedOn w:val="31"/>
    <w:link w:val="19"/>
    <w:qFormat/>
    <w:uiPriority w:val="0"/>
    <w:rPr>
      <w:rFonts w:ascii="宋体"/>
      <w:sz w:val="18"/>
    </w:rPr>
  </w:style>
  <w:style w:type="paragraph" w:customStyle="1" w:styleId="72">
    <w:name w:val="List Paragraph1"/>
    <w:basedOn w:val="1"/>
    <w:qFormat/>
    <w:uiPriority w:val="99"/>
    <w:pPr>
      <w:ind w:firstLine="420" w:firstLineChars="200"/>
    </w:pPr>
  </w:style>
  <w:style w:type="paragraph" w:customStyle="1" w:styleId="73">
    <w:name w:val="正文文本 (2)1"/>
    <w:basedOn w:val="1"/>
    <w:qFormat/>
    <w:uiPriority w:val="0"/>
    <w:pPr>
      <w:shd w:val="clear" w:color="auto" w:fill="FFFFFF"/>
      <w:spacing w:before="360" w:after="60" w:line="470" w:lineRule="exact"/>
      <w:ind w:hanging="680"/>
    </w:pPr>
    <w:rPr>
      <w:sz w:val="22"/>
      <w:szCs w:val="22"/>
    </w:rPr>
  </w:style>
  <w:style w:type="character" w:customStyle="1" w:styleId="74">
    <w:name w:val="标题 #2"/>
    <w:basedOn w:val="75"/>
    <w:qFormat/>
    <w:uiPriority w:val="0"/>
    <w:rPr>
      <w:rFonts w:cs="Times New Roman"/>
      <w:color w:val="auto"/>
      <w:spacing w:val="0"/>
      <w:sz w:val="34"/>
      <w:szCs w:val="34"/>
      <w:lang w:val="en-US" w:eastAsia="zh-CN"/>
    </w:rPr>
  </w:style>
  <w:style w:type="character" w:customStyle="1" w:styleId="75">
    <w:name w:val="标题 #2_"/>
    <w:basedOn w:val="31"/>
    <w:link w:val="76"/>
    <w:qFormat/>
    <w:uiPriority w:val="0"/>
    <w:rPr>
      <w:szCs w:val="34"/>
    </w:rPr>
  </w:style>
  <w:style w:type="paragraph" w:customStyle="1" w:styleId="76">
    <w:name w:val="标题 #21"/>
    <w:basedOn w:val="1"/>
    <w:link w:val="75"/>
    <w:qFormat/>
    <w:uiPriority w:val="0"/>
    <w:pPr>
      <w:shd w:val="clear" w:color="auto" w:fill="FFFFFF"/>
      <w:spacing w:after="360" w:line="240" w:lineRule="atLeast"/>
      <w:jc w:val="distribute"/>
      <w:outlineLvl w:val="1"/>
    </w:pPr>
    <w:rPr>
      <w:szCs w:val="34"/>
    </w:rPr>
  </w:style>
  <w:style w:type="character" w:customStyle="1" w:styleId="77">
    <w:name w:val="标题 4 Char"/>
    <w:link w:val="6"/>
    <w:qFormat/>
    <w:uiPriority w:val="0"/>
    <w:rPr>
      <w:rFonts w:ascii="Times New Roman"/>
      <w:b/>
      <w:bCs/>
      <w:sz w:val="28"/>
      <w:szCs w:val="28"/>
    </w:rPr>
  </w:style>
  <w:style w:type="character" w:customStyle="1" w:styleId="78">
    <w:name w:val="font01"/>
    <w:basedOn w:val="31"/>
    <w:qFormat/>
    <w:uiPriority w:val="0"/>
    <w:rPr>
      <w:rFonts w:ascii="宋体" w:eastAsia="宋体" w:cs="宋体"/>
      <w:color w:val="FF0000"/>
      <w:sz w:val="21"/>
      <w:szCs w:val="21"/>
      <w:u w:val="none"/>
      <w:lang w:bidi="ar-SA"/>
    </w:rPr>
  </w:style>
  <w:style w:type="paragraph" w:customStyle="1" w:styleId="79">
    <w:name w:val="CD正文"/>
    <w:basedOn w:val="1"/>
    <w:qFormat/>
    <w:uiPriority w:val="0"/>
    <w:pPr>
      <w:spacing w:line="360" w:lineRule="auto"/>
      <w:ind w:firstLine="493"/>
    </w:pPr>
    <w:rPr>
      <w:sz w:val="30"/>
      <w:szCs w:val="28"/>
    </w:rPr>
  </w:style>
  <w:style w:type="character" w:customStyle="1" w:styleId="80">
    <w:name w:val="hover1"/>
    <w:basedOn w:val="31"/>
    <w:qFormat/>
    <w:uiPriority w:val="0"/>
  </w:style>
  <w:style w:type="character" w:customStyle="1" w:styleId="81">
    <w:name w:val="hover2"/>
    <w:basedOn w:val="31"/>
    <w:qFormat/>
    <w:uiPriority w:val="0"/>
    <w:rPr>
      <w:color w:val="2590EB"/>
    </w:rPr>
  </w:style>
  <w:style w:type="character" w:customStyle="1" w:styleId="82">
    <w:name w:val="hover3"/>
    <w:basedOn w:val="31"/>
    <w:qFormat/>
    <w:uiPriority w:val="0"/>
    <w:rPr>
      <w:color w:val="2590EB"/>
    </w:rPr>
  </w:style>
  <w:style w:type="character" w:customStyle="1" w:styleId="83">
    <w:name w:val="mini-outputtext1"/>
    <w:basedOn w:val="31"/>
    <w:qFormat/>
    <w:uiPriority w:val="0"/>
  </w:style>
  <w:style w:type="character" w:customStyle="1" w:styleId="84">
    <w:name w:val="hover"/>
    <w:basedOn w:val="31"/>
    <w:qFormat/>
    <w:uiPriority w:val="0"/>
  </w:style>
  <w:style w:type="paragraph" w:customStyle="1" w:styleId="85">
    <w:name w:val="首行缩进"/>
    <w:basedOn w:val="1"/>
    <w:qFormat/>
    <w:uiPriority w:val="0"/>
    <w:pPr>
      <w:ind w:firstLine="480" w:firstLineChars="200"/>
    </w:p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4" Type="http://schemas.openxmlformats.org/officeDocument/2006/relationships/fontTable" Target="fontTable.xml"/><Relationship Id="rId33" Type="http://schemas.openxmlformats.org/officeDocument/2006/relationships/customXml" Target="../customXml/item2.xml"/><Relationship Id="rId32" Type="http://schemas.openxmlformats.org/officeDocument/2006/relationships/numbering" Target="numbering.xml"/><Relationship Id="rId31" Type="http://schemas.openxmlformats.org/officeDocument/2006/relationships/customXml" Target="../customXml/item1.xml"/><Relationship Id="rId30" Type="http://schemas.openxmlformats.org/officeDocument/2006/relationships/image" Target="media/image13.png"/><Relationship Id="rId3" Type="http://schemas.openxmlformats.org/officeDocument/2006/relationships/header" Target="header1.xml"/><Relationship Id="rId29" Type="http://schemas.openxmlformats.org/officeDocument/2006/relationships/image" Target="media/image12.png"/><Relationship Id="rId28" Type="http://schemas.openxmlformats.org/officeDocument/2006/relationships/image" Target="media/image11.png"/><Relationship Id="rId27" Type="http://schemas.openxmlformats.org/officeDocument/2006/relationships/image" Target="media/image10.png"/><Relationship Id="rId26" Type="http://schemas.openxmlformats.org/officeDocument/2006/relationships/image" Target="media/image9.png"/><Relationship Id="rId25" Type="http://schemas.openxmlformats.org/officeDocument/2006/relationships/image" Target="media/image8.png"/><Relationship Id="rId24" Type="http://schemas.openxmlformats.org/officeDocument/2006/relationships/image" Target="media/image7.png"/><Relationship Id="rId23" Type="http://schemas.openxmlformats.org/officeDocument/2006/relationships/image" Target="media/image6.png"/><Relationship Id="rId22" Type="http://schemas.openxmlformats.org/officeDocument/2006/relationships/image" Target="media/image5.png"/><Relationship Id="rId21" Type="http://schemas.openxmlformats.org/officeDocument/2006/relationships/image" Target="media/image4.png"/><Relationship Id="rId20" Type="http://schemas.openxmlformats.org/officeDocument/2006/relationships/image" Target="media/image3.png"/><Relationship Id="rId2" Type="http://schemas.openxmlformats.org/officeDocument/2006/relationships/settings" Target="settings.xml"/><Relationship Id="rId19" Type="http://schemas.openxmlformats.org/officeDocument/2006/relationships/image" Target="media/image2.png"/><Relationship Id="rId18" Type="http://schemas.openxmlformats.org/officeDocument/2006/relationships/theme" Target="theme/theme1.xml"/><Relationship Id="rId17" Type="http://schemas.openxmlformats.org/officeDocument/2006/relationships/footer" Target="footer8.xml"/><Relationship Id="rId16" Type="http://schemas.openxmlformats.org/officeDocument/2006/relationships/footer" Target="footer7.xml"/><Relationship Id="rId15" Type="http://schemas.openxmlformats.org/officeDocument/2006/relationships/footer" Target="footer6.xml"/><Relationship Id="rId14" Type="http://schemas.openxmlformats.org/officeDocument/2006/relationships/header" Target="header7.xml"/><Relationship Id="rId13" Type="http://schemas.openxmlformats.org/officeDocument/2006/relationships/header" Target="header6.xml"/><Relationship Id="rId12" Type="http://schemas.openxmlformats.org/officeDocument/2006/relationships/footer" Target="footer5.xml"/><Relationship Id="rId11" Type="http://schemas.openxmlformats.org/officeDocument/2006/relationships/footer" Target="footer4.xml"/><Relationship Id="rId10" Type="http://schemas.openxmlformats.org/officeDocument/2006/relationships/header" Target="header5.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file:///C:\Users\ADMINI~1\AppData\Local\Temp\ksohtml\wpsAFE4.tmp.png" TargetMode="External"/><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2" Type="http://schemas.openxmlformats.org/officeDocument/2006/relationships/image" Target="file:///C:\Users\ADMINI~1\AppData\Local\Temp\ksohtml\wpsAFE4.tmp.png" TargetMode="External"/><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2" Type="http://schemas.openxmlformats.org/officeDocument/2006/relationships/image" Target="file:///C:\Users\ADMINI~1\AppData\Local\Temp\ksohtml\wpsAFE4.tmp.png" TargetMode="External"/><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2" Type="http://schemas.openxmlformats.org/officeDocument/2006/relationships/image" Target="file:///C:\Users\ADMINI~1\AppData\Local\Temp\ksohtml\wpsAFE4.tmp.png" TargetMode="External"/><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2" Type="http://schemas.openxmlformats.org/officeDocument/2006/relationships/image" Target="file:///C:\Users\ADMINI~1\AppData\Local\Temp\ksohtml\wpsAFE4.tmp.png" TargetMode="External"/><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3074"/>
    <customShpInfo spid="_x0000_s1026"/>
    <customShpInfo spid="_x0000_s3073"/>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AF2927B-5222-41DF-9D72-BF9F9459A011}">
  <ds:schemaRefs/>
</ds:datastoreItem>
</file>

<file path=docProps/app.xml><?xml version="1.0" encoding="utf-8"?>
<Properties xmlns="http://schemas.openxmlformats.org/officeDocument/2006/extended-properties" xmlns:vt="http://schemas.openxmlformats.org/officeDocument/2006/docPropsVTypes">
  <Template>Normal.dotm</Template>
  <Company>Sky123.Org</Company>
  <Pages>103</Pages>
  <Words>22833</Words>
  <Characters>24081</Characters>
  <Lines>384</Lines>
  <Paragraphs>108</Paragraphs>
  <TotalTime>3</TotalTime>
  <ScaleCrop>false</ScaleCrop>
  <LinksUpToDate>false</LinksUpToDate>
  <CharactersWithSpaces>24380</CharactersWithSpaces>
  <Application>WPS Office_12.1.0.18608_F1E327BC-269C-435d-A152-05C5408002CA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2023-10-24T09:00:00Z</dcterms:created>
  <dc:creator>伽侞</dc:creator>
  <cp:lastModifiedBy>李春梅</cp:lastModifiedBy>
  <dcterms:modified xsi:type="dcterms:W3CDTF">2024-10-21T06:08:06Z</dcterms:modified>
  <cp:revision>49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2052-12.1.0.18608</vt:lpwstr>
  </property>
  <property fmtid="{D5CDD505-2E9C-101B-9397-08002B2CF9AE}" pid="3" name="ICV">
    <vt:lpwstr>1ABD6F235E3D44E5B4B69CCE22972B19_13</vt:lpwstr>
  </property>
</Properties>
</file>