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800" w:lineRule="exact"/>
        <w:jc w:val="center"/>
        <w:rPr>
          <w:rFonts w:hint="eastAsia" w:ascii="宋体" w:hAnsi="宋体" w:cs="宋体"/>
          <w:b/>
          <w:bCs/>
          <w:color w:val="auto"/>
          <w:spacing w:val="-11"/>
          <w:kern w:val="0"/>
          <w:sz w:val="48"/>
          <w:szCs w:val="4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900" w:lineRule="exact"/>
        <w:jc w:val="center"/>
        <w:textAlignment w:val="auto"/>
        <w:rPr>
          <w:rFonts w:hint="default" w:ascii="宋体" w:hAnsi="宋体" w:cs="宋体"/>
          <w:b/>
          <w:bCs/>
          <w:color w:val="auto"/>
          <w:spacing w:val="-11"/>
          <w:kern w:val="0"/>
          <w:sz w:val="48"/>
          <w:szCs w:val="48"/>
          <w:highlight w:val="none"/>
          <w:lang w:val="en-US" w:eastAsia="zh-CN" w:bidi="ar"/>
        </w:rPr>
      </w:pPr>
      <w:r>
        <w:rPr>
          <w:rFonts w:hint="eastAsia" w:ascii="宋体" w:hAnsi="宋体" w:cs="宋体"/>
          <w:b/>
          <w:bCs/>
          <w:color w:val="auto"/>
          <w:spacing w:val="-11"/>
          <w:kern w:val="0"/>
          <w:sz w:val="48"/>
          <w:szCs w:val="48"/>
          <w:highlight w:val="none"/>
          <w:lang w:val="en-US" w:eastAsia="zh-CN" w:bidi="ar"/>
        </w:rPr>
        <w:t>衢州智慧新城2024-2025年度规划类项目技术服务项目</w:t>
      </w:r>
    </w:p>
    <w:p>
      <w:pPr>
        <w:pStyle w:val="6"/>
        <w:ind w:firstLine="210"/>
        <w:rPr>
          <w:rFonts w:ascii="宋体" w:hAnsi="宋体" w:cs="宋体"/>
          <w:highlight w:val="none"/>
        </w:rPr>
      </w:pPr>
    </w:p>
    <w:p>
      <w:pPr>
        <w:rPr>
          <w:rFonts w:ascii="宋体" w:hAnsi="宋体" w:cs="宋体"/>
          <w:highlight w:val="none"/>
        </w:rPr>
      </w:pPr>
    </w:p>
    <w:p>
      <w:pPr>
        <w:pStyle w:val="6"/>
        <w:ind w:firstLine="210"/>
        <w:rPr>
          <w:rFonts w:ascii="宋体" w:hAnsi="宋体" w:cs="宋体"/>
          <w:highlight w:val="none"/>
        </w:rPr>
      </w:pPr>
    </w:p>
    <w:p>
      <w:pPr>
        <w:rPr>
          <w:rFonts w:ascii="宋体" w:hAnsi="宋体" w:cs="宋体"/>
          <w:highlight w:val="none"/>
        </w:rPr>
      </w:pPr>
    </w:p>
    <w:p>
      <w:pPr>
        <w:rPr>
          <w:rFonts w:ascii="宋体" w:hAnsi="宋体" w:cs="宋体"/>
          <w:highlight w:val="none"/>
        </w:rPr>
      </w:pPr>
    </w:p>
    <w:p>
      <w:pPr>
        <w:pStyle w:val="6"/>
        <w:ind w:firstLine="210"/>
        <w:rPr>
          <w:rFonts w:ascii="宋体" w:hAnsi="宋体" w:cs="宋体"/>
          <w:highlight w:val="none"/>
        </w:rPr>
      </w:pPr>
    </w:p>
    <w:p>
      <w:pPr>
        <w:snapToGrid w:val="0"/>
        <w:spacing w:line="360" w:lineRule="auto"/>
        <w:jc w:val="center"/>
        <w:rPr>
          <w:rFonts w:ascii="宋体" w:hAnsi="宋体" w:cs="宋体"/>
          <w:b/>
          <w:bCs/>
          <w:sz w:val="52"/>
          <w:szCs w:val="52"/>
          <w:highlight w:val="none"/>
        </w:rPr>
      </w:pPr>
      <w:r>
        <w:rPr>
          <w:rFonts w:hint="eastAsia" w:ascii="宋体" w:hAnsi="宋体" w:cs="宋体"/>
          <w:b/>
          <w:bCs/>
          <w:sz w:val="52"/>
          <w:szCs w:val="52"/>
          <w:highlight w:val="none"/>
        </w:rPr>
        <w:t>采购文件</w:t>
      </w:r>
    </w:p>
    <w:p>
      <w:pPr>
        <w:pStyle w:val="6"/>
        <w:ind w:firstLine="210"/>
        <w:rPr>
          <w:rFonts w:ascii="宋体" w:hAnsi="宋体" w:cs="宋体"/>
          <w:highlight w:val="none"/>
        </w:rPr>
      </w:pPr>
    </w:p>
    <w:p>
      <w:pPr>
        <w:rPr>
          <w:rFonts w:ascii="宋体" w:hAnsi="宋体" w:cs="宋体"/>
          <w:highlight w:val="none"/>
        </w:rPr>
      </w:pPr>
    </w:p>
    <w:p>
      <w:pPr>
        <w:pStyle w:val="6"/>
        <w:ind w:firstLine="210"/>
        <w:rPr>
          <w:rFonts w:ascii="宋体" w:hAnsi="宋体" w:cs="宋体"/>
          <w:highlight w:val="none"/>
        </w:rPr>
      </w:pPr>
    </w:p>
    <w:p>
      <w:pPr>
        <w:rPr>
          <w:rFonts w:ascii="宋体" w:hAnsi="宋体" w:cs="宋体"/>
          <w:highlight w:val="none"/>
        </w:rPr>
      </w:pPr>
    </w:p>
    <w:p>
      <w:pPr>
        <w:pStyle w:val="6"/>
        <w:ind w:firstLine="210"/>
        <w:rPr>
          <w:rFonts w:ascii="宋体" w:hAnsi="宋体" w:cs="宋体"/>
          <w:highlight w:val="none"/>
        </w:rPr>
      </w:pPr>
    </w:p>
    <w:p>
      <w:pPr>
        <w:pStyle w:val="6"/>
        <w:ind w:firstLine="210"/>
        <w:rPr>
          <w:rFonts w:ascii="宋体" w:hAnsi="宋体" w:cs="宋体"/>
          <w:highlight w:val="none"/>
        </w:rPr>
      </w:pPr>
    </w:p>
    <w:p>
      <w:pPr>
        <w:rPr>
          <w:rFonts w:ascii="宋体" w:hAnsi="宋体" w:cs="宋体"/>
          <w:highlight w:val="none"/>
        </w:rPr>
      </w:pPr>
    </w:p>
    <w:p>
      <w:pPr>
        <w:pStyle w:val="8"/>
        <w:rPr>
          <w:rFonts w:ascii="宋体" w:hAnsi="宋体" w:cs="宋体"/>
          <w:highlight w:val="none"/>
        </w:rPr>
      </w:pPr>
    </w:p>
    <w:p>
      <w:pPr>
        <w:pStyle w:val="8"/>
        <w:rPr>
          <w:rFonts w:ascii="宋体" w:hAnsi="宋体" w:cs="宋体"/>
          <w:highlight w:val="none"/>
        </w:rPr>
      </w:pPr>
    </w:p>
    <w:p>
      <w:pPr>
        <w:spacing w:line="360" w:lineRule="auto"/>
        <w:jc w:val="center"/>
        <w:rPr>
          <w:rFonts w:ascii="宋体" w:hAnsi="宋体" w:cs="宋体"/>
          <w:sz w:val="30"/>
          <w:szCs w:val="30"/>
          <w:highlight w:val="none"/>
          <w:u w:val="single"/>
        </w:rPr>
      </w:pPr>
      <w:r>
        <w:rPr>
          <w:rFonts w:hint="eastAsia" w:ascii="宋体" w:hAnsi="宋体" w:cs="宋体"/>
          <w:sz w:val="30"/>
          <w:szCs w:val="30"/>
          <w:highlight w:val="none"/>
        </w:rPr>
        <w:t>采  购  人：</w:t>
      </w:r>
      <w:r>
        <w:rPr>
          <w:rFonts w:hint="eastAsia" w:ascii="宋体" w:hAnsi="宋体" w:cs="宋体"/>
          <w:sz w:val="30"/>
          <w:szCs w:val="30"/>
          <w:highlight w:val="none"/>
          <w:u w:val="single"/>
        </w:rPr>
        <w:t xml:space="preserve">   </w:t>
      </w:r>
      <w:r>
        <w:rPr>
          <w:rFonts w:hint="eastAsia" w:hAnsi="仿宋_GB2312" w:cs="仿宋_GB2312"/>
          <w:bCs/>
          <w:color w:val="auto"/>
          <w:sz w:val="30"/>
          <w:szCs w:val="30"/>
          <w:highlight w:val="none"/>
          <w:u w:val="single"/>
          <w:lang w:eastAsia="zh-CN"/>
        </w:rPr>
        <w:t>衢州智慧新城管理委员会</w:t>
      </w:r>
      <w:r>
        <w:rPr>
          <w:rFonts w:hint="eastAsia" w:ascii="宋体" w:hAnsi="宋体" w:cs="宋体"/>
          <w:sz w:val="30"/>
          <w:szCs w:val="30"/>
          <w:highlight w:val="none"/>
          <w:u w:val="single"/>
        </w:rPr>
        <w:t xml:space="preserve">     （盖章）</w:t>
      </w:r>
    </w:p>
    <w:p>
      <w:pPr>
        <w:spacing w:line="360" w:lineRule="auto"/>
        <w:rPr>
          <w:rFonts w:ascii="宋体" w:hAnsi="宋体" w:cs="宋体"/>
          <w:sz w:val="30"/>
          <w:szCs w:val="30"/>
          <w:highlight w:val="none"/>
        </w:rPr>
      </w:pPr>
    </w:p>
    <w:p>
      <w:pPr>
        <w:spacing w:line="360" w:lineRule="auto"/>
        <w:jc w:val="center"/>
        <w:rPr>
          <w:rFonts w:ascii="宋体" w:hAnsi="宋体" w:cs="宋体"/>
          <w:sz w:val="30"/>
          <w:szCs w:val="30"/>
          <w:highlight w:val="none"/>
          <w:u w:val="single"/>
        </w:rPr>
      </w:pPr>
      <w:r>
        <w:rPr>
          <w:rFonts w:hint="eastAsia" w:ascii="宋体" w:hAnsi="宋体" w:cs="宋体"/>
          <w:sz w:val="30"/>
          <w:szCs w:val="30"/>
          <w:highlight w:val="none"/>
        </w:rPr>
        <w:t>采购代理机构：</w:t>
      </w:r>
      <w:r>
        <w:rPr>
          <w:rFonts w:hint="eastAsia" w:ascii="宋体" w:hAnsi="宋体" w:cs="宋体"/>
          <w:sz w:val="30"/>
          <w:szCs w:val="30"/>
          <w:highlight w:val="none"/>
          <w:u w:val="single"/>
        </w:rPr>
        <w:t xml:space="preserve">    </w:t>
      </w:r>
      <w:r>
        <w:rPr>
          <w:rFonts w:hint="eastAsia" w:hAnsi="仿宋_GB2312" w:cs="仿宋_GB2312"/>
          <w:bCs/>
          <w:color w:val="auto"/>
          <w:sz w:val="30"/>
          <w:szCs w:val="30"/>
          <w:highlight w:val="none"/>
          <w:u w:val="single"/>
          <w:lang w:eastAsia="zh-CN"/>
        </w:rPr>
        <w:t xml:space="preserve">浙江展图工程咨询有限公司 </w:t>
      </w:r>
      <w:r>
        <w:rPr>
          <w:rFonts w:hint="eastAsia" w:ascii="宋体" w:hAnsi="宋体" w:cs="宋体"/>
          <w:sz w:val="30"/>
          <w:szCs w:val="30"/>
          <w:highlight w:val="none"/>
          <w:u w:val="single"/>
        </w:rPr>
        <w:t xml:space="preserve"> （盖章）</w:t>
      </w:r>
    </w:p>
    <w:p>
      <w:pPr>
        <w:spacing w:line="360" w:lineRule="auto"/>
        <w:jc w:val="left"/>
        <w:rPr>
          <w:rFonts w:ascii="宋体" w:hAnsi="宋体" w:cs="宋体"/>
          <w:sz w:val="32"/>
          <w:szCs w:val="32"/>
          <w:highlight w:val="none"/>
        </w:rPr>
      </w:pPr>
    </w:p>
    <w:p>
      <w:pPr>
        <w:rPr>
          <w:rFonts w:ascii="宋体" w:hAnsi="宋体" w:cs="宋体"/>
          <w:sz w:val="32"/>
          <w:szCs w:val="32"/>
          <w:highlight w:val="none"/>
          <w:u w:val="single"/>
        </w:rPr>
      </w:pPr>
    </w:p>
    <w:p>
      <w:pPr>
        <w:jc w:val="center"/>
        <w:rPr>
          <w:rFonts w:ascii="宋体" w:hAnsi="宋体" w:cs="宋体"/>
          <w:sz w:val="32"/>
          <w:szCs w:val="32"/>
          <w:highlight w:val="none"/>
        </w:rPr>
      </w:pP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val="en-US" w:eastAsia="zh-CN"/>
        </w:rPr>
        <w:t>2024</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val="en-US" w:eastAsia="zh-CN"/>
        </w:rPr>
        <w:t>11</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p>
    <w:p>
      <w:pPr>
        <w:pStyle w:val="6"/>
        <w:ind w:firstLine="320"/>
        <w:rPr>
          <w:rFonts w:ascii="宋体" w:hAnsi="宋体" w:cs="宋体"/>
          <w:sz w:val="32"/>
          <w:szCs w:val="32"/>
          <w:highlight w:val="none"/>
        </w:rPr>
      </w:pPr>
    </w:p>
    <w:p>
      <w:pPr>
        <w:rPr>
          <w:rFonts w:ascii="宋体" w:hAnsi="宋体" w:cs="宋体"/>
          <w:sz w:val="32"/>
          <w:szCs w:val="32"/>
          <w:highlight w:val="none"/>
        </w:rPr>
        <w:sectPr>
          <w:pgSz w:w="11906" w:h="16838"/>
          <w:pgMar w:top="1440" w:right="1803" w:bottom="1440" w:left="1803" w:header="851" w:footer="850" w:gutter="0"/>
          <w:pgNumType w:fmt="decimal" w:start="1"/>
          <w:cols w:space="0" w:num="1"/>
          <w:rtlGutter w:val="0"/>
          <w:docGrid w:type="lines" w:linePitch="312" w:charSpace="0"/>
        </w:sectPr>
      </w:pPr>
    </w:p>
    <w:p>
      <w:pPr>
        <w:pStyle w:val="2"/>
        <w:rPr>
          <w:highlight w:val="none"/>
        </w:rPr>
      </w:pPr>
    </w:p>
    <w:sdt>
      <w:sdtPr>
        <w:rPr>
          <w:rFonts w:ascii="宋体" w:hAnsi="宋体"/>
          <w:sz w:val="44"/>
          <w:szCs w:val="44"/>
          <w:highlight w:val="none"/>
        </w:rPr>
        <w:id w:val="147461656"/>
        <w:docPartObj>
          <w:docPartGallery w:val="Table of Contents"/>
          <w:docPartUnique/>
        </w:docPartObj>
      </w:sdtPr>
      <w:sdtEndPr>
        <w:rPr>
          <w:rFonts w:hint="eastAsia" w:ascii="Calibri" w:hAnsi="Calibri"/>
          <w:sz w:val="24"/>
          <w:szCs w:val="24"/>
          <w:highlight w:val="none"/>
        </w:rPr>
      </w:sdtEndPr>
      <w:sdtContent>
        <w:p>
          <w:pPr>
            <w:jc w:val="center"/>
            <w:rPr>
              <w:b/>
              <w:bCs/>
              <w:sz w:val="44"/>
              <w:szCs w:val="44"/>
              <w:highlight w:val="none"/>
            </w:rPr>
          </w:pPr>
          <w:r>
            <w:rPr>
              <w:rFonts w:ascii="宋体" w:hAnsi="宋体"/>
              <w:b/>
              <w:bCs/>
              <w:sz w:val="44"/>
              <w:szCs w:val="44"/>
              <w:highlight w:val="none"/>
            </w:rPr>
            <w:t>目</w:t>
          </w:r>
          <w:r>
            <w:rPr>
              <w:rFonts w:hint="eastAsia" w:ascii="宋体" w:hAnsi="宋体"/>
              <w:b/>
              <w:bCs/>
              <w:sz w:val="44"/>
              <w:szCs w:val="44"/>
              <w:highlight w:val="none"/>
              <w:lang w:val="en-US" w:eastAsia="zh-CN"/>
            </w:rPr>
            <w:t xml:space="preserve">  </w:t>
          </w:r>
          <w:r>
            <w:rPr>
              <w:rFonts w:ascii="宋体" w:hAnsi="宋体"/>
              <w:b/>
              <w:bCs/>
              <w:sz w:val="44"/>
              <w:szCs w:val="44"/>
              <w:highlight w:val="none"/>
            </w:rPr>
            <w:t>录</w:t>
          </w:r>
        </w:p>
        <w:p>
          <w:pPr>
            <w:pStyle w:val="26"/>
            <w:tabs>
              <w:tab w:val="right" w:leader="dot" w:pos="7980"/>
            </w:tabs>
            <w:spacing w:line="600" w:lineRule="exact"/>
            <w:rPr>
              <w:sz w:val="24"/>
              <w:szCs w:val="24"/>
              <w:highlight w:val="none"/>
            </w:rPr>
          </w:pPr>
          <w:r>
            <w:rPr>
              <w:rFonts w:hint="eastAsia"/>
              <w:sz w:val="24"/>
              <w:szCs w:val="24"/>
              <w:highlight w:val="none"/>
            </w:rPr>
            <w:fldChar w:fldCharType="begin"/>
          </w:r>
          <w:r>
            <w:rPr>
              <w:rFonts w:hint="eastAsia"/>
              <w:sz w:val="24"/>
              <w:szCs w:val="24"/>
              <w:highlight w:val="none"/>
            </w:rPr>
            <w:instrText xml:space="preserve">TOC \o "1-1" \h \u </w:instrText>
          </w:r>
          <w:r>
            <w:rPr>
              <w:rFonts w:hint="eastAsia"/>
              <w:sz w:val="24"/>
              <w:szCs w:val="24"/>
              <w:highlight w:val="none"/>
            </w:rPr>
            <w:fldChar w:fldCharType="separate"/>
          </w:r>
          <w:r>
            <w:rPr>
              <w:sz w:val="24"/>
              <w:szCs w:val="24"/>
              <w:highlight w:val="none"/>
            </w:rPr>
            <w:fldChar w:fldCharType="begin"/>
          </w:r>
          <w:r>
            <w:rPr>
              <w:sz w:val="24"/>
              <w:szCs w:val="24"/>
              <w:highlight w:val="none"/>
            </w:rPr>
            <w:instrText xml:space="preserve"> HYPERLINK \l "_Toc8961" </w:instrText>
          </w:r>
          <w:r>
            <w:rPr>
              <w:sz w:val="24"/>
              <w:szCs w:val="24"/>
              <w:highlight w:val="none"/>
            </w:rPr>
            <w:fldChar w:fldCharType="separate"/>
          </w:r>
          <w:r>
            <w:rPr>
              <w:rFonts w:hint="eastAsia" w:ascii="宋体" w:hAnsi="宋体" w:eastAsia="宋体" w:cs="宋体"/>
              <w:sz w:val="24"/>
              <w:szCs w:val="24"/>
              <w:highlight w:val="none"/>
            </w:rPr>
            <w:t>第一章 招标公告</w:t>
          </w:r>
          <w:r>
            <w:rPr>
              <w:sz w:val="24"/>
              <w:szCs w:val="24"/>
              <w:highlight w:val="none"/>
            </w:rPr>
            <w:tab/>
          </w:r>
          <w:r>
            <w:rPr>
              <w:rFonts w:hint="eastAsia"/>
              <w:sz w:val="24"/>
              <w:szCs w:val="24"/>
              <w:highlight w:val="none"/>
              <w:lang w:val="en-US" w:eastAsia="zh-CN"/>
            </w:rPr>
            <w:t>2</w:t>
          </w:r>
          <w:r>
            <w:rPr>
              <w:sz w:val="24"/>
              <w:szCs w:val="24"/>
              <w:highlight w:val="none"/>
            </w:rPr>
            <w:fldChar w:fldCharType="end"/>
          </w:r>
        </w:p>
        <w:p>
          <w:pPr>
            <w:pStyle w:val="26"/>
            <w:tabs>
              <w:tab w:val="right" w:leader="dot" w:pos="7980"/>
            </w:tabs>
            <w:spacing w:line="600" w:lineRule="exact"/>
            <w:rPr>
              <w:sz w:val="24"/>
              <w:szCs w:val="24"/>
              <w:highlight w:val="none"/>
            </w:rPr>
          </w:pPr>
          <w:r>
            <w:rPr>
              <w:sz w:val="24"/>
              <w:szCs w:val="24"/>
              <w:highlight w:val="none"/>
            </w:rPr>
            <w:fldChar w:fldCharType="begin"/>
          </w:r>
          <w:r>
            <w:rPr>
              <w:sz w:val="24"/>
              <w:szCs w:val="24"/>
              <w:highlight w:val="none"/>
            </w:rPr>
            <w:instrText xml:space="preserve"> HYPERLINK \l "_Toc32019" </w:instrText>
          </w:r>
          <w:r>
            <w:rPr>
              <w:sz w:val="24"/>
              <w:szCs w:val="24"/>
              <w:highlight w:val="none"/>
            </w:rPr>
            <w:fldChar w:fldCharType="separate"/>
          </w:r>
          <w:r>
            <w:rPr>
              <w:rFonts w:hint="eastAsia" w:ascii="宋体" w:hAnsi="宋体" w:eastAsia="宋体" w:cs="宋体"/>
              <w:sz w:val="24"/>
              <w:szCs w:val="24"/>
              <w:highlight w:val="none"/>
            </w:rPr>
            <w:t>第二章  投标须知前附表及投标须知</w:t>
          </w:r>
          <w:r>
            <w:rPr>
              <w:sz w:val="24"/>
              <w:szCs w:val="24"/>
              <w:highlight w:val="none"/>
            </w:rPr>
            <w:tab/>
          </w:r>
          <w:r>
            <w:rPr>
              <w:sz w:val="24"/>
              <w:szCs w:val="24"/>
              <w:highlight w:val="none"/>
            </w:rPr>
            <w:fldChar w:fldCharType="begin"/>
          </w:r>
          <w:r>
            <w:rPr>
              <w:sz w:val="24"/>
              <w:szCs w:val="24"/>
              <w:highlight w:val="none"/>
            </w:rPr>
            <w:instrText xml:space="preserve"> PAGEREF _Toc32019 \h </w:instrText>
          </w:r>
          <w:r>
            <w:rPr>
              <w:sz w:val="24"/>
              <w:szCs w:val="24"/>
              <w:highlight w:val="none"/>
            </w:rPr>
            <w:fldChar w:fldCharType="separate"/>
          </w:r>
          <w:r>
            <w:rPr>
              <w:sz w:val="24"/>
              <w:szCs w:val="24"/>
              <w:highlight w:val="none"/>
            </w:rPr>
            <w:t>6</w:t>
          </w:r>
          <w:r>
            <w:rPr>
              <w:sz w:val="24"/>
              <w:szCs w:val="24"/>
              <w:highlight w:val="none"/>
            </w:rPr>
            <w:fldChar w:fldCharType="end"/>
          </w:r>
          <w:r>
            <w:rPr>
              <w:sz w:val="24"/>
              <w:szCs w:val="24"/>
              <w:highlight w:val="none"/>
            </w:rPr>
            <w:fldChar w:fldCharType="end"/>
          </w:r>
        </w:p>
        <w:p>
          <w:pPr>
            <w:pStyle w:val="26"/>
            <w:tabs>
              <w:tab w:val="right" w:leader="dot" w:pos="7980"/>
            </w:tabs>
            <w:spacing w:line="600" w:lineRule="exact"/>
            <w:rPr>
              <w:sz w:val="24"/>
              <w:szCs w:val="24"/>
              <w:highlight w:val="none"/>
            </w:rPr>
          </w:pPr>
          <w:r>
            <w:rPr>
              <w:sz w:val="24"/>
              <w:szCs w:val="24"/>
              <w:highlight w:val="none"/>
            </w:rPr>
            <w:fldChar w:fldCharType="begin"/>
          </w:r>
          <w:r>
            <w:rPr>
              <w:sz w:val="24"/>
              <w:szCs w:val="24"/>
              <w:highlight w:val="none"/>
            </w:rPr>
            <w:instrText xml:space="preserve"> HYPERLINK \l "_Toc24091" </w:instrText>
          </w:r>
          <w:r>
            <w:rPr>
              <w:sz w:val="24"/>
              <w:szCs w:val="24"/>
              <w:highlight w:val="none"/>
            </w:rPr>
            <w:fldChar w:fldCharType="separate"/>
          </w:r>
          <w:r>
            <w:rPr>
              <w:rFonts w:hint="eastAsia" w:ascii="宋体" w:hAnsi="宋体" w:eastAsia="宋体" w:cs="宋体"/>
              <w:sz w:val="24"/>
              <w:szCs w:val="24"/>
              <w:highlight w:val="none"/>
            </w:rPr>
            <w:t>第三章 采购内容及要求</w:t>
          </w:r>
          <w:r>
            <w:rPr>
              <w:sz w:val="24"/>
              <w:szCs w:val="24"/>
              <w:highlight w:val="none"/>
            </w:rPr>
            <w:tab/>
          </w:r>
          <w:r>
            <w:rPr>
              <w:sz w:val="24"/>
              <w:szCs w:val="24"/>
              <w:highlight w:val="none"/>
            </w:rPr>
            <w:fldChar w:fldCharType="begin"/>
          </w:r>
          <w:r>
            <w:rPr>
              <w:sz w:val="24"/>
              <w:szCs w:val="24"/>
              <w:highlight w:val="none"/>
            </w:rPr>
            <w:instrText xml:space="preserve"> PAGEREF _Toc24091 \h </w:instrText>
          </w:r>
          <w:r>
            <w:rPr>
              <w:sz w:val="24"/>
              <w:szCs w:val="24"/>
              <w:highlight w:val="none"/>
            </w:rPr>
            <w:fldChar w:fldCharType="separate"/>
          </w:r>
          <w:r>
            <w:rPr>
              <w:sz w:val="24"/>
              <w:szCs w:val="24"/>
              <w:highlight w:val="none"/>
            </w:rPr>
            <w:t>34</w:t>
          </w:r>
          <w:r>
            <w:rPr>
              <w:sz w:val="24"/>
              <w:szCs w:val="24"/>
              <w:highlight w:val="none"/>
            </w:rPr>
            <w:fldChar w:fldCharType="end"/>
          </w:r>
          <w:r>
            <w:rPr>
              <w:sz w:val="24"/>
              <w:szCs w:val="24"/>
              <w:highlight w:val="none"/>
            </w:rPr>
            <w:fldChar w:fldCharType="end"/>
          </w:r>
        </w:p>
        <w:p>
          <w:pPr>
            <w:pStyle w:val="26"/>
            <w:tabs>
              <w:tab w:val="right" w:leader="dot" w:pos="7980"/>
            </w:tabs>
            <w:spacing w:line="600" w:lineRule="exact"/>
            <w:rPr>
              <w:sz w:val="24"/>
              <w:szCs w:val="24"/>
              <w:highlight w:val="none"/>
            </w:rPr>
          </w:pPr>
          <w:r>
            <w:rPr>
              <w:sz w:val="24"/>
              <w:szCs w:val="24"/>
              <w:highlight w:val="none"/>
            </w:rPr>
            <w:fldChar w:fldCharType="begin"/>
          </w:r>
          <w:r>
            <w:rPr>
              <w:sz w:val="24"/>
              <w:szCs w:val="24"/>
              <w:highlight w:val="none"/>
            </w:rPr>
            <w:instrText xml:space="preserve"> HYPERLINK \l "_Toc9656" </w:instrText>
          </w:r>
          <w:r>
            <w:rPr>
              <w:sz w:val="24"/>
              <w:szCs w:val="24"/>
              <w:highlight w:val="none"/>
            </w:rPr>
            <w:fldChar w:fldCharType="separate"/>
          </w:r>
          <w:r>
            <w:rPr>
              <w:rFonts w:hint="eastAsia" w:ascii="宋体" w:hAnsi="宋体" w:eastAsia="宋体" w:cs="宋体"/>
              <w:sz w:val="24"/>
              <w:szCs w:val="24"/>
              <w:highlight w:val="none"/>
            </w:rPr>
            <w:t>第四章 合同主要条款</w:t>
          </w:r>
          <w:r>
            <w:rPr>
              <w:sz w:val="24"/>
              <w:szCs w:val="24"/>
              <w:highlight w:val="none"/>
            </w:rPr>
            <w:tab/>
          </w:r>
          <w:r>
            <w:rPr>
              <w:sz w:val="24"/>
              <w:szCs w:val="24"/>
              <w:highlight w:val="none"/>
            </w:rPr>
            <w:fldChar w:fldCharType="begin"/>
          </w:r>
          <w:r>
            <w:rPr>
              <w:sz w:val="24"/>
              <w:szCs w:val="24"/>
              <w:highlight w:val="none"/>
            </w:rPr>
            <w:instrText xml:space="preserve"> PAGEREF _Toc9656 \h </w:instrText>
          </w:r>
          <w:r>
            <w:rPr>
              <w:sz w:val="24"/>
              <w:szCs w:val="24"/>
              <w:highlight w:val="none"/>
            </w:rPr>
            <w:fldChar w:fldCharType="separate"/>
          </w:r>
          <w:r>
            <w:rPr>
              <w:sz w:val="24"/>
              <w:szCs w:val="24"/>
              <w:highlight w:val="none"/>
            </w:rPr>
            <w:t>37</w:t>
          </w:r>
          <w:r>
            <w:rPr>
              <w:sz w:val="24"/>
              <w:szCs w:val="24"/>
              <w:highlight w:val="none"/>
            </w:rPr>
            <w:fldChar w:fldCharType="end"/>
          </w:r>
          <w:r>
            <w:rPr>
              <w:sz w:val="24"/>
              <w:szCs w:val="24"/>
              <w:highlight w:val="none"/>
            </w:rPr>
            <w:fldChar w:fldCharType="end"/>
          </w:r>
        </w:p>
        <w:p>
          <w:pPr>
            <w:pStyle w:val="26"/>
            <w:tabs>
              <w:tab w:val="right" w:leader="dot" w:pos="7980"/>
            </w:tabs>
            <w:spacing w:line="600" w:lineRule="exact"/>
            <w:rPr>
              <w:sz w:val="24"/>
              <w:szCs w:val="24"/>
              <w:highlight w:val="none"/>
            </w:rPr>
          </w:pPr>
          <w:r>
            <w:rPr>
              <w:sz w:val="24"/>
              <w:szCs w:val="24"/>
              <w:highlight w:val="none"/>
            </w:rPr>
            <w:fldChar w:fldCharType="begin"/>
          </w:r>
          <w:r>
            <w:rPr>
              <w:sz w:val="24"/>
              <w:szCs w:val="24"/>
              <w:highlight w:val="none"/>
            </w:rPr>
            <w:instrText xml:space="preserve"> HYPERLINK \l "_Toc5592" </w:instrText>
          </w:r>
          <w:r>
            <w:rPr>
              <w:sz w:val="24"/>
              <w:szCs w:val="24"/>
              <w:highlight w:val="none"/>
            </w:rPr>
            <w:fldChar w:fldCharType="separate"/>
          </w:r>
          <w:r>
            <w:rPr>
              <w:rFonts w:hint="eastAsia" w:ascii="宋体" w:hAnsi="宋体" w:eastAsia="宋体" w:cs="宋体"/>
              <w:sz w:val="24"/>
              <w:szCs w:val="24"/>
              <w:highlight w:val="none"/>
            </w:rPr>
            <w:t>第五章  应提交的有关格式范例</w:t>
          </w:r>
          <w:r>
            <w:rPr>
              <w:sz w:val="24"/>
              <w:szCs w:val="24"/>
              <w:highlight w:val="none"/>
            </w:rPr>
            <w:tab/>
          </w:r>
          <w:r>
            <w:rPr>
              <w:sz w:val="24"/>
              <w:szCs w:val="24"/>
              <w:highlight w:val="none"/>
            </w:rPr>
            <w:fldChar w:fldCharType="begin"/>
          </w:r>
          <w:r>
            <w:rPr>
              <w:sz w:val="24"/>
              <w:szCs w:val="24"/>
              <w:highlight w:val="none"/>
            </w:rPr>
            <w:instrText xml:space="preserve"> PAGEREF _Toc5592 \h </w:instrText>
          </w:r>
          <w:r>
            <w:rPr>
              <w:sz w:val="24"/>
              <w:szCs w:val="24"/>
              <w:highlight w:val="none"/>
            </w:rPr>
            <w:fldChar w:fldCharType="separate"/>
          </w:r>
          <w:r>
            <w:rPr>
              <w:sz w:val="24"/>
              <w:szCs w:val="24"/>
              <w:highlight w:val="none"/>
            </w:rPr>
            <w:t>44</w:t>
          </w:r>
          <w:r>
            <w:rPr>
              <w:sz w:val="24"/>
              <w:szCs w:val="24"/>
              <w:highlight w:val="none"/>
            </w:rPr>
            <w:fldChar w:fldCharType="end"/>
          </w:r>
          <w:r>
            <w:rPr>
              <w:sz w:val="24"/>
              <w:szCs w:val="24"/>
              <w:highlight w:val="none"/>
            </w:rPr>
            <w:fldChar w:fldCharType="end"/>
          </w:r>
        </w:p>
        <w:p>
          <w:pPr>
            <w:pStyle w:val="26"/>
            <w:tabs>
              <w:tab w:val="right" w:leader="dot" w:pos="7980"/>
            </w:tabs>
            <w:spacing w:line="600" w:lineRule="exact"/>
            <w:rPr>
              <w:sz w:val="24"/>
              <w:szCs w:val="24"/>
              <w:highlight w:val="none"/>
            </w:rPr>
          </w:pPr>
          <w:r>
            <w:rPr>
              <w:sz w:val="24"/>
              <w:szCs w:val="24"/>
              <w:highlight w:val="none"/>
            </w:rPr>
            <w:fldChar w:fldCharType="begin"/>
          </w:r>
          <w:r>
            <w:rPr>
              <w:sz w:val="24"/>
              <w:szCs w:val="24"/>
              <w:highlight w:val="none"/>
            </w:rPr>
            <w:instrText xml:space="preserve"> HYPERLINK \l "_Toc2416" </w:instrText>
          </w:r>
          <w:r>
            <w:rPr>
              <w:sz w:val="24"/>
              <w:szCs w:val="24"/>
              <w:highlight w:val="none"/>
            </w:rPr>
            <w:fldChar w:fldCharType="separate"/>
          </w:r>
          <w:r>
            <w:rPr>
              <w:rFonts w:hint="eastAsia" w:ascii="宋体" w:hAnsi="宋体" w:eastAsia="宋体" w:cs="宋体"/>
              <w:sz w:val="24"/>
              <w:szCs w:val="24"/>
              <w:highlight w:val="none"/>
              <w:lang w:val="zh-CN"/>
            </w:rPr>
            <w:t>第六章</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评标办法及开标程序</w:t>
          </w:r>
          <w:r>
            <w:rPr>
              <w:sz w:val="24"/>
              <w:szCs w:val="24"/>
              <w:highlight w:val="none"/>
            </w:rPr>
            <w:tab/>
          </w:r>
          <w:r>
            <w:rPr>
              <w:sz w:val="24"/>
              <w:szCs w:val="24"/>
              <w:highlight w:val="none"/>
            </w:rPr>
            <w:fldChar w:fldCharType="begin"/>
          </w:r>
          <w:r>
            <w:rPr>
              <w:sz w:val="24"/>
              <w:szCs w:val="24"/>
              <w:highlight w:val="none"/>
            </w:rPr>
            <w:instrText xml:space="preserve"> PAGEREF _Toc2416 \h </w:instrText>
          </w:r>
          <w:r>
            <w:rPr>
              <w:sz w:val="24"/>
              <w:szCs w:val="24"/>
              <w:highlight w:val="none"/>
            </w:rPr>
            <w:fldChar w:fldCharType="separate"/>
          </w:r>
          <w:r>
            <w:rPr>
              <w:sz w:val="24"/>
              <w:szCs w:val="24"/>
              <w:highlight w:val="none"/>
            </w:rPr>
            <w:t>62</w:t>
          </w:r>
          <w:r>
            <w:rPr>
              <w:sz w:val="24"/>
              <w:szCs w:val="24"/>
              <w:highlight w:val="none"/>
            </w:rPr>
            <w:fldChar w:fldCharType="end"/>
          </w:r>
          <w:r>
            <w:rPr>
              <w:sz w:val="24"/>
              <w:szCs w:val="24"/>
              <w:highlight w:val="none"/>
            </w:rPr>
            <w:fldChar w:fldCharType="end"/>
          </w:r>
        </w:p>
        <w:p>
          <w:pPr>
            <w:rPr>
              <w:sz w:val="24"/>
              <w:szCs w:val="24"/>
              <w:highlight w:val="none"/>
            </w:rPr>
          </w:pPr>
          <w:r>
            <w:rPr>
              <w:rFonts w:hint="eastAsia"/>
              <w:sz w:val="24"/>
              <w:szCs w:val="24"/>
              <w:highlight w:val="none"/>
            </w:rPr>
            <w:fldChar w:fldCharType="end"/>
          </w:r>
        </w:p>
      </w:sdtContent>
    </w:sdt>
    <w:p>
      <w:pPr>
        <w:pStyle w:val="2"/>
        <w:ind w:firstLine="440"/>
        <w:rPr>
          <w:sz w:val="24"/>
          <w:szCs w:val="24"/>
          <w:highlight w:val="none"/>
        </w:rPr>
      </w:pPr>
    </w:p>
    <w:p>
      <w:pPr>
        <w:pStyle w:val="6"/>
        <w:ind w:firstLine="210"/>
        <w:rPr>
          <w:rFonts w:ascii="宋体" w:hAnsi="宋体" w:cs="宋体"/>
          <w:highlight w:val="none"/>
        </w:rPr>
      </w:pPr>
    </w:p>
    <w:p>
      <w:pPr>
        <w:rPr>
          <w:rFonts w:ascii="宋体" w:hAnsi="宋体" w:cs="宋体"/>
          <w:highlight w:val="none"/>
        </w:rPr>
      </w:pPr>
    </w:p>
    <w:p>
      <w:pPr>
        <w:pStyle w:val="6"/>
        <w:ind w:firstLine="210"/>
        <w:rPr>
          <w:rFonts w:ascii="宋体" w:hAnsi="宋体" w:cs="宋体"/>
          <w:highlight w:val="none"/>
        </w:rPr>
      </w:pPr>
    </w:p>
    <w:p>
      <w:pPr>
        <w:rPr>
          <w:rFonts w:ascii="宋体" w:hAnsi="宋体" w:cs="宋体"/>
          <w:highlight w:val="none"/>
        </w:rPr>
      </w:pPr>
    </w:p>
    <w:p>
      <w:pPr>
        <w:pStyle w:val="6"/>
        <w:ind w:firstLine="210"/>
        <w:rPr>
          <w:rFonts w:ascii="宋体" w:hAnsi="宋体" w:cs="宋体"/>
          <w:highlight w:val="none"/>
        </w:rPr>
      </w:pPr>
    </w:p>
    <w:p>
      <w:pPr>
        <w:rPr>
          <w:rFonts w:ascii="宋体" w:hAnsi="宋体" w:cs="宋体"/>
          <w:highlight w:val="none"/>
        </w:rPr>
      </w:pPr>
    </w:p>
    <w:p>
      <w:pPr>
        <w:pStyle w:val="6"/>
        <w:ind w:firstLine="210"/>
        <w:rPr>
          <w:rFonts w:ascii="宋体" w:hAnsi="宋体" w:cs="宋体"/>
          <w:highlight w:val="none"/>
        </w:rPr>
      </w:pPr>
    </w:p>
    <w:p>
      <w:pPr>
        <w:rPr>
          <w:rFonts w:ascii="宋体" w:hAnsi="宋体" w:cs="宋体"/>
          <w:highlight w:val="none"/>
        </w:rPr>
      </w:pPr>
    </w:p>
    <w:p>
      <w:pPr>
        <w:pStyle w:val="6"/>
        <w:ind w:firstLine="210"/>
        <w:rPr>
          <w:rFonts w:ascii="宋体" w:hAnsi="宋体" w:cs="宋体"/>
          <w:highlight w:val="none"/>
        </w:rPr>
      </w:pPr>
    </w:p>
    <w:p>
      <w:pPr>
        <w:rPr>
          <w:rFonts w:ascii="宋体" w:hAnsi="宋体" w:cs="宋体"/>
          <w:highlight w:val="none"/>
        </w:rPr>
      </w:pPr>
    </w:p>
    <w:p>
      <w:pPr>
        <w:pStyle w:val="6"/>
        <w:ind w:firstLine="210"/>
        <w:rPr>
          <w:rFonts w:ascii="宋体" w:hAnsi="宋体" w:cs="宋体"/>
          <w:highlight w:val="none"/>
        </w:rPr>
      </w:pPr>
    </w:p>
    <w:p>
      <w:pPr>
        <w:rPr>
          <w:rFonts w:ascii="宋体" w:hAnsi="宋体" w:cs="宋体"/>
          <w:highlight w:val="none"/>
        </w:rPr>
      </w:pPr>
    </w:p>
    <w:p>
      <w:pPr>
        <w:pStyle w:val="6"/>
        <w:ind w:firstLine="210"/>
        <w:rPr>
          <w:rFonts w:ascii="宋体" w:hAnsi="宋体" w:cs="宋体"/>
          <w:highlight w:val="none"/>
        </w:rPr>
      </w:pPr>
    </w:p>
    <w:p>
      <w:pPr>
        <w:rPr>
          <w:rFonts w:ascii="宋体" w:hAnsi="宋体" w:cs="宋体"/>
          <w:highlight w:val="none"/>
        </w:rPr>
      </w:pPr>
    </w:p>
    <w:p>
      <w:pPr>
        <w:pStyle w:val="6"/>
        <w:ind w:firstLine="210"/>
        <w:rPr>
          <w:rFonts w:ascii="宋体" w:hAnsi="宋体" w:cs="宋体"/>
          <w:highlight w:val="none"/>
        </w:rPr>
      </w:pPr>
    </w:p>
    <w:p>
      <w:pPr>
        <w:rPr>
          <w:rFonts w:ascii="宋体" w:hAnsi="宋体" w:cs="宋体"/>
          <w:highlight w:val="none"/>
        </w:rPr>
      </w:pPr>
    </w:p>
    <w:p>
      <w:pPr>
        <w:pStyle w:val="6"/>
        <w:ind w:firstLine="210"/>
        <w:rPr>
          <w:rFonts w:ascii="宋体" w:hAnsi="宋体" w:cs="宋体"/>
          <w:highlight w:val="none"/>
        </w:rPr>
      </w:pPr>
    </w:p>
    <w:p>
      <w:pPr>
        <w:rPr>
          <w:rFonts w:ascii="宋体" w:hAnsi="宋体" w:cs="宋体"/>
          <w:highlight w:val="none"/>
        </w:rPr>
      </w:pPr>
    </w:p>
    <w:p>
      <w:pPr>
        <w:pStyle w:val="6"/>
        <w:ind w:firstLine="210"/>
        <w:rPr>
          <w:rFonts w:ascii="宋体" w:hAnsi="宋体" w:cs="宋体"/>
          <w:highlight w:val="none"/>
        </w:rPr>
      </w:pPr>
    </w:p>
    <w:p>
      <w:pPr>
        <w:rPr>
          <w:rFonts w:ascii="宋体" w:hAnsi="宋体" w:cs="宋体"/>
          <w:highlight w:val="none"/>
        </w:rPr>
      </w:pPr>
    </w:p>
    <w:p>
      <w:pPr>
        <w:pStyle w:val="6"/>
        <w:ind w:firstLine="210"/>
        <w:rPr>
          <w:rFonts w:ascii="宋体" w:hAnsi="宋体" w:cs="宋体"/>
          <w:highlight w:val="none"/>
        </w:rPr>
      </w:pPr>
    </w:p>
    <w:p>
      <w:pPr>
        <w:rPr>
          <w:rFonts w:ascii="宋体" w:hAnsi="宋体" w:cs="宋体"/>
          <w:highlight w:val="none"/>
        </w:rPr>
      </w:pPr>
    </w:p>
    <w:p>
      <w:pPr>
        <w:numPr>
          <w:ilvl w:val="0"/>
          <w:numId w:val="1"/>
        </w:numPr>
        <w:spacing w:line="500" w:lineRule="exact"/>
        <w:jc w:val="center"/>
        <w:outlineLvl w:val="0"/>
        <w:rPr>
          <w:rFonts w:hint="eastAsia" w:ascii="宋体" w:hAnsi="宋体" w:cs="宋体"/>
          <w:b/>
          <w:sz w:val="32"/>
          <w:szCs w:val="32"/>
          <w:highlight w:val="none"/>
        </w:rPr>
      </w:pPr>
      <w:bookmarkStart w:id="0" w:name="_Toc8961"/>
      <w:r>
        <w:rPr>
          <w:rFonts w:hint="eastAsia" w:ascii="宋体" w:hAnsi="宋体" w:cs="宋体"/>
          <w:b/>
          <w:sz w:val="32"/>
          <w:szCs w:val="32"/>
          <w:highlight w:val="none"/>
        </w:rPr>
        <w:t>招标公告</w:t>
      </w:r>
      <w:bookmarkEnd w:id="0"/>
    </w:p>
    <w:p>
      <w:pPr>
        <w:pStyle w:val="2"/>
        <w:numPr>
          <w:ilvl w:val="0"/>
          <w:numId w:val="0"/>
        </w:numPr>
        <w:rPr>
          <w:highlight w:val="none"/>
        </w:rPr>
      </w:pPr>
    </w:p>
    <w:p>
      <w:pPr>
        <w:pBdr>
          <w:top w:val="single" w:color="auto" w:sz="4" w:space="1"/>
          <w:left w:val="single" w:color="auto" w:sz="4" w:space="4"/>
          <w:bottom w:val="single" w:color="auto" w:sz="4" w:space="2"/>
          <w:right w:val="single" w:color="auto" w:sz="4" w:space="4"/>
        </w:pBd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项目概况</w:t>
      </w:r>
    </w:p>
    <w:p>
      <w:pPr>
        <w:pBdr>
          <w:top w:val="single" w:color="auto" w:sz="4" w:space="1"/>
          <w:left w:val="single" w:color="auto" w:sz="4" w:space="4"/>
          <w:bottom w:val="single" w:color="auto" w:sz="4" w:space="2"/>
          <w:right w:val="single" w:color="auto" w:sz="4" w:space="4"/>
        </w:pBdr>
        <w:spacing w:line="500" w:lineRule="exact"/>
        <w:ind w:firstLine="480" w:firstLineChars="200"/>
        <w:rPr>
          <w:rFonts w:ascii="宋体" w:hAnsi="宋体" w:cs="宋体"/>
          <w:sz w:val="24"/>
          <w:szCs w:val="24"/>
          <w:highlight w:val="none"/>
          <w:u w:val="single"/>
        </w:rPr>
      </w:pPr>
      <w:r>
        <w:rPr>
          <w:rFonts w:hint="eastAsia" w:ascii="宋体" w:hAnsi="宋体" w:cs="宋体"/>
          <w:color w:val="auto"/>
          <w:sz w:val="24"/>
          <w:highlight w:val="none"/>
          <w:u w:val="single"/>
          <w:lang w:val="en-US" w:eastAsia="zh-CN"/>
        </w:rPr>
        <w:t xml:space="preserve">衢州智慧新城2024-2025年度规划类项目技术服务项目 </w:t>
      </w:r>
      <w:r>
        <w:rPr>
          <w:rFonts w:hint="eastAsia" w:ascii="宋体" w:hAnsi="宋体" w:cs="宋体"/>
          <w:sz w:val="24"/>
          <w:szCs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20"/>
          <w:rFonts w:hint="eastAsia" w:ascii="宋体" w:hAnsi="宋体" w:cs="宋体"/>
          <w:color w:val="auto"/>
          <w:sz w:val="24"/>
          <w:szCs w:val="24"/>
          <w:highlight w:val="none"/>
        </w:rPr>
        <w:t>https://www.zcygov.cn/）获取（下载）招标文件，并于202</w:t>
      </w:r>
      <w:r>
        <w:rPr>
          <w:rStyle w:val="20"/>
          <w:rFonts w:hint="eastAsia" w:ascii="宋体" w:hAnsi="宋体" w:cs="宋体"/>
          <w:color w:val="auto"/>
          <w:sz w:val="24"/>
          <w:szCs w:val="24"/>
          <w:highlight w:val="none"/>
          <w:lang w:val="en-US" w:eastAsia="zh-CN"/>
        </w:rPr>
        <w:t>4</w:t>
      </w:r>
      <w:r>
        <w:rPr>
          <w:rStyle w:val="20"/>
          <w:rFonts w:hint="eastAsia" w:ascii="宋体" w:hAnsi="宋体" w:cs="宋体"/>
          <w:color w:val="auto"/>
          <w:sz w:val="24"/>
          <w:szCs w:val="24"/>
          <w:highlight w:val="none"/>
        </w:rPr>
        <w:t>年</w:t>
      </w:r>
      <w:r>
        <w:rPr>
          <w:rStyle w:val="20"/>
          <w:rFonts w:hint="eastAsia" w:ascii="宋体" w:hAnsi="宋体" w:cs="宋体"/>
          <w:color w:val="auto"/>
          <w:sz w:val="24"/>
          <w:szCs w:val="24"/>
          <w:highlight w:val="none"/>
          <w:lang w:val="en-US" w:eastAsia="zh-CN"/>
        </w:rPr>
        <w:t>12</w:t>
      </w:r>
      <w:r>
        <w:rPr>
          <w:rStyle w:val="20"/>
          <w:rFonts w:hint="eastAsia" w:ascii="宋体" w:hAnsi="宋体" w:cs="宋体"/>
          <w:color w:val="auto"/>
          <w:sz w:val="24"/>
          <w:szCs w:val="24"/>
          <w:highlight w:val="none"/>
        </w:rPr>
        <w:t>月</w:t>
      </w:r>
      <w:r>
        <w:rPr>
          <w:rStyle w:val="20"/>
          <w:rFonts w:hint="eastAsia" w:ascii="宋体" w:hAnsi="宋体" w:cs="宋体"/>
          <w:color w:val="auto"/>
          <w:sz w:val="24"/>
          <w:szCs w:val="24"/>
          <w:highlight w:val="none"/>
          <w:lang w:val="en-US" w:eastAsia="zh-CN"/>
        </w:rPr>
        <w:t>3</w:t>
      </w:r>
      <w:r>
        <w:rPr>
          <w:rStyle w:val="20"/>
          <w:rFonts w:hint="eastAsia" w:ascii="宋体" w:hAnsi="宋体" w:cs="宋体"/>
          <w:color w:val="auto"/>
          <w:sz w:val="24"/>
          <w:szCs w:val="24"/>
          <w:highlight w:val="none"/>
        </w:rPr>
        <w:t xml:space="preserve"> 日</w:t>
      </w:r>
      <w:r>
        <w:rPr>
          <w:rStyle w:val="20"/>
          <w:rFonts w:hint="eastAsia" w:ascii="宋体" w:hAnsi="宋体" w:cs="宋体"/>
          <w:color w:val="auto"/>
          <w:sz w:val="24"/>
          <w:szCs w:val="24"/>
          <w:highlight w:val="none"/>
          <w:lang w:val="en-US" w:eastAsia="zh-CN"/>
        </w:rPr>
        <w:t>9</w:t>
      </w:r>
      <w:r>
        <w:rPr>
          <w:rStyle w:val="20"/>
          <w:rFonts w:hint="eastAsia" w:ascii="宋体" w:hAnsi="宋体" w:cs="宋体"/>
          <w:color w:val="auto"/>
          <w:sz w:val="24"/>
          <w:szCs w:val="24"/>
          <w:highlight w:val="none"/>
        </w:rPr>
        <w:t>点</w:t>
      </w:r>
      <w:r>
        <w:rPr>
          <w:rStyle w:val="20"/>
          <w:rFonts w:hint="eastAsia" w:ascii="宋体" w:hAnsi="宋体" w:cs="宋体"/>
          <w:color w:val="auto"/>
          <w:sz w:val="24"/>
          <w:szCs w:val="24"/>
          <w:highlight w:val="none"/>
          <w:lang w:val="en-US" w:eastAsia="zh-CN"/>
        </w:rPr>
        <w:t>00</w:t>
      </w:r>
      <w:r>
        <w:rPr>
          <w:rStyle w:val="20"/>
          <w:rFonts w:hint="eastAsia" w:ascii="宋体" w:hAnsi="宋体" w:cs="宋体"/>
          <w:color w:val="auto"/>
          <w:sz w:val="24"/>
          <w:szCs w:val="24"/>
          <w:highlight w:val="none"/>
        </w:rPr>
        <w:t>分</w:t>
      </w:r>
      <w:r>
        <w:rPr>
          <w:rStyle w:val="20"/>
          <w:rFonts w:hint="eastAsia" w:ascii="宋体" w:hAnsi="宋体" w:cs="宋体"/>
          <w:bCs/>
          <w:color w:val="auto"/>
          <w:sz w:val="24"/>
          <w:szCs w:val="24"/>
          <w:highlight w:val="none"/>
        </w:rPr>
        <w:t>00秒</w:t>
      </w:r>
      <w:r>
        <w:rPr>
          <w:rStyle w:val="20"/>
          <w:rFonts w:hint="eastAsia" w:ascii="宋体" w:hAnsi="宋体" w:cs="宋体"/>
          <w:bCs/>
          <w:color w:val="auto"/>
          <w:sz w:val="24"/>
          <w:szCs w:val="24"/>
          <w:highlight w:val="none"/>
        </w:rPr>
        <w:fldChar w:fldCharType="end"/>
      </w:r>
      <w:r>
        <w:rPr>
          <w:rFonts w:hint="eastAsia" w:ascii="宋体" w:hAnsi="宋体" w:cs="宋体"/>
          <w:bCs/>
          <w:sz w:val="24"/>
          <w:szCs w:val="24"/>
          <w:highlight w:val="none"/>
        </w:rPr>
        <w:t>（北京时间）前</w:t>
      </w:r>
      <w:r>
        <w:rPr>
          <w:rFonts w:hint="eastAsia" w:ascii="宋体" w:hAnsi="宋体" w:cs="宋体"/>
          <w:sz w:val="24"/>
          <w:szCs w:val="24"/>
          <w:highlight w:val="none"/>
        </w:rPr>
        <w:t>递交（上传）投标文件。</w:t>
      </w:r>
    </w:p>
    <w:p>
      <w:pPr>
        <w:spacing w:line="500" w:lineRule="exact"/>
        <w:rPr>
          <w:rFonts w:ascii="宋体" w:hAnsi="宋体" w:cs="宋体"/>
          <w:b/>
          <w:sz w:val="24"/>
          <w:szCs w:val="24"/>
          <w:highlight w:val="none"/>
        </w:rPr>
      </w:pPr>
      <w:r>
        <w:rPr>
          <w:rFonts w:hint="eastAsia" w:ascii="宋体" w:hAnsi="宋体" w:cs="宋体"/>
          <w:b/>
          <w:sz w:val="24"/>
          <w:szCs w:val="24"/>
          <w:highlight w:val="none"/>
        </w:rPr>
        <w:t xml:space="preserve">一、项目基本情况                                            </w:t>
      </w:r>
    </w:p>
    <w:p>
      <w:pPr>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b/>
          <w:sz w:val="24"/>
          <w:szCs w:val="24"/>
          <w:highlight w:val="none"/>
        </w:rPr>
        <w:t>项目编号：</w:t>
      </w:r>
      <w:r>
        <w:rPr>
          <w:rFonts w:hint="eastAsia" w:ascii="宋体" w:hAnsi="宋体" w:cs="宋体"/>
          <w:sz w:val="24"/>
          <w:szCs w:val="24"/>
          <w:highlight w:val="none"/>
          <w:lang w:eastAsia="zh-CN"/>
        </w:rPr>
        <w:t>ZJZTQZ202</w:t>
      </w:r>
      <w:r>
        <w:rPr>
          <w:rFonts w:hint="eastAsia" w:ascii="宋体" w:hAnsi="宋体" w:cs="宋体"/>
          <w:sz w:val="24"/>
          <w:szCs w:val="24"/>
          <w:highlight w:val="none"/>
          <w:lang w:val="en-US" w:eastAsia="zh-CN"/>
        </w:rPr>
        <w:t>4-04</w:t>
      </w:r>
    </w:p>
    <w:p>
      <w:pPr>
        <w:spacing w:line="500" w:lineRule="exact"/>
        <w:ind w:firstLine="480"/>
        <w:rPr>
          <w:rFonts w:hint="eastAsia" w:ascii="宋体" w:hAnsi="宋体" w:cs="宋体"/>
          <w:color w:val="auto"/>
          <w:sz w:val="24"/>
          <w:highlight w:val="none"/>
          <w:u w:val="single"/>
          <w:lang w:val="en-US" w:eastAsia="zh-CN"/>
        </w:rPr>
      </w:pPr>
      <w:r>
        <w:rPr>
          <w:rFonts w:hint="eastAsia" w:ascii="宋体" w:hAnsi="宋体" w:cs="宋体"/>
          <w:b/>
          <w:sz w:val="24"/>
          <w:szCs w:val="24"/>
          <w:highlight w:val="none"/>
        </w:rPr>
        <w:t>项目名称：</w:t>
      </w:r>
      <w:r>
        <w:rPr>
          <w:rFonts w:hint="eastAsia" w:ascii="宋体" w:hAnsi="宋体" w:cs="宋体"/>
          <w:color w:val="auto"/>
          <w:sz w:val="24"/>
          <w:highlight w:val="none"/>
          <w:u w:val="single"/>
          <w:lang w:val="en-US" w:eastAsia="zh-CN"/>
        </w:rPr>
        <w:t>衢州智慧新城2024-2025年度规划类项目技术服务项目</w:t>
      </w:r>
    </w:p>
    <w:p>
      <w:pPr>
        <w:spacing w:line="500" w:lineRule="exact"/>
        <w:ind w:firstLine="480"/>
        <w:rPr>
          <w:rFonts w:hint="eastAsia" w:ascii="宋体" w:hAnsi="宋体" w:cs="宋体"/>
          <w:color w:val="auto"/>
          <w:sz w:val="24"/>
          <w:highlight w:val="none"/>
          <w:u w:val="none"/>
          <w:lang w:val="en-US" w:eastAsia="zh-CN"/>
        </w:rPr>
      </w:pPr>
      <w:r>
        <w:rPr>
          <w:rFonts w:hint="eastAsia" w:ascii="宋体" w:hAnsi="宋体" w:cs="宋体"/>
          <w:b/>
          <w:sz w:val="24"/>
          <w:szCs w:val="24"/>
          <w:highlight w:val="none"/>
        </w:rPr>
        <w:t>预算金额（元）：</w:t>
      </w:r>
      <w:r>
        <w:rPr>
          <w:rFonts w:hint="eastAsia" w:ascii="宋体" w:hAnsi="宋体" w:cs="宋体"/>
          <w:color w:val="auto"/>
          <w:sz w:val="24"/>
          <w:highlight w:val="none"/>
          <w:u w:val="none"/>
          <w:lang w:val="en-US" w:eastAsia="zh-CN"/>
        </w:rPr>
        <w:t xml:space="preserve">2000000 </w:t>
      </w:r>
    </w:p>
    <w:p>
      <w:pPr>
        <w:spacing w:line="500" w:lineRule="exact"/>
        <w:ind w:firstLine="480"/>
        <w:rPr>
          <w:rFonts w:hint="eastAsia" w:ascii="宋体" w:hAnsi="宋体" w:cs="宋体"/>
          <w:color w:val="auto"/>
          <w:sz w:val="24"/>
          <w:highlight w:val="none"/>
          <w:u w:val="none"/>
          <w:lang w:val="en-US" w:eastAsia="zh-CN"/>
        </w:rPr>
      </w:pPr>
      <w:r>
        <w:rPr>
          <w:rFonts w:hint="eastAsia" w:ascii="宋体" w:hAnsi="宋体" w:cs="宋体"/>
          <w:b/>
          <w:sz w:val="24"/>
          <w:szCs w:val="24"/>
          <w:highlight w:val="none"/>
          <w:u w:val="none"/>
        </w:rPr>
        <w:t>最高限价（元）：</w:t>
      </w:r>
      <w:r>
        <w:rPr>
          <w:rFonts w:hint="eastAsia" w:ascii="宋体" w:hAnsi="宋体" w:cs="宋体"/>
          <w:sz w:val="24"/>
          <w:szCs w:val="24"/>
          <w:highlight w:val="none"/>
          <w:u w:val="none"/>
        </w:rPr>
        <w:t xml:space="preserve"> </w:t>
      </w:r>
      <w:r>
        <w:rPr>
          <w:rFonts w:hint="eastAsia" w:ascii="宋体" w:hAnsi="宋体" w:cs="宋体"/>
          <w:color w:val="auto"/>
          <w:sz w:val="24"/>
          <w:highlight w:val="none"/>
          <w:u w:val="none"/>
          <w:lang w:val="en-US" w:eastAsia="zh-CN"/>
        </w:rPr>
        <w:t xml:space="preserve">2000000 </w:t>
      </w:r>
    </w:p>
    <w:p>
      <w:pPr>
        <w:spacing w:line="360" w:lineRule="auto"/>
        <w:ind w:firstLine="480"/>
        <w:rPr>
          <w:rFonts w:hint="eastAsia" w:ascii="宋体" w:hAnsi="宋体" w:cs="宋体"/>
          <w:b w:val="0"/>
          <w:bCs/>
          <w:color w:val="auto"/>
          <w:sz w:val="24"/>
          <w:highlight w:val="none"/>
        </w:rPr>
      </w:pPr>
      <w:r>
        <w:rPr>
          <w:rFonts w:hint="eastAsia" w:ascii="宋体" w:hAnsi="宋体" w:cs="宋体"/>
          <w:b/>
          <w:color w:val="auto"/>
          <w:sz w:val="24"/>
          <w:highlight w:val="none"/>
        </w:rPr>
        <w:t>采购需求：</w:t>
      </w:r>
      <w:r>
        <w:rPr>
          <w:rFonts w:hint="eastAsia" w:ascii="宋体" w:hAnsi="宋体" w:cs="宋体"/>
          <w:b w:val="0"/>
          <w:bCs/>
          <w:color w:val="auto"/>
          <w:sz w:val="24"/>
          <w:highlight w:val="none"/>
          <w:lang w:val="en-US" w:eastAsia="zh-CN"/>
        </w:rPr>
        <w:t>完成</w:t>
      </w:r>
      <w:r>
        <w:rPr>
          <w:rFonts w:hint="eastAsia" w:ascii="宋体" w:hAnsi="宋体" w:cs="宋体"/>
          <w:color w:val="auto"/>
          <w:sz w:val="24"/>
          <w:highlight w:val="none"/>
          <w:u w:val="single"/>
          <w:lang w:val="en-US" w:eastAsia="zh-CN"/>
        </w:rPr>
        <w:t>衢州智慧新城2024-2025年度规划类项目技术服务</w:t>
      </w:r>
      <w:r>
        <w:rPr>
          <w:rFonts w:hint="eastAsia" w:ascii="宋体" w:hAnsi="宋体" w:cs="宋体"/>
          <w:b w:val="0"/>
          <w:bCs/>
          <w:color w:val="auto"/>
          <w:sz w:val="24"/>
          <w:highlight w:val="none"/>
        </w:rPr>
        <w:t>。具体以招标文件第三部分采购需求为准，供应商可点击本公告下方“浏览采购文件”查看采购需求。</w:t>
      </w:r>
    </w:p>
    <w:p>
      <w:pPr>
        <w:pStyle w:val="27"/>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 w:val="24"/>
          <w:szCs w:val="24"/>
          <w:highlight w:val="none"/>
          <w:lang w:val="en-US" w:eastAsia="zh-CN"/>
        </w:rPr>
        <w:t>一年</w:t>
      </w:r>
      <w:r>
        <w:rPr>
          <w:rFonts w:hint="eastAsia" w:ascii="宋体" w:hAnsi="宋体" w:cs="宋体"/>
          <w:color w:val="auto"/>
          <w:sz w:val="24"/>
          <w:szCs w:val="24"/>
          <w:highlight w:val="none"/>
          <w:lang w:eastAsia="zh-CN"/>
        </w:rPr>
        <w:t>。</w:t>
      </w:r>
    </w:p>
    <w:p>
      <w:pPr>
        <w:pStyle w:val="8"/>
        <w:spacing w:line="360" w:lineRule="auto"/>
        <w:ind w:firstLine="480"/>
        <w:rPr>
          <w:rFonts w:hAnsi="宋体" w:cs="宋体"/>
          <w:b/>
          <w:color w:val="auto"/>
          <w:highlight w:val="none"/>
        </w:rPr>
      </w:pPr>
      <w:r>
        <w:rPr>
          <w:rFonts w:hint="eastAsia" w:hAnsi="宋体" w:cs="宋体"/>
          <w:b/>
          <w:color w:val="auto"/>
          <w:sz w:val="24"/>
          <w:highlight w:val="none"/>
        </w:rPr>
        <w:t>本项目</w:t>
      </w:r>
      <w:r>
        <w:rPr>
          <w:rFonts w:hint="eastAsia" w:hAnsi="宋体" w:cs="宋体"/>
          <w:b/>
          <w:color w:val="auto"/>
          <w:sz w:val="24"/>
          <w:highlight w:val="none"/>
          <w:lang w:val="en-US" w:eastAsia="zh-CN"/>
        </w:rPr>
        <w:t>（否）</w:t>
      </w:r>
      <w:r>
        <w:rPr>
          <w:rFonts w:hint="eastAsia" w:hAnsi="宋体" w:cs="宋体"/>
          <w:b/>
          <w:color w:val="auto"/>
          <w:sz w:val="24"/>
          <w:highlight w:val="none"/>
        </w:rPr>
        <w:t>接受联合体投标</w:t>
      </w:r>
      <w:r>
        <w:rPr>
          <w:rFonts w:hint="eastAsia" w:hAnsi="宋体" w:cs="宋体"/>
          <w:color w:val="auto"/>
          <w:kern w:val="0"/>
          <w:sz w:val="24"/>
          <w:highlight w:val="none"/>
        </w:rPr>
        <w:t>。</w:t>
      </w:r>
    </w:p>
    <w:p>
      <w:pPr>
        <w:spacing w:line="500" w:lineRule="exact"/>
        <w:rPr>
          <w:rFonts w:ascii="宋体" w:hAnsi="宋体" w:cs="宋体"/>
          <w:b/>
          <w:sz w:val="24"/>
          <w:szCs w:val="24"/>
          <w:highlight w:val="none"/>
        </w:rPr>
      </w:pPr>
      <w:r>
        <w:rPr>
          <w:rFonts w:hint="eastAsia" w:ascii="宋体" w:hAnsi="宋体" w:cs="宋体"/>
          <w:b/>
          <w:sz w:val="24"/>
          <w:szCs w:val="24"/>
          <w:highlight w:val="none"/>
        </w:rPr>
        <w:t>二、</w:t>
      </w:r>
      <w:bookmarkStart w:id="1" w:name="_Hlk101132948"/>
      <w:r>
        <w:rPr>
          <w:rFonts w:hint="eastAsia" w:ascii="宋体" w:hAnsi="宋体" w:cs="宋体"/>
          <w:b/>
          <w:sz w:val="24"/>
          <w:szCs w:val="24"/>
          <w:highlight w:val="none"/>
        </w:rPr>
        <w:t>申请人的资格要求</w:t>
      </w:r>
      <w:bookmarkEnd w:id="1"/>
      <w:r>
        <w:rPr>
          <w:rFonts w:hint="eastAsia" w:ascii="宋体" w:hAnsi="宋体" w:cs="宋体"/>
          <w:b/>
          <w:sz w:val="24"/>
          <w:szCs w:val="24"/>
          <w:highlight w:val="none"/>
        </w:rPr>
        <w:t>：</w:t>
      </w:r>
    </w:p>
    <w:p>
      <w:pPr>
        <w:spacing w:line="500" w:lineRule="exact"/>
        <w:ind w:firstLine="480"/>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napToGrid w:val="0"/>
          <w:kern w:val="28"/>
          <w:sz w:val="24"/>
          <w:szCs w:val="24"/>
          <w:highlight w:val="none"/>
        </w:rPr>
        <w:t>2.落实政府采购政策需满足的资格要求：</w:t>
      </w:r>
      <w:r>
        <w:rPr>
          <w:rFonts w:hint="eastAsia" w:ascii="宋体" w:hAnsi="宋体" w:cs="宋体"/>
          <w:snapToGrid w:val="0"/>
          <w:kern w:val="28"/>
          <w:sz w:val="24"/>
          <w:szCs w:val="24"/>
          <w:highlight w:val="none"/>
          <w:lang w:val="en-US" w:eastAsia="zh-CN"/>
        </w:rPr>
        <w:t>无</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4.本项目的特定资格要求：</w:t>
      </w:r>
      <w:r>
        <w:rPr>
          <w:rFonts w:ascii="宋体" w:hAnsi="宋体" w:cs="宋体"/>
          <w:snapToGrid w:val="0"/>
          <w:color w:val="auto"/>
          <w:kern w:val="28"/>
          <w:sz w:val="24"/>
          <w:szCs w:val="20"/>
          <w:highlight w:val="none"/>
        </w:rPr>
        <w:t>具备城乡规划编制乙级</w:t>
      </w:r>
      <w:r>
        <w:rPr>
          <w:rFonts w:hint="eastAsia" w:ascii="宋体" w:hAnsi="宋体" w:cs="宋体"/>
          <w:snapToGrid w:val="0"/>
          <w:color w:val="auto"/>
          <w:kern w:val="28"/>
          <w:sz w:val="24"/>
          <w:szCs w:val="20"/>
          <w:highlight w:val="none"/>
          <w:lang w:val="en-US" w:eastAsia="zh-CN"/>
        </w:rPr>
        <w:t>或</w:t>
      </w:r>
      <w:r>
        <w:rPr>
          <w:rFonts w:ascii="宋体" w:hAnsi="宋体" w:cs="宋体"/>
          <w:snapToGrid w:val="0"/>
          <w:color w:val="auto"/>
          <w:kern w:val="28"/>
          <w:sz w:val="24"/>
          <w:szCs w:val="20"/>
          <w:highlight w:val="none"/>
        </w:rPr>
        <w:t>以上资质</w:t>
      </w:r>
      <w:r>
        <w:rPr>
          <w:rFonts w:hint="eastAsia" w:ascii="宋体" w:hAnsi="宋体" w:cs="宋体"/>
          <w:sz w:val="24"/>
          <w:szCs w:val="24"/>
          <w:highlight w:val="none"/>
        </w:rPr>
        <w:t>；</w:t>
      </w:r>
    </w:p>
    <w:p>
      <w:pPr>
        <w:spacing w:line="500" w:lineRule="exact"/>
        <w:rPr>
          <w:rFonts w:ascii="宋体" w:hAnsi="宋体" w:cs="宋体"/>
          <w:b/>
          <w:sz w:val="24"/>
          <w:szCs w:val="24"/>
          <w:highlight w:val="none"/>
        </w:rPr>
      </w:pPr>
      <w:r>
        <w:rPr>
          <w:rFonts w:hint="eastAsia" w:ascii="宋体" w:hAnsi="宋体" w:cs="宋体"/>
          <w:b/>
          <w:sz w:val="24"/>
          <w:szCs w:val="24"/>
          <w:highlight w:val="none"/>
        </w:rPr>
        <w:t xml:space="preserve">三、获取招标文件 </w:t>
      </w:r>
    </w:p>
    <w:p>
      <w:pPr>
        <w:spacing w:line="500" w:lineRule="exact"/>
        <w:ind w:firstLine="482" w:firstLineChars="200"/>
        <w:rPr>
          <w:rFonts w:ascii="宋体" w:hAnsi="宋体" w:cs="宋体"/>
          <w:sz w:val="24"/>
          <w:szCs w:val="24"/>
          <w:highlight w:val="none"/>
        </w:rPr>
      </w:pPr>
      <w:r>
        <w:rPr>
          <w:rFonts w:hint="eastAsia" w:ascii="宋体" w:hAnsi="宋体" w:cs="宋体"/>
          <w:b/>
          <w:sz w:val="24"/>
          <w:szCs w:val="24"/>
          <w:highlight w:val="none"/>
        </w:rPr>
        <w:t>时间：</w:t>
      </w:r>
      <w:r>
        <w:rPr>
          <w:rFonts w:hint="eastAsia" w:ascii="宋体" w:hAnsi="宋体" w:cs="宋体"/>
          <w:sz w:val="24"/>
          <w:szCs w:val="24"/>
          <w:highlight w:val="none"/>
        </w:rPr>
        <w:t>招标公告发布之日起至</w:t>
      </w:r>
      <w:r>
        <w:rPr>
          <w:rFonts w:hint="eastAsia" w:ascii="宋体" w:hAnsi="宋体" w:cs="宋体"/>
          <w:sz w:val="24"/>
          <w:szCs w:val="24"/>
          <w:highlight w:val="none"/>
          <w:u w:val="none"/>
        </w:rPr>
        <w:t>202</w:t>
      </w:r>
      <w:r>
        <w:rPr>
          <w:rFonts w:hint="eastAsia" w:ascii="宋体" w:hAnsi="宋体" w:cs="宋体"/>
          <w:sz w:val="24"/>
          <w:szCs w:val="24"/>
          <w:highlight w:val="none"/>
          <w:u w:val="none"/>
          <w:lang w:val="en-US" w:eastAsia="zh-CN"/>
        </w:rPr>
        <w:t>4</w:t>
      </w:r>
      <w:r>
        <w:rPr>
          <w:rFonts w:hint="eastAsia" w:ascii="宋体" w:hAnsi="宋体" w:cs="宋体"/>
          <w:sz w:val="24"/>
          <w:szCs w:val="24"/>
          <w:highlight w:val="none"/>
          <w:u w:val="none"/>
        </w:rPr>
        <w:t>年</w:t>
      </w:r>
      <w:r>
        <w:rPr>
          <w:rFonts w:hint="eastAsia" w:ascii="宋体" w:hAnsi="宋体" w:cs="宋体"/>
          <w:sz w:val="24"/>
          <w:szCs w:val="24"/>
          <w:highlight w:val="none"/>
          <w:u w:val="none"/>
          <w:lang w:val="en-US" w:eastAsia="zh-CN"/>
        </w:rPr>
        <w:t>12</w:t>
      </w:r>
      <w:r>
        <w:rPr>
          <w:rFonts w:hint="eastAsia" w:ascii="宋体" w:hAnsi="宋体" w:cs="宋体"/>
          <w:sz w:val="24"/>
          <w:szCs w:val="24"/>
          <w:highlight w:val="none"/>
          <w:u w:val="none"/>
        </w:rPr>
        <w:t>月</w:t>
      </w:r>
      <w:r>
        <w:rPr>
          <w:rFonts w:hint="eastAsia" w:ascii="宋体" w:hAnsi="宋体" w:cs="宋体"/>
          <w:sz w:val="24"/>
          <w:szCs w:val="24"/>
          <w:highlight w:val="none"/>
          <w:u w:val="none"/>
          <w:lang w:val="en-US" w:eastAsia="zh-CN"/>
        </w:rPr>
        <w:t xml:space="preserve">3 </w:t>
      </w:r>
      <w:r>
        <w:rPr>
          <w:rFonts w:hint="eastAsia" w:ascii="宋体" w:hAnsi="宋体" w:cs="宋体"/>
          <w:sz w:val="24"/>
          <w:szCs w:val="24"/>
          <w:highlight w:val="none"/>
          <w:u w:val="none"/>
        </w:rPr>
        <w:t>日，每</w:t>
      </w:r>
      <w:r>
        <w:rPr>
          <w:rFonts w:hint="eastAsia" w:ascii="宋体" w:hAnsi="宋体" w:cs="宋体"/>
          <w:sz w:val="24"/>
          <w:szCs w:val="24"/>
          <w:highlight w:val="none"/>
        </w:rPr>
        <w:t>天上午00:00至12:00 ，下午12:00至23:59（北京时间，线上获取法定节假日均可，线下获取文件法定节假日除外）</w:t>
      </w:r>
    </w:p>
    <w:p>
      <w:pPr>
        <w:spacing w:line="500" w:lineRule="exact"/>
        <w:ind w:firstLine="482" w:firstLineChars="200"/>
        <w:rPr>
          <w:rFonts w:ascii="宋体" w:hAnsi="宋体" w:cs="宋体"/>
          <w:sz w:val="24"/>
          <w:szCs w:val="24"/>
          <w:highlight w:val="none"/>
        </w:rPr>
      </w:pPr>
      <w:r>
        <w:rPr>
          <w:rFonts w:hint="eastAsia" w:ascii="宋体" w:hAnsi="宋体" w:cs="宋体"/>
          <w:b/>
          <w:sz w:val="24"/>
          <w:szCs w:val="24"/>
          <w:highlight w:val="none"/>
        </w:rPr>
        <w:t>地点（网址）：</w:t>
      </w:r>
      <w:r>
        <w:rPr>
          <w:rFonts w:hint="eastAsia" w:ascii="宋体" w:hAnsi="宋体" w:cs="宋体"/>
          <w:sz w:val="24"/>
          <w:szCs w:val="24"/>
          <w:highlight w:val="none"/>
        </w:rPr>
        <w:t xml:space="preserve">政采云平台（https://www.zcygov.cn/） </w:t>
      </w:r>
    </w:p>
    <w:p>
      <w:pPr>
        <w:spacing w:line="500" w:lineRule="exact"/>
        <w:ind w:firstLine="482" w:firstLineChars="200"/>
        <w:rPr>
          <w:rFonts w:ascii="仿宋" w:hAnsi="仿宋" w:eastAsia="仿宋" w:cs="仿宋"/>
          <w:i w:val="0"/>
          <w:iCs w:val="0"/>
          <w:caps w:val="0"/>
          <w:color w:val="000000"/>
          <w:spacing w:val="0"/>
          <w:sz w:val="27"/>
          <w:szCs w:val="27"/>
          <w:highlight w:val="none"/>
        </w:rPr>
      </w:pPr>
      <w:r>
        <w:rPr>
          <w:rFonts w:hint="eastAsia" w:ascii="宋体" w:hAnsi="宋体" w:cs="宋体"/>
          <w:b/>
          <w:sz w:val="24"/>
          <w:szCs w:val="24"/>
          <w:highlight w:val="none"/>
        </w:rPr>
        <w:t>方式：</w:t>
      </w:r>
      <w:r>
        <w:rPr>
          <w:rFonts w:ascii="仿宋" w:hAnsi="仿宋" w:eastAsia="仿宋" w:cs="仿宋"/>
          <w:i w:val="0"/>
          <w:iCs w:val="0"/>
          <w:caps w:val="0"/>
          <w:color w:val="000000"/>
          <w:spacing w:val="0"/>
          <w:sz w:val="27"/>
          <w:szCs w:val="27"/>
          <w:highlight w:val="none"/>
        </w:rPr>
        <w:t>投</w:t>
      </w:r>
      <w:r>
        <w:rPr>
          <w:rFonts w:hint="eastAsia" w:ascii="宋体" w:hAnsi="宋体" w:cs="宋体"/>
          <w:sz w:val="24"/>
          <w:szCs w:val="24"/>
          <w:highlight w:val="none"/>
        </w:rPr>
        <w:t>标人可在浙江政府采购网（zfcg.czt.zj.gov.cn）选择“潜在供应商”获取采购文件或“游客”浏览采购文件。</w:t>
      </w:r>
    </w:p>
    <w:p>
      <w:pPr>
        <w:spacing w:line="500" w:lineRule="exact"/>
        <w:ind w:firstLine="482" w:firstLineChars="200"/>
        <w:rPr>
          <w:rFonts w:ascii="宋体" w:hAnsi="宋体" w:cs="宋体"/>
          <w:sz w:val="24"/>
          <w:szCs w:val="24"/>
          <w:highlight w:val="none"/>
        </w:rPr>
      </w:pPr>
      <w:r>
        <w:rPr>
          <w:rFonts w:hint="eastAsia" w:ascii="宋体" w:hAnsi="宋体" w:cs="宋体"/>
          <w:b/>
          <w:sz w:val="24"/>
          <w:szCs w:val="24"/>
          <w:highlight w:val="none"/>
        </w:rPr>
        <w:t>售价（元）：</w:t>
      </w:r>
      <w:r>
        <w:rPr>
          <w:rFonts w:hint="eastAsia" w:ascii="宋体" w:hAnsi="宋体" w:cs="宋体"/>
          <w:sz w:val="24"/>
          <w:szCs w:val="24"/>
          <w:highlight w:val="none"/>
        </w:rPr>
        <w:t xml:space="preserve">0 </w:t>
      </w:r>
      <w:r>
        <w:rPr>
          <w:rFonts w:hint="eastAsia" w:ascii="宋体" w:hAnsi="宋体" w:cs="宋体"/>
          <w:sz w:val="24"/>
          <w:szCs w:val="24"/>
          <w:highlight w:val="none"/>
        </w:rPr>
        <w:tab/>
      </w:r>
    </w:p>
    <w:p>
      <w:pPr>
        <w:spacing w:line="500" w:lineRule="exact"/>
        <w:rPr>
          <w:rFonts w:ascii="宋体" w:hAnsi="宋体" w:cs="宋体"/>
          <w:b/>
          <w:sz w:val="24"/>
          <w:szCs w:val="24"/>
          <w:highlight w:val="none"/>
        </w:rPr>
      </w:pPr>
      <w:r>
        <w:rPr>
          <w:rFonts w:hint="eastAsia" w:ascii="宋体" w:hAnsi="宋体" w:cs="宋体"/>
          <w:b/>
          <w:sz w:val="24"/>
          <w:szCs w:val="24"/>
          <w:highlight w:val="none"/>
        </w:rPr>
        <w:t>四、提交投标文件截止时间、开标时间和地点</w:t>
      </w:r>
    </w:p>
    <w:p>
      <w:pPr>
        <w:spacing w:line="500" w:lineRule="exact"/>
        <w:ind w:firstLine="482" w:firstLineChars="200"/>
        <w:rPr>
          <w:rFonts w:ascii="宋体" w:hAnsi="宋体" w:cs="宋体"/>
          <w:sz w:val="24"/>
          <w:szCs w:val="24"/>
          <w:highlight w:val="none"/>
          <w:u w:val="none"/>
        </w:rPr>
      </w:pPr>
      <w:r>
        <w:rPr>
          <w:rFonts w:hint="eastAsia" w:ascii="宋体" w:hAnsi="宋体" w:cs="宋体"/>
          <w:b/>
          <w:sz w:val="24"/>
          <w:szCs w:val="24"/>
          <w:highlight w:val="none"/>
        </w:rPr>
        <w:t>提交投标文件截止时间：</w:t>
      </w:r>
      <w:r>
        <w:rPr>
          <w:rFonts w:hint="eastAsia" w:ascii="宋体" w:hAnsi="宋体" w:cs="宋体"/>
          <w:sz w:val="24"/>
          <w:szCs w:val="24"/>
          <w:highlight w:val="none"/>
          <w:u w:val="none"/>
        </w:rPr>
        <w:t xml:space="preserve"> 202</w:t>
      </w:r>
      <w:r>
        <w:rPr>
          <w:rFonts w:hint="eastAsia" w:ascii="宋体" w:hAnsi="宋体" w:cs="宋体"/>
          <w:sz w:val="24"/>
          <w:szCs w:val="24"/>
          <w:highlight w:val="none"/>
          <w:u w:val="none"/>
          <w:lang w:val="en-US" w:eastAsia="zh-CN"/>
        </w:rPr>
        <w:t>4</w:t>
      </w:r>
      <w:r>
        <w:rPr>
          <w:rFonts w:hint="eastAsia" w:ascii="宋体" w:hAnsi="宋体" w:cs="宋体"/>
          <w:sz w:val="24"/>
          <w:szCs w:val="24"/>
          <w:highlight w:val="none"/>
          <w:u w:val="none"/>
        </w:rPr>
        <w:t>年</w:t>
      </w:r>
      <w:r>
        <w:rPr>
          <w:rFonts w:hint="eastAsia" w:ascii="宋体" w:hAnsi="宋体" w:cs="宋体"/>
          <w:sz w:val="24"/>
          <w:szCs w:val="24"/>
          <w:highlight w:val="none"/>
          <w:u w:val="none"/>
          <w:lang w:val="en-US" w:eastAsia="zh-CN"/>
        </w:rPr>
        <w:t>12</w:t>
      </w:r>
      <w:r>
        <w:rPr>
          <w:rFonts w:hint="eastAsia" w:ascii="宋体" w:hAnsi="宋体" w:cs="宋体"/>
          <w:sz w:val="24"/>
          <w:szCs w:val="24"/>
          <w:highlight w:val="none"/>
          <w:u w:val="none"/>
        </w:rPr>
        <w:t>月</w:t>
      </w:r>
      <w:r>
        <w:rPr>
          <w:rFonts w:hint="eastAsia" w:ascii="宋体" w:hAnsi="宋体" w:cs="宋体"/>
          <w:sz w:val="24"/>
          <w:szCs w:val="24"/>
          <w:highlight w:val="none"/>
          <w:u w:val="none"/>
          <w:lang w:val="en-US" w:eastAsia="zh-CN"/>
        </w:rPr>
        <w:t>3</w:t>
      </w:r>
      <w:r>
        <w:rPr>
          <w:rFonts w:hint="eastAsia" w:ascii="宋体" w:hAnsi="宋体" w:cs="宋体"/>
          <w:sz w:val="24"/>
          <w:szCs w:val="24"/>
          <w:highlight w:val="none"/>
          <w:u w:val="none"/>
        </w:rPr>
        <w:t xml:space="preserve"> 日 </w:t>
      </w:r>
      <w:r>
        <w:rPr>
          <w:rFonts w:hint="eastAsia" w:ascii="宋体" w:hAnsi="宋体" w:cs="宋体"/>
          <w:sz w:val="24"/>
          <w:szCs w:val="24"/>
          <w:highlight w:val="none"/>
          <w:u w:val="none"/>
          <w:lang w:val="en-US" w:eastAsia="zh-CN"/>
        </w:rPr>
        <w:t>09</w:t>
      </w:r>
      <w:r>
        <w:rPr>
          <w:rFonts w:hint="eastAsia" w:ascii="宋体" w:hAnsi="宋体" w:cs="宋体"/>
          <w:sz w:val="24"/>
          <w:szCs w:val="24"/>
          <w:highlight w:val="none"/>
          <w:u w:val="none"/>
        </w:rPr>
        <w:t>点</w:t>
      </w:r>
      <w:r>
        <w:rPr>
          <w:rFonts w:hint="eastAsia" w:ascii="宋体" w:hAnsi="宋体" w:cs="宋体"/>
          <w:sz w:val="24"/>
          <w:szCs w:val="24"/>
          <w:highlight w:val="none"/>
          <w:u w:val="none"/>
          <w:lang w:val="en-US" w:eastAsia="zh-CN"/>
        </w:rPr>
        <w:t>00</w:t>
      </w:r>
      <w:r>
        <w:rPr>
          <w:rFonts w:hint="eastAsia" w:ascii="宋体" w:hAnsi="宋体" w:cs="宋体"/>
          <w:sz w:val="24"/>
          <w:szCs w:val="24"/>
          <w:highlight w:val="none"/>
          <w:u w:val="none"/>
        </w:rPr>
        <w:t>分00秒（北京时间）</w:t>
      </w:r>
    </w:p>
    <w:p>
      <w:pPr>
        <w:spacing w:line="500" w:lineRule="exact"/>
        <w:ind w:firstLine="482" w:firstLineChars="200"/>
        <w:rPr>
          <w:rFonts w:hint="eastAsia" w:ascii="宋体" w:hAnsi="宋体" w:cs="宋体"/>
          <w:sz w:val="24"/>
          <w:szCs w:val="24"/>
          <w:highlight w:val="none"/>
          <w:u w:val="none"/>
        </w:rPr>
      </w:pPr>
      <w:r>
        <w:rPr>
          <w:rFonts w:hint="eastAsia" w:ascii="宋体" w:hAnsi="宋体" w:cs="宋体"/>
          <w:b/>
          <w:sz w:val="24"/>
          <w:szCs w:val="24"/>
          <w:highlight w:val="none"/>
          <w:u w:val="none"/>
        </w:rPr>
        <w:t>投标地点（网址）：</w:t>
      </w:r>
      <w:r>
        <w:rPr>
          <w:rFonts w:hint="eastAsia" w:ascii="宋体" w:hAnsi="宋体" w:cs="宋体"/>
          <w:sz w:val="24"/>
          <w:szCs w:val="24"/>
          <w:highlight w:val="none"/>
          <w:u w:val="none"/>
        </w:rPr>
        <w:t>请登录政采云投标客户端投标 </w:t>
      </w:r>
    </w:p>
    <w:p>
      <w:pPr>
        <w:spacing w:line="500" w:lineRule="exact"/>
        <w:ind w:firstLine="482" w:firstLineChars="200"/>
        <w:rPr>
          <w:rFonts w:ascii="宋体" w:hAnsi="宋体" w:cs="宋体"/>
          <w:bCs/>
          <w:sz w:val="24"/>
          <w:szCs w:val="24"/>
          <w:highlight w:val="none"/>
          <w:u w:val="none"/>
        </w:rPr>
      </w:pPr>
      <w:r>
        <w:rPr>
          <w:rFonts w:hint="eastAsia" w:ascii="宋体" w:hAnsi="宋体" w:cs="宋体"/>
          <w:b/>
          <w:sz w:val="24"/>
          <w:szCs w:val="24"/>
          <w:highlight w:val="none"/>
          <w:u w:val="none"/>
        </w:rPr>
        <w:t>开标时间：</w:t>
      </w:r>
      <w:r>
        <w:rPr>
          <w:rFonts w:hint="eastAsia" w:ascii="宋体" w:hAnsi="宋体" w:cs="宋体"/>
          <w:sz w:val="24"/>
          <w:szCs w:val="24"/>
          <w:highlight w:val="none"/>
          <w:u w:val="none"/>
        </w:rPr>
        <w:t>20</w:t>
      </w:r>
      <w:r>
        <w:rPr>
          <w:rFonts w:hint="eastAsia" w:ascii="宋体" w:hAnsi="宋体" w:cs="宋体"/>
          <w:sz w:val="24"/>
          <w:szCs w:val="24"/>
          <w:highlight w:val="none"/>
          <w:u w:val="none"/>
          <w:lang w:val="en-US" w:eastAsia="zh-CN"/>
        </w:rPr>
        <w:t>24</w:t>
      </w:r>
      <w:r>
        <w:rPr>
          <w:rFonts w:hint="eastAsia" w:ascii="宋体" w:hAnsi="宋体" w:cs="宋体"/>
          <w:sz w:val="24"/>
          <w:szCs w:val="24"/>
          <w:highlight w:val="none"/>
          <w:u w:val="none"/>
        </w:rPr>
        <w:t>年</w:t>
      </w:r>
      <w:r>
        <w:rPr>
          <w:rFonts w:hint="eastAsia" w:ascii="宋体" w:hAnsi="宋体" w:cs="宋体"/>
          <w:sz w:val="24"/>
          <w:szCs w:val="24"/>
          <w:highlight w:val="none"/>
          <w:u w:val="none"/>
          <w:lang w:val="en-US" w:eastAsia="zh-CN"/>
        </w:rPr>
        <w:t>12</w:t>
      </w:r>
      <w:r>
        <w:rPr>
          <w:rFonts w:hint="eastAsia" w:ascii="宋体" w:hAnsi="宋体" w:cs="宋体"/>
          <w:sz w:val="24"/>
          <w:szCs w:val="24"/>
          <w:highlight w:val="none"/>
          <w:u w:val="none"/>
        </w:rPr>
        <w:t>月</w:t>
      </w:r>
      <w:r>
        <w:rPr>
          <w:rFonts w:hint="eastAsia" w:ascii="宋体" w:hAnsi="宋体" w:cs="宋体"/>
          <w:sz w:val="24"/>
          <w:szCs w:val="24"/>
          <w:highlight w:val="none"/>
          <w:u w:val="none"/>
          <w:lang w:val="en-US" w:eastAsia="zh-CN"/>
        </w:rPr>
        <w:t>3</w:t>
      </w:r>
      <w:r>
        <w:rPr>
          <w:rFonts w:hint="eastAsia" w:ascii="宋体" w:hAnsi="宋体" w:cs="宋体"/>
          <w:sz w:val="24"/>
          <w:szCs w:val="24"/>
          <w:highlight w:val="none"/>
          <w:u w:val="none"/>
        </w:rPr>
        <w:t>日</w:t>
      </w:r>
      <w:r>
        <w:rPr>
          <w:rFonts w:hint="eastAsia" w:ascii="宋体" w:hAnsi="宋体" w:cs="宋体"/>
          <w:sz w:val="24"/>
          <w:szCs w:val="24"/>
          <w:highlight w:val="none"/>
          <w:u w:val="none"/>
          <w:lang w:val="en-US" w:eastAsia="zh-CN"/>
        </w:rPr>
        <w:t>09</w:t>
      </w:r>
      <w:r>
        <w:rPr>
          <w:rFonts w:hint="eastAsia" w:ascii="宋体" w:hAnsi="宋体" w:cs="宋体"/>
          <w:sz w:val="24"/>
          <w:szCs w:val="24"/>
          <w:highlight w:val="none"/>
          <w:u w:val="none"/>
        </w:rPr>
        <w:t>点</w:t>
      </w:r>
      <w:r>
        <w:rPr>
          <w:rFonts w:hint="eastAsia" w:ascii="宋体" w:hAnsi="宋体" w:cs="宋体"/>
          <w:sz w:val="24"/>
          <w:szCs w:val="24"/>
          <w:highlight w:val="none"/>
          <w:u w:val="none"/>
          <w:lang w:val="en-US" w:eastAsia="zh-CN"/>
        </w:rPr>
        <w:t>00</w:t>
      </w:r>
      <w:r>
        <w:rPr>
          <w:rFonts w:hint="eastAsia" w:ascii="宋体" w:hAnsi="宋体" w:cs="宋体"/>
          <w:sz w:val="24"/>
          <w:szCs w:val="24"/>
          <w:highlight w:val="none"/>
          <w:u w:val="none"/>
        </w:rPr>
        <w:t>分00秒</w:t>
      </w:r>
    </w:p>
    <w:p>
      <w:pPr>
        <w:spacing w:line="500" w:lineRule="exact"/>
        <w:ind w:firstLine="482" w:firstLineChars="200"/>
        <w:rPr>
          <w:rFonts w:ascii="宋体" w:hAnsi="宋体" w:cs="宋体"/>
          <w:sz w:val="24"/>
          <w:szCs w:val="24"/>
          <w:highlight w:val="none"/>
        </w:rPr>
      </w:pPr>
      <w:r>
        <w:rPr>
          <w:rFonts w:hint="eastAsia" w:ascii="宋体" w:hAnsi="宋体" w:cs="宋体"/>
          <w:b/>
          <w:sz w:val="24"/>
          <w:szCs w:val="24"/>
          <w:highlight w:val="none"/>
        </w:rPr>
        <w:t>开标地点（网址）：</w:t>
      </w:r>
      <w:r>
        <w:rPr>
          <w:rFonts w:hint="eastAsia" w:ascii="宋体" w:hAnsi="宋体" w:cs="宋体"/>
          <w:sz w:val="24"/>
          <w:szCs w:val="24"/>
          <w:highlight w:val="none"/>
        </w:rPr>
        <w:t>政采云平台（https://www.zcygov.cn/）</w:t>
      </w:r>
    </w:p>
    <w:p>
      <w:pPr>
        <w:spacing w:line="500" w:lineRule="exact"/>
        <w:rPr>
          <w:rFonts w:ascii="宋体" w:hAnsi="宋体" w:cs="宋体"/>
          <w:sz w:val="24"/>
          <w:szCs w:val="24"/>
          <w:highlight w:val="none"/>
        </w:rPr>
      </w:pPr>
      <w:r>
        <w:rPr>
          <w:rFonts w:hint="eastAsia" w:ascii="宋体" w:hAnsi="宋体" w:cs="宋体"/>
          <w:b/>
          <w:sz w:val="24"/>
          <w:szCs w:val="24"/>
          <w:highlight w:val="none"/>
        </w:rPr>
        <w:t xml:space="preserve">五、公告期限 </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自本公告发布之日起5个工作日。</w:t>
      </w:r>
    </w:p>
    <w:p>
      <w:pPr>
        <w:spacing w:line="500" w:lineRule="exact"/>
        <w:rPr>
          <w:rFonts w:ascii="宋体" w:hAnsi="宋体" w:cs="宋体"/>
          <w:b/>
          <w:sz w:val="24"/>
          <w:szCs w:val="24"/>
          <w:highlight w:val="none"/>
        </w:rPr>
      </w:pPr>
      <w:r>
        <w:rPr>
          <w:rFonts w:hint="eastAsia" w:ascii="宋体" w:hAnsi="宋体" w:cs="宋体"/>
          <w:b/>
          <w:sz w:val="24"/>
          <w:szCs w:val="24"/>
          <w:highlight w:val="none"/>
        </w:rPr>
        <w:t>六、其他补充事宜</w:t>
      </w:r>
    </w:p>
    <w:p>
      <w:pPr>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4.其他事项：（1）需要落实的政府采购政策：包括节约资源、保护环境、支持创新、促进中小企业发展等。（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宋体" w:hAnsi="宋体" w:cs="宋体"/>
          <w:b/>
          <w:sz w:val="24"/>
          <w:szCs w:val="24"/>
          <w:highlight w:val="none"/>
          <w:lang w:eastAsia="zh-CN"/>
        </w:rPr>
        <w:t>☑</w:t>
      </w:r>
      <w:r>
        <w:rPr>
          <w:rFonts w:hint="eastAsia" w:ascii="宋体" w:hAnsi="宋体" w:cs="宋体"/>
          <w:sz w:val="24"/>
          <w:szCs w:val="24"/>
          <w:highlight w:val="none"/>
          <w:u w:val="single"/>
        </w:rPr>
        <w:t>还可以在投标截止时间前</w:t>
      </w:r>
      <w:r>
        <w:rPr>
          <w:rFonts w:hint="eastAsia" w:ascii="宋体" w:hAnsi="宋体" w:cs="宋体"/>
          <w:sz w:val="24"/>
          <w:szCs w:val="24"/>
          <w:highlight w:val="none"/>
          <w:u w:val="single"/>
          <w:lang w:val="en-US" w:eastAsia="zh-CN"/>
        </w:rPr>
        <w:t>将</w:t>
      </w:r>
      <w:r>
        <w:rPr>
          <w:rFonts w:hint="eastAsia" w:ascii="宋体" w:hAnsi="宋体" w:cs="宋体"/>
          <w:sz w:val="24"/>
          <w:szCs w:val="24"/>
          <w:highlight w:val="none"/>
          <w:u w:val="single"/>
        </w:rPr>
        <w:t>备份投标文件</w:t>
      </w:r>
      <w:r>
        <w:rPr>
          <w:rFonts w:hint="eastAsia" w:ascii="宋体" w:hAnsi="宋体" w:cs="宋体"/>
          <w:sz w:val="24"/>
          <w:szCs w:val="24"/>
          <w:highlight w:val="none"/>
          <w:u w:val="single"/>
          <w:lang w:val="en-US" w:eastAsia="zh-CN"/>
        </w:rPr>
        <w:t>发送至指定邮箱</w:t>
      </w:r>
      <w:r>
        <w:rPr>
          <w:rFonts w:hint="eastAsia" w:ascii="宋体" w:hAnsi="宋体" w:cs="宋体"/>
          <w:sz w:val="24"/>
          <w:szCs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500" w:lineRule="exact"/>
        <w:rPr>
          <w:rFonts w:ascii="宋体" w:hAnsi="宋体" w:cs="宋体"/>
          <w:b/>
          <w:sz w:val="24"/>
          <w:szCs w:val="24"/>
          <w:highlight w:val="none"/>
        </w:rPr>
      </w:pPr>
      <w:r>
        <w:rPr>
          <w:rFonts w:hint="eastAsia" w:ascii="宋体" w:hAnsi="宋体" w:cs="宋体"/>
          <w:b/>
          <w:sz w:val="24"/>
          <w:szCs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sz w:val="24"/>
          <w:szCs w:val="24"/>
          <w:highlight w:val="none"/>
        </w:rPr>
        <w:t xml:space="preserve">    </w:t>
      </w:r>
      <w:r>
        <w:rPr>
          <w:rFonts w:hint="eastAsia" w:ascii="宋体" w:hAnsi="宋体" w:cs="宋体"/>
          <w:color w:val="auto"/>
          <w:sz w:val="24"/>
          <w:highlight w:val="none"/>
        </w:rPr>
        <w:t>1.采购人信息</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衢州智慧新城管理委员会</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浙江省衢州市柯城区</w:t>
      </w:r>
      <w:r>
        <w:rPr>
          <w:rFonts w:hint="eastAsia" w:ascii="宋体" w:hAnsi="宋体" w:cs="宋体"/>
          <w:color w:val="auto"/>
          <w:sz w:val="24"/>
          <w:highlight w:val="none"/>
          <w:lang w:val="en-US" w:eastAsia="zh-CN"/>
        </w:rPr>
        <w:t>钱江</w:t>
      </w:r>
      <w:r>
        <w:rPr>
          <w:rFonts w:hint="eastAsia" w:ascii="宋体" w:hAnsi="宋体" w:cs="宋体"/>
          <w:color w:val="auto"/>
          <w:sz w:val="24"/>
          <w:highlight w:val="none"/>
          <w:lang w:eastAsia="zh-CN"/>
        </w:rPr>
        <w:t>大道</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号</w:t>
      </w: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hint="default" w:ascii="宋体" w:hAnsi="宋体" w:cs="宋体"/>
          <w:color w:val="auto"/>
          <w:sz w:val="24"/>
          <w:highlight w:val="none"/>
          <w:lang w:val="en-US"/>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 汪女士</w:t>
      </w:r>
    </w:p>
    <w:p>
      <w:pPr>
        <w:spacing w:line="360" w:lineRule="auto"/>
        <w:ind w:firstLine="480"/>
        <w:rPr>
          <w:rFonts w:hint="eastAsia" w:ascii="宋体" w:hAnsi="宋体" w:cs="宋体"/>
          <w:color w:val="auto"/>
          <w:sz w:val="24"/>
          <w:highlight w:val="none"/>
          <w:u w:val="none"/>
        </w:rPr>
      </w:pPr>
      <w:r>
        <w:rPr>
          <w:rFonts w:hint="eastAsia" w:ascii="宋体" w:hAnsi="宋体" w:cs="宋体"/>
          <w:color w:val="auto"/>
          <w:sz w:val="24"/>
          <w:highlight w:val="none"/>
          <w:u w:val="none"/>
        </w:rPr>
        <w:t>项目联系方式（询问）：</w:t>
      </w:r>
      <w:r>
        <w:rPr>
          <w:rFonts w:hint="eastAsia" w:ascii="宋体" w:hAnsi="宋体" w:cs="宋体"/>
          <w:color w:val="auto"/>
          <w:sz w:val="24"/>
          <w:highlight w:val="none"/>
          <w:u w:val="none"/>
          <w:lang w:val="en-US" w:eastAsia="zh-CN"/>
        </w:rPr>
        <w:t>0570-3116559</w:t>
      </w:r>
      <w:r>
        <w:rPr>
          <w:rFonts w:hint="eastAsia" w:ascii="宋体" w:hAnsi="宋体" w:cs="宋体"/>
          <w:color w:val="auto"/>
          <w:sz w:val="24"/>
          <w:highlight w:val="none"/>
          <w:u w:val="none"/>
        </w:rPr>
        <w:t xml:space="preserve">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 阮先生</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0570-3017030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称：浙江展图工程咨询有限公司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址：衢州市新湖城市商业广场6幢3楼</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真：0570-2777108</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项目联系人（询问）：洪女士</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项目联系方式（询问）：0570-2777108</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质疑联系人：吴少飞</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质疑联系方式：13757042491</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称：衢州市财政局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i w:val="0"/>
          <w:iCs w:val="0"/>
          <w:caps w:val="0"/>
          <w:color w:val="auto"/>
          <w:spacing w:val="0"/>
          <w:sz w:val="24"/>
          <w:szCs w:val="24"/>
          <w:highlight w:val="none"/>
        </w:rPr>
        <w:t>衢州市三江东路28号</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黄女士</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监督投诉电话：19957000570</w:t>
      </w:r>
    </w:p>
    <w:p>
      <w:pPr>
        <w:spacing w:line="500" w:lineRule="exact"/>
        <w:ind w:firstLine="480"/>
        <w:rPr>
          <w:rFonts w:ascii="宋体" w:hAnsi="宋体" w:cs="宋体"/>
          <w:sz w:val="24"/>
          <w:szCs w:val="24"/>
          <w:highlight w:val="none"/>
        </w:rPr>
      </w:pPr>
    </w:p>
    <w:p>
      <w:pPr>
        <w:pStyle w:val="6"/>
        <w:ind w:firstLine="0" w:firstLineChars="0"/>
        <w:rPr>
          <w:rFonts w:ascii="宋体" w:hAnsi="宋体" w:cs="宋体"/>
          <w:sz w:val="24"/>
          <w:szCs w:val="24"/>
          <w:highlight w:val="none"/>
        </w:rPr>
      </w:pPr>
    </w:p>
    <w:p>
      <w:pPr>
        <w:rPr>
          <w:highlight w:val="none"/>
        </w:rPr>
      </w:pPr>
    </w:p>
    <w:p>
      <w:pPr>
        <w:rPr>
          <w:rFonts w:ascii="宋体" w:hAnsi="宋体" w:cs="宋体"/>
          <w:sz w:val="24"/>
          <w:szCs w:val="24"/>
          <w:highlight w:val="none"/>
        </w:rPr>
      </w:pPr>
    </w:p>
    <w:p>
      <w:pPr>
        <w:pStyle w:val="2"/>
        <w:rPr>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pPr>
        <w:pStyle w:val="4"/>
        <w:numPr>
          <w:ilvl w:val="0"/>
          <w:numId w:val="2"/>
        </w:numPr>
        <w:spacing w:line="400" w:lineRule="exact"/>
        <w:jc w:val="center"/>
        <w:rPr>
          <w:rFonts w:ascii="宋体" w:hAnsi="宋体" w:cs="宋体"/>
          <w:sz w:val="28"/>
          <w:szCs w:val="28"/>
          <w:highlight w:val="none"/>
        </w:rPr>
      </w:pPr>
      <w:bookmarkStart w:id="2" w:name="_Toc8838"/>
      <w:bookmarkStart w:id="3" w:name="_Toc32019"/>
      <w:r>
        <w:rPr>
          <w:rFonts w:hint="eastAsia" w:ascii="宋体" w:hAnsi="宋体" w:cs="宋体"/>
          <w:sz w:val="28"/>
          <w:szCs w:val="28"/>
          <w:highlight w:val="none"/>
        </w:rPr>
        <w:t xml:space="preserve"> 投标须知前附表及投标须知</w:t>
      </w:r>
      <w:bookmarkEnd w:id="2"/>
      <w:bookmarkEnd w:id="3"/>
    </w:p>
    <w:p>
      <w:pPr>
        <w:snapToGrid w:val="0"/>
        <w:spacing w:before="156" w:beforeLines="50" w:after="156" w:afterLines="50" w:line="400" w:lineRule="exact"/>
        <w:ind w:left="567"/>
        <w:jc w:val="center"/>
        <w:outlineLvl w:val="0"/>
        <w:rPr>
          <w:highlight w:val="none"/>
        </w:rPr>
      </w:pPr>
      <w:r>
        <w:rPr>
          <w:rFonts w:hint="eastAsia" w:ascii="宋体" w:hAnsi="宋体" w:cs="宋体"/>
          <w:b/>
          <w:sz w:val="28"/>
          <w:szCs w:val="28"/>
          <w:highlight w:val="none"/>
        </w:rPr>
        <w:t>第一部分、投标须知前附表</w:t>
      </w:r>
    </w:p>
    <w:tbl>
      <w:tblPr>
        <w:tblStyle w:val="21"/>
        <w:tblW w:w="9263" w:type="dxa"/>
        <w:tblInd w:w="-234"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87"/>
        <w:gridCol w:w="2380"/>
        <w:gridCol w:w="599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5" w:hRule="atLeast"/>
          <w:tblHeader/>
        </w:trPr>
        <w:tc>
          <w:tcPr>
            <w:tcW w:w="887" w:type="dxa"/>
            <w:vAlign w:val="center"/>
          </w:tcPr>
          <w:p>
            <w:pPr>
              <w:spacing w:line="400" w:lineRule="exact"/>
              <w:jc w:val="center"/>
              <w:rPr>
                <w:rFonts w:hint="eastAsia" w:ascii="宋体" w:hAnsi="宋体" w:eastAsia="宋体" w:cs="宋体"/>
                <w:sz w:val="24"/>
                <w:szCs w:val="24"/>
                <w:highlight w:val="none"/>
              </w:rPr>
            </w:pPr>
            <w:bookmarkStart w:id="4" w:name="_Toc32117"/>
            <w:bookmarkStart w:id="5" w:name="_Toc9451"/>
            <w:bookmarkStart w:id="6" w:name="_Toc18294"/>
            <w:bookmarkStart w:id="7" w:name="_Toc30763"/>
            <w:bookmarkStart w:id="8" w:name="_Toc356371431"/>
            <w:bookmarkStart w:id="9" w:name="_Toc5312"/>
            <w:bookmarkStart w:id="10" w:name="_Toc29801"/>
            <w:r>
              <w:rPr>
                <w:rStyle w:val="28"/>
                <w:rFonts w:hint="eastAsia" w:ascii="宋体" w:hAnsi="宋体" w:eastAsia="宋体" w:cs="宋体"/>
                <w:b/>
                <w:sz w:val="24"/>
                <w:szCs w:val="24"/>
                <w:highlight w:val="none"/>
              </w:rPr>
              <w:t>序号</w:t>
            </w:r>
          </w:p>
        </w:tc>
        <w:tc>
          <w:tcPr>
            <w:tcW w:w="2380" w:type="dxa"/>
            <w:vAlign w:val="center"/>
          </w:tcPr>
          <w:p>
            <w:pPr>
              <w:spacing w:line="400" w:lineRule="exact"/>
              <w:jc w:val="center"/>
              <w:rPr>
                <w:rFonts w:hint="eastAsia" w:ascii="宋体" w:hAnsi="宋体" w:eastAsia="宋体" w:cs="宋体"/>
                <w:sz w:val="24"/>
                <w:szCs w:val="24"/>
                <w:highlight w:val="none"/>
              </w:rPr>
            </w:pPr>
            <w:r>
              <w:rPr>
                <w:rStyle w:val="28"/>
                <w:rFonts w:hint="eastAsia" w:ascii="宋体" w:hAnsi="宋体" w:eastAsia="宋体" w:cs="宋体"/>
                <w:b/>
                <w:sz w:val="24"/>
                <w:szCs w:val="24"/>
                <w:highlight w:val="none"/>
              </w:rPr>
              <w:t>内  容</w:t>
            </w:r>
          </w:p>
        </w:tc>
        <w:tc>
          <w:tcPr>
            <w:tcW w:w="5996" w:type="dxa"/>
            <w:vAlign w:val="center"/>
          </w:tcPr>
          <w:p>
            <w:pPr>
              <w:spacing w:line="400" w:lineRule="exact"/>
              <w:jc w:val="center"/>
              <w:rPr>
                <w:rFonts w:hint="eastAsia" w:ascii="宋体" w:hAnsi="宋体" w:eastAsia="宋体" w:cs="宋体"/>
                <w:sz w:val="24"/>
                <w:szCs w:val="24"/>
                <w:highlight w:val="none"/>
              </w:rPr>
            </w:pPr>
            <w:r>
              <w:rPr>
                <w:rStyle w:val="28"/>
                <w:rFonts w:hint="eastAsia" w:ascii="宋体" w:hAnsi="宋体" w:eastAsia="宋体" w:cs="宋体"/>
                <w:b/>
                <w:sz w:val="24"/>
                <w:szCs w:val="24"/>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90" w:hRule="atLeast"/>
        </w:trPr>
        <w:tc>
          <w:tcPr>
            <w:tcW w:w="887"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ascii="宋体" w:hAnsi="宋体" w:eastAsia="宋体" w:cs="宋体"/>
                <w:kern w:val="2"/>
                <w:sz w:val="24"/>
                <w:szCs w:val="24"/>
                <w:highlight w:val="none"/>
                <w:lang w:val="en-US" w:eastAsia="zh-CN" w:bidi="ar-SA"/>
              </w:rPr>
              <w:t>1</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ascii="宋体" w:hAnsi="宋体" w:eastAsia="宋体" w:cs="宋体"/>
                <w:kern w:val="2"/>
                <w:sz w:val="24"/>
                <w:szCs w:val="24"/>
                <w:highlight w:val="none"/>
                <w:lang w:val="en-US" w:eastAsia="zh-CN" w:bidi="ar-SA"/>
              </w:rPr>
              <w:t>项目名称</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lang w:val="en-US" w:eastAsia="zh-CN"/>
              </w:rPr>
              <w:t>衢州智慧新城2024-2025年度规划类项目技术服务项目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30" w:hRule="atLeast"/>
        </w:trPr>
        <w:tc>
          <w:tcPr>
            <w:tcW w:w="887"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ascii="宋体" w:hAnsi="宋体" w:eastAsia="宋体" w:cs="宋体"/>
                <w:kern w:val="2"/>
                <w:sz w:val="24"/>
                <w:szCs w:val="24"/>
                <w:highlight w:val="none"/>
                <w:lang w:val="en-US" w:eastAsia="zh-CN" w:bidi="ar-SA"/>
              </w:rPr>
              <w:t>2</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采购人</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lang w:eastAsia="zh-CN"/>
              </w:rPr>
              <w:t>衢州智慧新城管理委员会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30" w:hRule="atLeast"/>
        </w:trPr>
        <w:tc>
          <w:tcPr>
            <w:tcW w:w="887"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采购标的及其对应的中小企业划分标准所属行业</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hAnsi="宋体" w:cs="宋体"/>
                <w:sz w:val="24"/>
                <w:szCs w:val="24"/>
                <w:highlight w:val="none"/>
                <w:lang w:eastAsia="zh-CN"/>
              </w:rPr>
            </w:pPr>
            <w:r>
              <w:rPr>
                <w:rFonts w:hint="eastAsia" w:hAnsi="宋体" w:cs="宋体"/>
                <w:sz w:val="24"/>
                <w:szCs w:val="24"/>
                <w:highlight w:val="none"/>
                <w:lang w:eastAsia="zh-CN"/>
              </w:rPr>
              <w:t>标的：</w:t>
            </w:r>
            <w:r>
              <w:rPr>
                <w:rFonts w:hint="eastAsia" w:hAnsi="宋体" w:cs="宋体"/>
                <w:sz w:val="24"/>
                <w:szCs w:val="24"/>
                <w:highlight w:val="none"/>
                <w:lang w:val="en-US" w:eastAsia="zh-CN"/>
              </w:rPr>
              <w:t>规划类项目技术服务</w:t>
            </w:r>
            <w:r>
              <w:rPr>
                <w:rFonts w:hint="eastAsia" w:hAnsi="宋体" w:cs="宋体"/>
                <w:sz w:val="24"/>
                <w:szCs w:val="24"/>
                <w:highlight w:val="none"/>
                <w:lang w:eastAsia="zh-CN"/>
              </w:rPr>
              <w:t>；</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lang w:eastAsia="zh-CN"/>
              </w:rPr>
              <w:t>属于：</w:t>
            </w:r>
            <w:r>
              <w:rPr>
                <w:rFonts w:hint="eastAsia" w:hAnsi="宋体" w:cs="宋体"/>
                <w:sz w:val="24"/>
                <w:szCs w:val="24"/>
                <w:highlight w:val="none"/>
                <w:lang w:val="en-US" w:eastAsia="zh-CN"/>
              </w:rPr>
              <w:t>其他未列明行业---专业技术服务业；（根据《关于印发中小企业划型标准规定的通知》（工信部联企业〔2011〕300号））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4" w:hRule="atLeast"/>
        </w:trPr>
        <w:tc>
          <w:tcPr>
            <w:tcW w:w="887"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服务</w:t>
            </w:r>
            <w:r>
              <w:rPr>
                <w:rFonts w:ascii="宋体" w:hAnsi="宋体" w:eastAsia="宋体" w:cs="宋体"/>
                <w:kern w:val="2"/>
                <w:sz w:val="24"/>
                <w:szCs w:val="24"/>
                <w:highlight w:val="none"/>
                <w:lang w:val="en-US" w:eastAsia="zh-CN" w:bidi="ar-SA"/>
              </w:rPr>
              <w:t>限</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default" w:hAnsi="宋体" w:eastAsia="宋体" w:cs="宋体"/>
                <w:sz w:val="24"/>
                <w:szCs w:val="24"/>
                <w:highlight w:val="none"/>
                <w:lang w:val="en-US" w:eastAsia="zh-CN"/>
              </w:rPr>
            </w:pPr>
            <w:r>
              <w:rPr>
                <w:rFonts w:hint="eastAsia" w:hAnsi="宋体" w:cs="宋体"/>
                <w:sz w:val="24"/>
                <w:szCs w:val="24"/>
                <w:highlight w:val="none"/>
                <w:lang w:val="en-US" w:eastAsia="zh-CN"/>
              </w:rPr>
              <w:t>1年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14" w:hRule="atLeast"/>
        </w:trPr>
        <w:tc>
          <w:tcPr>
            <w:tcW w:w="887"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采购方式</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textAlignment w:val="auto"/>
              <w:rPr>
                <w:rFonts w:hAnsi="宋体" w:cs="宋体"/>
                <w:kern w:val="0"/>
                <w:sz w:val="24"/>
                <w:szCs w:val="24"/>
                <w:highlight w:val="none"/>
              </w:rPr>
            </w:pPr>
            <w:r>
              <w:rPr>
                <w:rFonts w:hint="eastAsia" w:hAnsi="宋体" w:cs="宋体"/>
                <w:sz w:val="24"/>
                <w:szCs w:val="24"/>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887"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评标办法</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rPr>
              <w:t>本次招标的评标办法采用：</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b/>
                <w:sz w:val="24"/>
                <w:szCs w:val="24"/>
                <w:highlight w:val="none"/>
                <w:lang w:eastAsia="zh-CN"/>
              </w:rPr>
              <w:t>☑</w:t>
            </w:r>
            <w:r>
              <w:rPr>
                <w:rFonts w:hint="eastAsia" w:hAnsi="宋体" w:cs="宋体"/>
                <w:sz w:val="24"/>
                <w:szCs w:val="24"/>
                <w:highlight w:val="none"/>
              </w:rPr>
              <w:t>百分制综合评分法，根据本项目招标文件的要求，按照本办法规定的内容和分值设置，资格审查采用</w:t>
            </w:r>
            <w:r>
              <w:rPr>
                <w:rFonts w:hint="eastAsia" w:hAnsi="宋体" w:cs="宋体"/>
                <w:sz w:val="24"/>
                <w:szCs w:val="24"/>
                <w:highlight w:val="none"/>
                <w:lang w:val="en-US" w:eastAsia="zh-CN"/>
              </w:rPr>
              <w:t>合格</w:t>
            </w:r>
            <w:r>
              <w:rPr>
                <w:rFonts w:hint="eastAsia" w:hAnsi="宋体" w:cs="宋体"/>
                <w:sz w:val="24"/>
                <w:szCs w:val="24"/>
                <w:highlight w:val="none"/>
              </w:rPr>
              <w:t>制，商务技术得分为</w:t>
            </w:r>
            <w:r>
              <w:rPr>
                <w:rFonts w:hint="eastAsia" w:hAnsi="宋体" w:cs="宋体"/>
                <w:sz w:val="24"/>
                <w:szCs w:val="24"/>
                <w:highlight w:val="none"/>
                <w:u w:val="single"/>
              </w:rPr>
              <w:t xml:space="preserve"> </w:t>
            </w:r>
            <w:r>
              <w:rPr>
                <w:rFonts w:hint="eastAsia" w:hAnsi="宋体" w:cs="宋体"/>
                <w:sz w:val="24"/>
                <w:szCs w:val="24"/>
                <w:highlight w:val="none"/>
                <w:u w:val="single"/>
                <w:lang w:val="en-US" w:eastAsia="zh-CN"/>
              </w:rPr>
              <w:t>80</w:t>
            </w:r>
            <w:r>
              <w:rPr>
                <w:rFonts w:hint="eastAsia" w:hAnsi="宋体" w:cs="宋体"/>
                <w:sz w:val="24"/>
                <w:szCs w:val="24"/>
                <w:highlight w:val="none"/>
                <w:u w:val="single"/>
              </w:rPr>
              <w:t xml:space="preserve"> </w:t>
            </w:r>
            <w:r>
              <w:rPr>
                <w:rFonts w:hint="eastAsia" w:hAnsi="宋体" w:cs="宋体"/>
                <w:sz w:val="24"/>
                <w:szCs w:val="24"/>
                <w:highlight w:val="none"/>
              </w:rPr>
              <w:t>分，报价文件得分为</w:t>
            </w:r>
            <w:r>
              <w:rPr>
                <w:rFonts w:hint="eastAsia" w:hAnsi="宋体" w:cs="宋体"/>
                <w:sz w:val="24"/>
                <w:szCs w:val="24"/>
                <w:highlight w:val="none"/>
                <w:u w:val="single"/>
                <w:lang w:val="en-US" w:eastAsia="zh-CN"/>
              </w:rPr>
              <w:t>20</w:t>
            </w:r>
            <w:r>
              <w:rPr>
                <w:rFonts w:hint="eastAsia" w:hAnsi="宋体" w:cs="宋体"/>
                <w:sz w:val="24"/>
                <w:szCs w:val="24"/>
                <w:highlight w:val="none"/>
              </w:rPr>
              <w:t>分，对供应商的投标文件中的商务技术、报价等内容进行评分，最终得出综合得分。</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sz w:val="24"/>
                <w:szCs w:val="24"/>
                <w:highlight w:val="none"/>
              </w:rPr>
            </w:pPr>
            <w:r>
              <w:rPr>
                <w:rFonts w:hint="eastAsia" w:hAnsi="宋体" w:cs="宋体"/>
                <w:sz w:val="24"/>
                <w:szCs w:val="24"/>
                <w:highlight w:val="none"/>
              </w:rPr>
              <w:t>□最低评标价法。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trPr>
        <w:tc>
          <w:tcPr>
            <w:tcW w:w="887"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是否允许分包</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887" w:type="dxa"/>
            <w:vAlign w:val="center"/>
          </w:tcPr>
          <w:p>
            <w:pPr>
              <w:spacing w:line="276" w:lineRule="auto"/>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ascii="宋体" w:hAnsi="宋体" w:eastAsia="宋体" w:cs="宋体"/>
                <w:kern w:val="2"/>
                <w:sz w:val="24"/>
                <w:szCs w:val="24"/>
                <w:highlight w:val="none"/>
                <w:lang w:val="en-US" w:eastAsia="zh-CN" w:bidi="ar-SA"/>
              </w:rPr>
              <w:t>踏勘现场</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不组织</w:t>
            </w:r>
            <w:r>
              <w:rPr>
                <w:rFonts w:hint="eastAsia" w:hAnsi="宋体" w:cs="宋体"/>
                <w:sz w:val="24"/>
                <w:szCs w:val="24"/>
                <w:highlight w:val="none"/>
              </w:rPr>
              <w:t xml:space="preserve">  投标人如有需要可</w:t>
            </w:r>
            <w:r>
              <w:rPr>
                <w:rFonts w:hAnsi="宋体" w:cs="宋体"/>
                <w:sz w:val="24"/>
                <w:szCs w:val="24"/>
                <w:highlight w:val="none"/>
              </w:rPr>
              <w:t>自行</w:t>
            </w:r>
            <w:r>
              <w:rPr>
                <w:rFonts w:hint="eastAsia" w:hAnsi="宋体" w:cs="宋体"/>
                <w:sz w:val="24"/>
                <w:szCs w:val="24"/>
                <w:highlight w:val="none"/>
              </w:rPr>
              <w:t>前往</w:t>
            </w:r>
            <w:r>
              <w:rPr>
                <w:rFonts w:hAnsi="宋体" w:cs="宋体"/>
                <w:sz w:val="24"/>
                <w:szCs w:val="24"/>
                <w:highlight w:val="none"/>
              </w:rPr>
              <w:t>踏勘</w:t>
            </w:r>
            <w:r>
              <w:rPr>
                <w:rFonts w:hint="eastAsia" w:hAnsi="宋体" w:cs="宋体"/>
                <w:sz w:val="24"/>
                <w:szCs w:val="24"/>
                <w:highlight w:val="none"/>
              </w:rPr>
              <w:t>，联系方式见招标公告。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trPr>
        <w:tc>
          <w:tcPr>
            <w:tcW w:w="887" w:type="dxa"/>
            <w:vAlign w:val="center"/>
          </w:tcPr>
          <w:p>
            <w:pPr>
              <w:spacing w:line="276" w:lineRule="auto"/>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ascii="宋体" w:hAnsi="宋体" w:eastAsia="宋体" w:cs="宋体"/>
                <w:kern w:val="2"/>
                <w:sz w:val="24"/>
                <w:szCs w:val="24"/>
                <w:highlight w:val="none"/>
                <w:lang w:val="en-US" w:eastAsia="zh-CN" w:bidi="ar-SA"/>
              </w:rPr>
              <w:t>投标预备</w:t>
            </w:r>
            <w:r>
              <w:rPr>
                <w:rFonts w:hint="eastAsia" w:ascii="宋体" w:hAnsi="宋体" w:eastAsia="宋体" w:cs="宋体"/>
                <w:kern w:val="2"/>
                <w:sz w:val="24"/>
                <w:szCs w:val="24"/>
                <w:highlight w:val="none"/>
                <w:lang w:val="en-US" w:eastAsia="zh-CN" w:bidi="ar-SA"/>
              </w:rPr>
              <w:t>答疑会</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trPr>
        <w:tc>
          <w:tcPr>
            <w:tcW w:w="887" w:type="dxa"/>
            <w:vAlign w:val="center"/>
          </w:tcPr>
          <w:p>
            <w:pPr>
              <w:spacing w:line="276" w:lineRule="auto"/>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是否接受联合体投标</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lang w:val="zh-CN"/>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97" w:hRule="atLeast"/>
        </w:trPr>
        <w:tc>
          <w:tcPr>
            <w:tcW w:w="887" w:type="dxa"/>
            <w:vAlign w:val="center"/>
          </w:tcPr>
          <w:p>
            <w:pPr>
              <w:spacing w:line="276" w:lineRule="auto"/>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投标有效期</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textAlignment w:val="auto"/>
              <w:rPr>
                <w:rFonts w:hAnsi="宋体" w:cs="宋体"/>
                <w:kern w:val="0"/>
                <w:sz w:val="24"/>
                <w:szCs w:val="24"/>
                <w:highlight w:val="none"/>
              </w:rPr>
            </w:pPr>
            <w:r>
              <w:rPr>
                <w:rFonts w:hint="eastAsia" w:hAnsi="宋体" w:cs="宋体"/>
                <w:sz w:val="24"/>
                <w:szCs w:val="24"/>
                <w:highlight w:val="none"/>
              </w:rPr>
              <w:t>投标文件递交截止之日起90天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887" w:type="dxa"/>
            <w:vAlign w:val="center"/>
          </w:tcPr>
          <w:p>
            <w:pPr>
              <w:spacing w:line="276" w:lineRule="auto"/>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w:t>
            </w:r>
          </w:p>
        </w:tc>
        <w:tc>
          <w:tcPr>
            <w:tcW w:w="2380" w:type="dxa"/>
            <w:vAlign w:val="center"/>
          </w:tcPr>
          <w:p>
            <w:pPr>
              <w:spacing w:line="600" w:lineRule="exact"/>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投标保证金</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textAlignment w:val="auto"/>
              <w:rPr>
                <w:rFonts w:hAnsi="宋体" w:cs="宋体"/>
                <w:b/>
                <w:kern w:val="0"/>
                <w:sz w:val="24"/>
                <w:szCs w:val="24"/>
                <w:highlight w:val="none"/>
              </w:rPr>
            </w:pPr>
            <w:r>
              <w:rPr>
                <w:rFonts w:hint="eastAsia" w:hAnsi="宋体" w:cs="宋体"/>
                <w:b/>
                <w:sz w:val="24"/>
                <w:szCs w:val="24"/>
                <w:highlight w:val="none"/>
              </w:rPr>
              <w:t>本项目不需要缴纳投标保证金，若</w:t>
            </w:r>
            <w:r>
              <w:rPr>
                <w:rFonts w:hint="eastAsia" w:hAnsi="宋体" w:cs="宋体"/>
                <w:b/>
                <w:bCs/>
                <w:sz w:val="24"/>
                <w:szCs w:val="24"/>
                <w:highlight w:val="none"/>
              </w:rPr>
              <w:t>供应商</w:t>
            </w:r>
            <w:r>
              <w:rPr>
                <w:rFonts w:hint="eastAsia" w:hAnsi="宋体" w:cs="宋体"/>
                <w:b/>
                <w:sz w:val="24"/>
                <w:szCs w:val="24"/>
                <w:highlight w:val="none"/>
              </w:rPr>
              <w:t>在采购过程中存在违规行为给采购人造成损失的，须赔偿全部损失。</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887" w:type="dxa"/>
            <w:vAlign w:val="center"/>
          </w:tcPr>
          <w:p>
            <w:pPr>
              <w:spacing w:line="400" w:lineRule="exact"/>
              <w:jc w:val="center"/>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3</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Ansi="宋体" w:cs="宋体"/>
                <w:sz w:val="24"/>
                <w:szCs w:val="24"/>
                <w:highlight w:val="none"/>
              </w:rPr>
              <w:t>投标文件的</w:t>
            </w:r>
            <w:r>
              <w:rPr>
                <w:rFonts w:hint="eastAsia" w:hAnsi="宋体" w:cs="宋体"/>
                <w:sz w:val="24"/>
                <w:szCs w:val="24"/>
                <w:highlight w:val="none"/>
              </w:rPr>
              <w:t>组成和</w:t>
            </w:r>
            <w:r>
              <w:rPr>
                <w:rFonts w:hAnsi="宋体" w:cs="宋体"/>
                <w:sz w:val="24"/>
                <w:szCs w:val="24"/>
                <w:highlight w:val="none"/>
              </w:rPr>
              <w:t>编制</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本项目完整的《投标文件》由“资格</w:t>
            </w:r>
            <w:r>
              <w:rPr>
                <w:rFonts w:hint="eastAsia" w:hAnsi="宋体" w:cs="宋体"/>
                <w:sz w:val="24"/>
                <w:szCs w:val="24"/>
                <w:highlight w:val="none"/>
              </w:rPr>
              <w:t>审查</w:t>
            </w:r>
            <w:r>
              <w:rPr>
                <w:rFonts w:hAnsi="宋体" w:cs="宋体"/>
                <w:sz w:val="24"/>
                <w:szCs w:val="24"/>
                <w:highlight w:val="none"/>
              </w:rPr>
              <w:t>文件”、“商务技术文件”和“报价文件”三个部分组成。</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投标人应先安装“政采云电子交易客户端”，并按照本招标文件和“政府采购云平台”的要求，通过“政采云电子交易客户端”编制并加密投标文件。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887" w:type="dxa"/>
            <w:vAlign w:val="center"/>
          </w:tcPr>
          <w:p>
            <w:pPr>
              <w:spacing w:line="400" w:lineRule="exact"/>
              <w:jc w:val="center"/>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4</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Ansi="宋体" w:cs="宋体"/>
                <w:sz w:val="24"/>
                <w:szCs w:val="24"/>
                <w:highlight w:val="none"/>
              </w:rPr>
              <w:t>投标文件的签章</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电子签章（公章），其中法定代表人和授权代表签字（或盖章）可书面签订（或盖章）后，扫描至电子投标文件中上传；凡投标格式文件明确有签字盖章处均应符合。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887" w:type="dxa"/>
            <w:vAlign w:val="center"/>
          </w:tcPr>
          <w:p>
            <w:pPr>
              <w:spacing w:line="400" w:lineRule="exact"/>
              <w:jc w:val="center"/>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5</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Ansi="宋体" w:cs="宋体"/>
                <w:sz w:val="24"/>
                <w:szCs w:val="24"/>
                <w:highlight w:val="none"/>
              </w:rPr>
              <w:t>投标文件份数</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（1）“电子加密投标文件”：在线上传递交、一份。</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（2）“备份投标文件”</w:t>
            </w:r>
            <w:r>
              <w:rPr>
                <w:rFonts w:hint="eastAsia" w:hAnsi="宋体" w:cs="宋体"/>
                <w:sz w:val="24"/>
                <w:szCs w:val="24"/>
                <w:highlight w:val="none"/>
                <w:lang w:eastAsia="zh-CN"/>
              </w:rPr>
              <w:t>：</w:t>
            </w:r>
            <w:r>
              <w:rPr>
                <w:rFonts w:hAnsi="宋体" w:cs="宋体"/>
                <w:sz w:val="24"/>
                <w:szCs w:val="24"/>
                <w:highlight w:val="none"/>
              </w:rPr>
              <w:t>一份</w:t>
            </w:r>
            <w:r>
              <w:rPr>
                <w:rFonts w:hint="eastAsia" w:hAnsi="宋体" w:cs="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70" w:hRule="atLeast"/>
        </w:trPr>
        <w:tc>
          <w:tcPr>
            <w:tcW w:w="887" w:type="dxa"/>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int="eastAsia" w:hAnsi="宋体" w:cs="宋体"/>
                <w:sz w:val="24"/>
                <w:szCs w:val="24"/>
                <w:highlight w:val="none"/>
              </w:rPr>
              <w:t>投标文件有效期</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rPr>
              <w:t>自投标截止时间起不少于90天。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40" w:hRule="atLeast"/>
        </w:trPr>
        <w:tc>
          <w:tcPr>
            <w:tcW w:w="887" w:type="dxa"/>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Ansi="宋体" w:cs="宋体"/>
                <w:sz w:val="24"/>
                <w:szCs w:val="24"/>
                <w:highlight w:val="none"/>
              </w:rPr>
              <w:t>投标文件的形式</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电子投标文件（包括“电子加密投标文件”和“备份投标文件”，在投标文件编制完成后同时生成）；</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（1）“电子加密投标文件”是指通过“政采云电子交易客户端”完成投标文件编制后生成并加密的数据电文形式的投标文件。</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40" w:hRule="atLeast"/>
        </w:trPr>
        <w:tc>
          <w:tcPr>
            <w:tcW w:w="887" w:type="dxa"/>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20</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Ansi="宋体" w:cs="宋体"/>
                <w:sz w:val="24"/>
                <w:szCs w:val="24"/>
                <w:highlight w:val="none"/>
              </w:rPr>
              <w:t>投标文件的上传和递交</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（1）“电子加密投标文件”的上传、递交：</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a.投标供应商应在投标截止时间前将“电子加密投标文件”成功上传递交至“政采云平台”，否则投标无效。</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b.“电子加密投标文件”成功上传递交后，供应商可自行打印投标文件接收回执。</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hAnsi="宋体" w:eastAsia="宋体" w:cs="宋体"/>
                <w:sz w:val="24"/>
                <w:szCs w:val="24"/>
                <w:highlight w:val="none"/>
                <w:lang w:eastAsia="zh-CN"/>
              </w:rPr>
            </w:pPr>
            <w:r>
              <w:rPr>
                <w:rFonts w:hAnsi="宋体" w:cs="宋体"/>
                <w:sz w:val="24"/>
                <w:szCs w:val="24"/>
                <w:highlight w:val="none"/>
              </w:rPr>
              <w:t>（2）“备份投标文件”递交：</w:t>
            </w:r>
            <w:r>
              <w:rPr>
                <w:rFonts w:hint="eastAsia" w:hAnsi="宋体" w:cs="宋体"/>
                <w:sz w:val="24"/>
                <w:szCs w:val="24"/>
                <w:highlight w:val="none"/>
                <w:lang w:val="en-US" w:eastAsia="zh-CN"/>
              </w:rPr>
              <w:t>发送至指定邮箱（495374271@qq.com），收件最晚时间同投标截止时间，已邮箱收到的时间为准</w:t>
            </w:r>
            <w:r>
              <w:rPr>
                <w:rFonts w:hint="eastAsia" w:hAnsi="宋体" w:cs="宋体"/>
                <w:sz w:val="24"/>
                <w:szCs w:val="24"/>
                <w:highlight w:val="none"/>
              </w:rPr>
              <w:t>。备份投标文件</w:t>
            </w:r>
            <w:r>
              <w:rPr>
                <w:rFonts w:hint="eastAsia" w:hAnsi="宋体" w:cs="宋体"/>
                <w:b/>
                <w:bCs/>
                <w:sz w:val="24"/>
                <w:szCs w:val="24"/>
                <w:highlight w:val="none"/>
                <w:lang w:val="en-US" w:eastAsia="zh-CN"/>
              </w:rPr>
              <w:t>不强制性</w:t>
            </w:r>
            <w:r>
              <w:rPr>
                <w:rFonts w:hint="eastAsia" w:hAnsi="宋体" w:cs="宋体"/>
                <w:sz w:val="24"/>
                <w:szCs w:val="24"/>
                <w:highlight w:val="none"/>
              </w:rPr>
              <w:t>提交</w:t>
            </w:r>
            <w:r>
              <w:rPr>
                <w:rFonts w:hint="eastAsia" w:hAnsi="宋体" w:cs="宋体"/>
                <w:sz w:val="24"/>
                <w:szCs w:val="24"/>
                <w:highlight w:val="none"/>
                <w:lang w:eastAsia="zh-CN"/>
              </w:rPr>
              <w:t>。</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a.“备份投标文件”的递交：</w:t>
            </w:r>
            <w:r>
              <w:rPr>
                <w:sz w:val="24"/>
                <w:szCs w:val="24"/>
                <w:highlight w:val="none"/>
              </w:rPr>
              <w:fldChar w:fldCharType="begin"/>
            </w:r>
            <w:r>
              <w:rPr>
                <w:sz w:val="24"/>
                <w:szCs w:val="24"/>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sz w:val="24"/>
                <w:szCs w:val="24"/>
                <w:highlight w:val="none"/>
              </w:rPr>
              <w:fldChar w:fldCharType="separate"/>
            </w:r>
            <w:r>
              <w:rPr>
                <w:rFonts w:hAnsi="宋体" w:cs="宋体"/>
                <w:sz w:val="24"/>
                <w:szCs w:val="24"/>
                <w:highlight w:val="none"/>
              </w:rPr>
              <w:t>供应商在系统里上传好加密标书后，可以在投标截止时间前将系统生成的备份标书（后缀格式为.bfbs）</w:t>
            </w:r>
            <w:r>
              <w:rPr>
                <w:rFonts w:hint="eastAsia" w:hAnsi="宋体" w:cs="宋体"/>
                <w:sz w:val="24"/>
                <w:szCs w:val="24"/>
                <w:highlight w:val="none"/>
              </w:rPr>
              <w:t>。</w:t>
            </w:r>
            <w:r>
              <w:rPr>
                <w:rFonts w:hint="eastAsia" w:hAnsi="宋体" w:cs="宋体"/>
                <w:sz w:val="24"/>
                <w:szCs w:val="24"/>
                <w:highlight w:val="none"/>
              </w:rPr>
              <w:fldChar w:fldCharType="end"/>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b.通过“政府采购云平台”上传递交的“电子加密投标文件”无法按时解密，投标供应商递交了备份投标文件的，以备份投标文件为依据，否则视为投标文件撤回。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供应商需保证上传的电子加密投标文件与提交的备份投标文件必须同时生成且内容完全一致；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40" w:hRule="atLeast"/>
        </w:trPr>
        <w:tc>
          <w:tcPr>
            <w:tcW w:w="887" w:type="dxa"/>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21</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Ansi="宋体" w:cs="宋体"/>
                <w:sz w:val="24"/>
                <w:szCs w:val="24"/>
                <w:highlight w:val="none"/>
              </w:rPr>
              <w:t>电子加密投标文件的解密和异常情况处理</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（1）开标后，采购组织机构将向各投标供应商发出“电子加密投标文件”的解密通知，各投标供应商代表应当在接到解密通知后30分钟内自行完成“电子加密投标文件”的在线解密。</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（3）投标截止时间前，投标供应商仅递交了“备份投标文件”而未将电子加密投标文件上传至“政采云平台”的，投标无效。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40" w:hRule="atLeast"/>
        </w:trPr>
        <w:tc>
          <w:tcPr>
            <w:tcW w:w="887" w:type="dxa"/>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int="eastAsia" w:hAnsi="宋体" w:cs="宋体"/>
                <w:sz w:val="24"/>
                <w:szCs w:val="24"/>
                <w:highlight w:val="none"/>
              </w:rPr>
              <w:t>开标地点</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ind w:left="14" w:hanging="14" w:hangingChars="6"/>
              <w:textAlignment w:val="auto"/>
              <w:rPr>
                <w:rFonts w:hAnsi="宋体" w:cs="宋体"/>
                <w:kern w:val="0"/>
                <w:sz w:val="24"/>
                <w:szCs w:val="24"/>
                <w:highlight w:val="none"/>
              </w:rPr>
            </w:pPr>
            <w:r>
              <w:rPr>
                <w:rFonts w:hint="eastAsia" w:hAnsi="宋体" w:cs="宋体"/>
                <w:sz w:val="24"/>
                <w:szCs w:val="24"/>
                <w:highlight w:val="none"/>
              </w:rPr>
              <w:t>同步在“政采云远程开标大厅”在线开标。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40" w:hRule="atLeast"/>
        </w:trPr>
        <w:tc>
          <w:tcPr>
            <w:tcW w:w="887" w:type="dxa"/>
            <w:tcBorders>
              <w:bottom w:val="single" w:color="auto" w:sz="4" w:space="0"/>
            </w:tcBorders>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w:t>
            </w:r>
          </w:p>
        </w:tc>
        <w:tc>
          <w:tcPr>
            <w:tcW w:w="2380" w:type="dxa"/>
            <w:tcBorders>
              <w:bottom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int="eastAsia" w:hAnsi="宋体" w:cs="宋体"/>
                <w:sz w:val="24"/>
                <w:szCs w:val="24"/>
                <w:highlight w:val="none"/>
              </w:rPr>
              <w:t>开标时间</w:t>
            </w:r>
          </w:p>
        </w:tc>
        <w:tc>
          <w:tcPr>
            <w:tcW w:w="5996" w:type="dxa"/>
            <w:tcBorders>
              <w:bottom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textAlignment w:val="auto"/>
              <w:rPr>
                <w:rFonts w:hAnsi="宋体" w:cs="宋体"/>
                <w:kern w:val="0"/>
                <w:sz w:val="24"/>
                <w:szCs w:val="24"/>
                <w:highlight w:val="none"/>
              </w:rPr>
            </w:pPr>
            <w:r>
              <w:rPr>
                <w:rFonts w:hint="eastAsia" w:hAnsi="宋体" w:cs="宋体"/>
                <w:sz w:val="24"/>
                <w:szCs w:val="24"/>
                <w:highlight w:val="none"/>
              </w:rPr>
              <w:t>202</w:t>
            </w:r>
            <w:r>
              <w:rPr>
                <w:rFonts w:hint="eastAsia" w:hAnsi="宋体" w:cs="宋体"/>
                <w:sz w:val="24"/>
                <w:szCs w:val="24"/>
                <w:highlight w:val="none"/>
                <w:lang w:val="en-US" w:eastAsia="zh-CN"/>
              </w:rPr>
              <w:t>4</w:t>
            </w:r>
            <w:r>
              <w:rPr>
                <w:rFonts w:hint="eastAsia" w:hAnsi="宋体" w:cs="宋体"/>
                <w:sz w:val="24"/>
                <w:szCs w:val="24"/>
                <w:highlight w:val="none"/>
              </w:rPr>
              <w:t>年</w:t>
            </w:r>
            <w:r>
              <w:rPr>
                <w:rFonts w:hint="eastAsia" w:hAnsi="宋体" w:cs="宋体"/>
                <w:sz w:val="24"/>
                <w:szCs w:val="24"/>
                <w:highlight w:val="none"/>
                <w:lang w:val="en-US" w:eastAsia="zh-CN"/>
              </w:rPr>
              <w:t>12</w:t>
            </w:r>
            <w:r>
              <w:rPr>
                <w:rFonts w:hint="eastAsia" w:hAnsi="宋体" w:cs="宋体"/>
                <w:sz w:val="24"/>
                <w:szCs w:val="24"/>
                <w:highlight w:val="none"/>
              </w:rPr>
              <w:t>月</w:t>
            </w:r>
            <w:r>
              <w:rPr>
                <w:rFonts w:hint="eastAsia" w:hAnsi="宋体" w:cs="宋体"/>
                <w:sz w:val="24"/>
                <w:szCs w:val="24"/>
                <w:highlight w:val="none"/>
                <w:lang w:val="en-US" w:eastAsia="zh-CN"/>
              </w:rPr>
              <w:t>3</w:t>
            </w:r>
            <w:r>
              <w:rPr>
                <w:rFonts w:hint="eastAsia" w:hAnsi="宋体" w:cs="宋体"/>
                <w:sz w:val="24"/>
                <w:szCs w:val="24"/>
                <w:highlight w:val="none"/>
              </w:rPr>
              <w:t xml:space="preserve"> 日</w:t>
            </w:r>
            <w:r>
              <w:rPr>
                <w:rFonts w:hint="eastAsia" w:hAnsi="宋体" w:cs="宋体"/>
                <w:sz w:val="24"/>
                <w:szCs w:val="24"/>
                <w:highlight w:val="none"/>
                <w:lang w:val="en-US" w:eastAsia="zh-CN"/>
              </w:rPr>
              <w:t>09</w:t>
            </w:r>
            <w:r>
              <w:rPr>
                <w:rFonts w:hint="eastAsia" w:hAnsi="宋体" w:cs="宋体"/>
                <w:sz w:val="24"/>
                <w:szCs w:val="24"/>
                <w:highlight w:val="none"/>
              </w:rPr>
              <w:t>:</w:t>
            </w:r>
            <w:r>
              <w:rPr>
                <w:rFonts w:hint="eastAsia" w:hAnsi="宋体" w:cs="宋体"/>
                <w:sz w:val="24"/>
                <w:szCs w:val="24"/>
                <w:highlight w:val="none"/>
                <w:lang w:val="en-US" w:eastAsia="zh-CN"/>
              </w:rPr>
              <w:t>00</w:t>
            </w:r>
            <w:r>
              <w:rPr>
                <w:rFonts w:hint="eastAsia" w:hAnsi="宋体" w:cs="宋体"/>
                <w:sz w:val="24"/>
                <w:szCs w:val="24"/>
                <w:highlight w:val="none"/>
              </w:rPr>
              <w:t xml:space="preserve"> （北京时间）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40" w:hRule="atLeast"/>
        </w:trPr>
        <w:tc>
          <w:tcPr>
            <w:tcW w:w="887" w:type="dxa"/>
            <w:tcBorders>
              <w:bottom w:val="single" w:color="auto" w:sz="4" w:space="0"/>
            </w:tcBorders>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24</w:t>
            </w:r>
          </w:p>
        </w:tc>
        <w:tc>
          <w:tcPr>
            <w:tcW w:w="2380" w:type="dxa"/>
            <w:tcBorders>
              <w:bottom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int="eastAsia" w:hAnsi="宋体" w:cs="宋体"/>
                <w:sz w:val="24"/>
                <w:szCs w:val="24"/>
                <w:highlight w:val="none"/>
              </w:rPr>
              <w:t>评标委员会推荐中标候选人的数量</w:t>
            </w:r>
          </w:p>
        </w:tc>
        <w:tc>
          <w:tcPr>
            <w:tcW w:w="5996" w:type="dxa"/>
            <w:tcBorders>
              <w:bottom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textAlignment w:val="auto"/>
              <w:rPr>
                <w:rFonts w:hint="default" w:hAnsi="宋体" w:eastAsia="宋体" w:cs="宋体"/>
                <w:sz w:val="24"/>
                <w:szCs w:val="24"/>
                <w:highlight w:val="none"/>
                <w:lang w:val="en-US" w:eastAsia="zh-CN"/>
              </w:rPr>
            </w:pPr>
            <w:r>
              <w:rPr>
                <w:rFonts w:hint="eastAsia" w:hAnsi="宋体" w:cs="宋体"/>
                <w:sz w:val="24"/>
                <w:szCs w:val="24"/>
                <w:highlight w:val="none"/>
                <w:u w:val="none"/>
              </w:rPr>
              <w:t xml:space="preserve"> </w:t>
            </w:r>
            <w:r>
              <w:rPr>
                <w:rFonts w:hint="eastAsia" w:hAnsi="宋体" w:cs="宋体"/>
                <w:sz w:val="24"/>
                <w:szCs w:val="24"/>
                <w:highlight w:val="none"/>
                <w:u w:val="none"/>
                <w:lang w:val="en-US" w:eastAsia="zh-CN"/>
              </w:rPr>
              <w:t>1人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40" w:hRule="atLeast"/>
        </w:trPr>
        <w:tc>
          <w:tcPr>
            <w:tcW w:w="887" w:type="dxa"/>
            <w:tcBorders>
              <w:top w:val="single" w:color="auto" w:sz="4" w:space="0"/>
              <w:left w:val="single" w:color="auto" w:sz="4" w:space="0"/>
              <w:bottom w:val="single" w:color="auto" w:sz="4" w:space="0"/>
            </w:tcBorders>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25</w:t>
            </w:r>
          </w:p>
        </w:tc>
        <w:tc>
          <w:tcPr>
            <w:tcW w:w="2380" w:type="dxa"/>
            <w:tcBorders>
              <w:top w:val="single" w:color="auto" w:sz="4" w:space="0"/>
              <w:bottom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Ansi="宋体" w:cs="宋体"/>
                <w:sz w:val="24"/>
                <w:szCs w:val="24"/>
                <w:highlight w:val="none"/>
              </w:rPr>
              <w:t>中标结果公示期限</w:t>
            </w:r>
          </w:p>
        </w:tc>
        <w:tc>
          <w:tcPr>
            <w:tcW w:w="5996" w:type="dxa"/>
            <w:tcBorders>
              <w:top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公示1个工作日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40" w:hRule="atLeast"/>
        </w:trPr>
        <w:tc>
          <w:tcPr>
            <w:tcW w:w="887" w:type="dxa"/>
            <w:tcBorders>
              <w:top w:val="single" w:color="auto" w:sz="4" w:space="0"/>
            </w:tcBorders>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26</w:t>
            </w:r>
          </w:p>
        </w:tc>
        <w:tc>
          <w:tcPr>
            <w:tcW w:w="2380" w:type="dxa"/>
            <w:tcBorders>
              <w:top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Ansi="宋体" w:cs="宋体"/>
                <w:sz w:val="24"/>
                <w:szCs w:val="24"/>
                <w:highlight w:val="none"/>
              </w:rPr>
              <w:t>签订合同</w:t>
            </w:r>
          </w:p>
        </w:tc>
        <w:tc>
          <w:tcPr>
            <w:tcW w:w="5996" w:type="dxa"/>
            <w:tcBorders>
              <w:top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Ansi="宋体" w:cs="宋体"/>
                <w:sz w:val="24"/>
                <w:szCs w:val="24"/>
                <w:highlight w:val="none"/>
              </w:rPr>
              <w:t>中标通知书发出后30日内，与</w:t>
            </w:r>
            <w:r>
              <w:rPr>
                <w:rFonts w:hint="eastAsia" w:hAnsi="宋体" w:cs="宋体"/>
                <w:sz w:val="24"/>
                <w:szCs w:val="24"/>
                <w:highlight w:val="none"/>
              </w:rPr>
              <w:t>采购人</w:t>
            </w:r>
            <w:r>
              <w:rPr>
                <w:rFonts w:hAnsi="宋体" w:cs="宋体"/>
                <w:sz w:val="24"/>
                <w:szCs w:val="24"/>
                <w:highlight w:val="none"/>
              </w:rPr>
              <w:t>签订合同。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887" w:type="dxa"/>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27</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Ansi="宋体" w:cs="宋体"/>
                <w:sz w:val="24"/>
                <w:szCs w:val="24"/>
                <w:highlight w:val="none"/>
              </w:rPr>
              <w:t>履约担保</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default" w:hAnsi="宋体" w:eastAsia="宋体" w:cs="宋体"/>
                <w:sz w:val="24"/>
                <w:szCs w:val="24"/>
                <w:highlight w:val="none"/>
                <w:lang w:val="en-US" w:eastAsia="zh-CN"/>
              </w:rPr>
            </w:pPr>
            <w:r>
              <w:rPr>
                <w:rFonts w:hint="eastAsia" w:hAnsi="宋体" w:cs="宋体"/>
                <w:sz w:val="24"/>
                <w:szCs w:val="24"/>
                <w:highlight w:val="none"/>
                <w:lang w:val="en-US" w:eastAsia="zh-CN"/>
              </w:rPr>
              <w:t>本项目不缴纳履约保证金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75" w:hRule="atLeast"/>
        </w:trPr>
        <w:tc>
          <w:tcPr>
            <w:tcW w:w="887" w:type="dxa"/>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28</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int="eastAsia" w:hAnsi="宋体" w:cs="宋体"/>
                <w:sz w:val="24"/>
                <w:szCs w:val="24"/>
                <w:highlight w:val="none"/>
              </w:rPr>
              <w:t>发布</w:t>
            </w:r>
            <w:r>
              <w:rPr>
                <w:rFonts w:hAnsi="宋体" w:cs="宋体"/>
                <w:sz w:val="24"/>
                <w:szCs w:val="24"/>
                <w:highlight w:val="none"/>
              </w:rPr>
              <w:t>网址</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sz w:val="24"/>
                <w:szCs w:val="24"/>
                <w:highlight w:val="none"/>
              </w:rPr>
              <w:t>https://zfcg.czt.zj.gov.cn/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887" w:type="dxa"/>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29</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int="eastAsia" w:hAnsi="宋体" w:cs="宋体"/>
                <w:sz w:val="24"/>
                <w:szCs w:val="24"/>
                <w:highlight w:val="none"/>
              </w:rPr>
              <w:t>采购代理服务费</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rPr>
              <w:t>1、本项目的招标代理服务费</w:t>
            </w:r>
            <w:r>
              <w:rPr>
                <w:rFonts w:hint="eastAsia" w:hAnsi="宋体" w:cs="宋体"/>
                <w:sz w:val="24"/>
                <w:szCs w:val="24"/>
                <w:highlight w:val="none"/>
                <w:lang w:val="en-US" w:eastAsia="zh-CN"/>
              </w:rPr>
              <w:t>为人民币6000元。</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rPr>
              <w:t>2、以上费用均不在报价中单列，请投标人在报价中予以考虑。</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hAnsi="宋体" w:cs="宋体"/>
                <w:sz w:val="24"/>
                <w:szCs w:val="24"/>
                <w:highlight w:val="none"/>
              </w:rPr>
            </w:pPr>
            <w:r>
              <w:rPr>
                <w:rFonts w:hint="eastAsia" w:hAnsi="宋体" w:cs="宋体"/>
                <w:sz w:val="24"/>
                <w:szCs w:val="24"/>
                <w:highlight w:val="none"/>
              </w:rPr>
              <w:t>3、结算方式及时间为：在领取中标通知书时由中标供应商一次性向招标代理机构付清。</w:t>
            </w:r>
          </w:p>
          <w:p>
            <w:pPr>
              <w:keepNext w:val="0"/>
              <w:keepLines w:val="0"/>
              <w:pageBreakBefore w:val="0"/>
              <w:widowControl w:val="0"/>
              <w:kinsoku/>
              <w:wordWrap/>
              <w:overflowPunct/>
              <w:topLinePunct w:val="0"/>
              <w:autoSpaceDE/>
              <w:autoSpaceDN/>
              <w:bidi w:val="0"/>
              <w:adjustRightInd/>
              <w:spacing w:line="420" w:lineRule="exact"/>
              <w:textAlignment w:val="auto"/>
              <w:rPr>
                <w:rFonts w:ascii="宋体" w:hAnsi="宋体" w:cs="宋体"/>
                <w:sz w:val="24"/>
                <w:szCs w:val="24"/>
                <w:highlight w:val="none"/>
              </w:rPr>
            </w:pPr>
            <w:r>
              <w:rPr>
                <w:rFonts w:hint="eastAsia" w:ascii="宋体" w:hAnsi="宋体" w:cs="宋体"/>
                <w:sz w:val="24"/>
                <w:szCs w:val="24"/>
                <w:highlight w:val="none"/>
              </w:rPr>
              <w:t>4、特别说明：根据《关于印发浙江省政府采购评审专家管理办法的通知》，评审专家费用及公证费（如有）由采购人支付，进场交易费根据交易中心文件执行。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887" w:type="dxa"/>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30</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int="eastAsia" w:hAnsi="宋体" w:cs="宋体"/>
                <w:sz w:val="24"/>
                <w:szCs w:val="24"/>
                <w:highlight w:val="none"/>
              </w:rPr>
              <w:t>在线提起询问、质疑、投诉方式</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lang w:val="zh-CN"/>
              </w:rPr>
            </w:pPr>
            <w:r>
              <w:rPr>
                <w:rFonts w:hint="eastAsia" w:hAnsi="宋体" w:cs="宋体"/>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887" w:type="dxa"/>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int="eastAsia" w:hAnsi="宋体" w:cs="宋体"/>
                <w:sz w:val="24"/>
                <w:szCs w:val="24"/>
                <w:highlight w:val="none"/>
              </w:rPr>
              <w:t>其他注意事项</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rPr>
              <w:t>招标文件中部分加“▲”的条款，属于招标文件的实质性要求和条件，着重提醒各投标人注意，并认真查看招标文件中的每一个条款及要求，因误读招标文件而造成的后果，采购人概不负责。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887" w:type="dxa"/>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32</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int="eastAsia" w:hAnsi="宋体" w:cs="宋体"/>
                <w:sz w:val="24"/>
                <w:szCs w:val="24"/>
                <w:highlight w:val="none"/>
              </w:rPr>
              <w:t>融资政策</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rPr>
              <w:t>2、根据浙江省财政厅《关于坚决打赢疫情防控狙击战进一步做好政府采购资金支持发展工作的通知》（浙财采监【2020】3号）和《中国人民银行衢州市中心银行、衢州市财政局关于衢州市政府采购进一步支持中小企业质押融资的实施意见》（衢银发【2020】4号文）文件精神，各中标供应商可通过浙江政府采购网（https://zfcg.czt.zj.gov.cn/）首页的“浙江政采贷”模块进入申请，还可以通过政府采购云平台（https://www.zcygov.cn/）首页的“金融服务”模块进入申请。</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rPr>
              <w:t>3、取得衢州市政府采购合同的供应商，均可凭政府采购合同及应收账款收益权，向银行申请质押融资。申请质押融资在合同签订后七个工作日内将合同向同级政府采购监管部门备案。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887" w:type="dxa"/>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33</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int="eastAsia" w:hAnsi="宋体" w:cs="宋体"/>
                <w:sz w:val="24"/>
                <w:szCs w:val="24"/>
                <w:highlight w:val="none"/>
              </w:rPr>
              <w:t>信用查询</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rPr>
              <w:t>根据《关于在政府采购活动中查询及使用信用记录有关问题的通知》财库[2016]125号的规定：</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rPr>
              <w:t>1）采购人或采购代理机构将对本项目投标人的信用记录进行查询。查询渠道为信用中国网站（www.creditchina.gov.cn）、中国政府采购网（www.ccgp.gov.cn）；</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rPr>
              <w:t>2）截止时点：提交投标文件（响应文件）截止时间前3年内；</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rPr>
              <w:t>3）查询记录和证据的留存：信用信息查询记录和证据以网页截图等方式留存。</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rPr>
              <w:t>4）使用规则：被列入失信被执行人、税收违法黑名单、政府采购严重违法失信行为记录名单及其它不符合《中华人民共和国政府采购法》第二十二条规定条件的，其投标将被拒绝。</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rPr>
              <w:t>5）联合体成员任意一方存在不良信用记录的，视同联合体存在不良信用记录。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887" w:type="dxa"/>
            <w:vAlign w:val="center"/>
          </w:tcPr>
          <w:p>
            <w:pPr>
              <w:spacing w:line="40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34</w:t>
            </w:r>
          </w:p>
        </w:tc>
        <w:tc>
          <w:tcPr>
            <w:tcW w:w="2380" w:type="dxa"/>
            <w:vAlign w:val="center"/>
          </w:tcPr>
          <w:p>
            <w:pPr>
              <w:pStyle w:val="1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Ansi="宋体" w:cs="宋体"/>
                <w:sz w:val="24"/>
                <w:szCs w:val="24"/>
                <w:highlight w:val="none"/>
              </w:rPr>
            </w:pPr>
            <w:r>
              <w:rPr>
                <w:rFonts w:hint="eastAsia" w:hAnsi="宋体" w:cs="宋体"/>
                <w:sz w:val="24"/>
                <w:szCs w:val="24"/>
                <w:highlight w:val="none"/>
              </w:rPr>
              <w:t>特别提醒</w:t>
            </w:r>
          </w:p>
        </w:tc>
        <w:tc>
          <w:tcPr>
            <w:tcW w:w="5996" w:type="dxa"/>
            <w:vAlign w:val="center"/>
          </w:tcPr>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rPr>
              <w:t>1.所有询标流程，均在线上完成，请各投标人务必不要离开电脑太久，并留意手机短信。（请提前检查“政采云”内，关于“项目采购”的岗位权限是否已勾选上。如有问题，请致电400-8817190）</w:t>
            </w:r>
          </w:p>
          <w:p>
            <w:pPr>
              <w:pStyle w:val="11"/>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Ansi="宋体" w:cs="宋体"/>
                <w:sz w:val="24"/>
                <w:szCs w:val="24"/>
                <w:highlight w:val="none"/>
              </w:rPr>
            </w:pPr>
            <w:r>
              <w:rPr>
                <w:rFonts w:hint="eastAsia" w:hAnsi="宋体" w:cs="宋体"/>
                <w:sz w:val="24"/>
                <w:szCs w:val="24"/>
                <w:highlight w:val="none"/>
              </w:rPr>
              <w:t>2.投标人无须到开标现场，只需自备电脑在规定时间前进行在线解密文件即可。</w:t>
            </w:r>
          </w:p>
        </w:tc>
      </w:tr>
      <w:bookmarkEnd w:id="4"/>
      <w:bookmarkEnd w:id="5"/>
      <w:bookmarkEnd w:id="6"/>
      <w:bookmarkEnd w:id="7"/>
      <w:bookmarkEnd w:id="8"/>
      <w:bookmarkEnd w:id="9"/>
      <w:bookmarkEnd w:id="10"/>
    </w:tbl>
    <w:p>
      <w:pPr>
        <w:snapToGrid w:val="0"/>
        <w:spacing w:before="156" w:beforeLines="50" w:after="156" w:afterLines="50" w:line="480" w:lineRule="exact"/>
        <w:jc w:val="center"/>
        <w:outlineLvl w:val="0"/>
        <w:rPr>
          <w:rFonts w:hint="eastAsia" w:ascii="宋体" w:hAnsi="宋体" w:cs="宋体"/>
          <w:b/>
          <w:sz w:val="28"/>
          <w:szCs w:val="28"/>
          <w:highlight w:val="none"/>
        </w:rPr>
      </w:pPr>
      <w:bookmarkStart w:id="11" w:name="_Toc9488"/>
      <w:bookmarkStart w:id="12" w:name="_Toc27765"/>
    </w:p>
    <w:p>
      <w:pPr>
        <w:snapToGrid w:val="0"/>
        <w:spacing w:before="156" w:beforeLines="50" w:after="156" w:afterLines="50" w:line="480" w:lineRule="exact"/>
        <w:jc w:val="center"/>
        <w:outlineLvl w:val="0"/>
        <w:rPr>
          <w:rFonts w:ascii="宋体" w:hAnsi="宋体" w:cs="宋体"/>
          <w:b/>
          <w:sz w:val="28"/>
          <w:szCs w:val="28"/>
          <w:highlight w:val="none"/>
        </w:rPr>
      </w:pPr>
      <w:r>
        <w:rPr>
          <w:rFonts w:hint="eastAsia" w:ascii="宋体" w:hAnsi="宋体" w:cs="宋体"/>
          <w:b/>
          <w:sz w:val="28"/>
          <w:szCs w:val="28"/>
          <w:highlight w:val="none"/>
        </w:rPr>
        <w:t>第二部分、投标须知</w:t>
      </w:r>
      <w:bookmarkEnd w:id="11"/>
      <w:bookmarkEnd w:id="12"/>
    </w:p>
    <w:p>
      <w:pPr>
        <w:spacing w:line="480" w:lineRule="exact"/>
        <w:jc w:val="center"/>
        <w:rPr>
          <w:rFonts w:ascii="宋体" w:hAnsi="宋体" w:cs="宋体"/>
          <w:b/>
          <w:bCs/>
          <w:sz w:val="28"/>
          <w:szCs w:val="24"/>
          <w:highlight w:val="none"/>
        </w:rPr>
      </w:pPr>
      <w:bookmarkStart w:id="13" w:name="_Toc240450077"/>
      <w:bookmarkStart w:id="14" w:name="_Toc5241"/>
      <w:bookmarkStart w:id="15" w:name="_Toc251566650"/>
      <w:bookmarkStart w:id="16" w:name="_Toc12860"/>
      <w:bookmarkStart w:id="17" w:name="_Toc12000"/>
      <w:r>
        <w:rPr>
          <w:rFonts w:hint="eastAsia" w:ascii="宋体" w:hAnsi="宋体" w:cs="宋体"/>
          <w:b/>
          <w:bCs/>
          <w:sz w:val="28"/>
          <w:szCs w:val="24"/>
          <w:highlight w:val="none"/>
        </w:rPr>
        <w:t>一、总则</w:t>
      </w:r>
      <w:bookmarkEnd w:id="13"/>
      <w:bookmarkEnd w:id="14"/>
      <w:bookmarkEnd w:id="15"/>
      <w:bookmarkEnd w:id="16"/>
      <w:bookmarkEnd w:id="17"/>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本次招标工作是按照《中华人民共和国政府采购法》、《中华人民共和国政府采购法实施条例》、《政府采购货物和服务招标投标管理办法》等相关法律法规组织和实施，并接受同级政府采购监督管理部门监督。</w:t>
      </w:r>
    </w:p>
    <w:p>
      <w:pPr>
        <w:adjustRightInd w:val="0"/>
        <w:snapToGrid w:val="0"/>
        <w:spacing w:before="156" w:beforeLines="50" w:line="480" w:lineRule="exact"/>
        <w:ind w:firstLine="562" w:firstLineChars="200"/>
        <w:rPr>
          <w:rFonts w:ascii="宋体" w:hAnsi="宋体" w:cs="宋体"/>
          <w:b/>
          <w:snapToGrid w:val="0"/>
          <w:kern w:val="0"/>
          <w:sz w:val="28"/>
          <w:szCs w:val="28"/>
          <w:highlight w:val="none"/>
        </w:rPr>
      </w:pPr>
      <w:r>
        <w:rPr>
          <w:rFonts w:hint="eastAsia" w:ascii="宋体" w:hAnsi="宋体" w:cs="宋体"/>
          <w:b/>
          <w:snapToGrid w:val="0"/>
          <w:kern w:val="0"/>
          <w:sz w:val="28"/>
          <w:szCs w:val="28"/>
          <w:highlight w:val="none"/>
        </w:rPr>
        <w:t>1.适用范围</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1.1本采购文件仅适用于本次招标项目。</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1.2本项目采购方式为公开招标。</w:t>
      </w:r>
    </w:p>
    <w:p>
      <w:pPr>
        <w:adjustRightInd w:val="0"/>
        <w:snapToGrid w:val="0"/>
        <w:spacing w:line="480" w:lineRule="exact"/>
        <w:ind w:firstLine="480" w:firstLineChars="200"/>
        <w:rPr>
          <w:rFonts w:ascii="宋体" w:hAnsi="宋体" w:cs="宋体"/>
          <w:snapToGrid w:val="0"/>
          <w:kern w:val="0"/>
          <w:sz w:val="28"/>
          <w:szCs w:val="28"/>
          <w:highlight w:val="none"/>
        </w:rPr>
      </w:pPr>
      <w:r>
        <w:rPr>
          <w:rFonts w:hint="eastAsia" w:ascii="宋体" w:hAnsi="宋体" w:cs="宋体"/>
          <w:snapToGrid w:val="0"/>
          <w:kern w:val="0"/>
          <w:sz w:val="24"/>
          <w:szCs w:val="24"/>
          <w:highlight w:val="none"/>
        </w:rPr>
        <w:t>1.3投标须知为招标文件的通用条款，如通用条款与前附表、采购内容及要求、合同条款等特定条款不一致的，请按特定条款执行。</w:t>
      </w:r>
    </w:p>
    <w:p>
      <w:pPr>
        <w:adjustRightInd w:val="0"/>
        <w:snapToGrid w:val="0"/>
        <w:spacing w:before="156" w:beforeLines="50" w:line="480" w:lineRule="exact"/>
        <w:ind w:firstLine="562" w:firstLineChars="200"/>
        <w:rPr>
          <w:rFonts w:ascii="宋体" w:hAnsi="宋体" w:cs="宋体"/>
          <w:b/>
          <w:snapToGrid w:val="0"/>
          <w:kern w:val="0"/>
          <w:sz w:val="28"/>
          <w:szCs w:val="28"/>
          <w:highlight w:val="none"/>
        </w:rPr>
      </w:pPr>
      <w:r>
        <w:rPr>
          <w:rFonts w:hint="eastAsia" w:ascii="宋体" w:hAnsi="宋体" w:cs="宋体"/>
          <w:b/>
          <w:snapToGrid w:val="0"/>
          <w:kern w:val="0"/>
          <w:sz w:val="28"/>
          <w:szCs w:val="28"/>
          <w:highlight w:val="none"/>
        </w:rPr>
        <w:t>2</w:t>
      </w:r>
      <w:r>
        <w:rPr>
          <w:rFonts w:hint="eastAsia" w:ascii="宋体" w:hAnsi="宋体" w:cs="宋体"/>
          <w:b/>
          <w:snapToGrid w:val="0"/>
          <w:kern w:val="0"/>
          <w:sz w:val="28"/>
          <w:szCs w:val="28"/>
          <w:highlight w:val="none"/>
          <w:lang w:val="en-US" w:eastAsia="zh-CN"/>
        </w:rPr>
        <w:t>.</w:t>
      </w:r>
      <w:r>
        <w:rPr>
          <w:rFonts w:hint="eastAsia" w:ascii="宋体" w:hAnsi="宋体" w:cs="宋体"/>
          <w:b/>
          <w:snapToGrid w:val="0"/>
          <w:kern w:val="0"/>
          <w:sz w:val="28"/>
          <w:szCs w:val="28"/>
          <w:highlight w:val="none"/>
        </w:rPr>
        <w:t>定义</w:t>
      </w:r>
    </w:p>
    <w:p>
      <w:pPr>
        <w:adjustRightInd w:val="0"/>
        <w:snapToGrid w:val="0"/>
        <w:spacing w:line="480" w:lineRule="exact"/>
        <w:ind w:firstLine="480" w:firstLineChars="200"/>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2.1采购人：指</w:t>
      </w:r>
      <w:r>
        <w:rPr>
          <w:rFonts w:hint="eastAsia" w:ascii="宋体" w:hAnsi="宋体" w:cs="宋体"/>
          <w:snapToGrid w:val="0"/>
          <w:kern w:val="0"/>
          <w:sz w:val="24"/>
          <w:szCs w:val="24"/>
          <w:highlight w:val="none"/>
          <w:lang w:eastAsia="zh-CN"/>
        </w:rPr>
        <w:t>衢州智慧新城管理委员会</w:t>
      </w:r>
      <w:r>
        <w:rPr>
          <w:rFonts w:hint="eastAsia" w:ascii="宋体" w:hAnsi="宋体" w:cs="宋体"/>
          <w:snapToGrid w:val="0"/>
          <w:kern w:val="0"/>
          <w:sz w:val="24"/>
          <w:szCs w:val="24"/>
          <w:highlight w:val="none"/>
        </w:rPr>
        <w:t xml:space="preserve"> （合同中的甲方）。</w:t>
      </w:r>
    </w:p>
    <w:p>
      <w:pPr>
        <w:adjustRightInd w:val="0"/>
        <w:snapToGrid w:val="0"/>
        <w:spacing w:line="480" w:lineRule="exact"/>
        <w:ind w:firstLine="480" w:firstLineChars="200"/>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2.2“招标（采购）代理机构：指浙江展图工程咨询有限公司。</w:t>
      </w:r>
    </w:p>
    <w:p>
      <w:pPr>
        <w:adjustRightInd w:val="0"/>
        <w:snapToGrid w:val="0"/>
        <w:spacing w:line="480" w:lineRule="exact"/>
        <w:ind w:firstLine="480" w:firstLineChars="200"/>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2.3同级政府采购监督管理部门：指衢州市财政局。</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2.4供应商、投标人：系指响应本次招标，参加本次投标的独立法人。</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2.5服务：指采购文件或合同规定投标人须承担的服务以及其他类似的义务。</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2.6中标人、中标供应商：指经评审获得本项目最终合同签订资格的投标人</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rPr>
        <w:t>2.7</w:t>
      </w:r>
      <w:r>
        <w:rPr>
          <w:rFonts w:hint="eastAsia" w:ascii="宋体" w:hAnsi="宋体" w:cs="宋体"/>
          <w:snapToGrid w:val="0"/>
          <w:kern w:val="0"/>
          <w:sz w:val="24"/>
          <w:szCs w:val="24"/>
          <w:highlight w:val="none"/>
          <w:lang w:val="zh-CN"/>
        </w:rPr>
        <w:t>投标人代表：指全权代表投标人参加招标活动并签署投标文件的人。本次投标的投标人代表必须是投标人的法定代表人或其授权委托人，如投标人代表不是法定代表人，须有法定代表人出具的授权委托书。</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rPr>
        <w:t>2.8</w:t>
      </w:r>
      <w:r>
        <w:rPr>
          <w:rFonts w:hint="eastAsia" w:ascii="宋体" w:hAnsi="宋体" w:cs="宋体"/>
          <w:snapToGrid w:val="0"/>
          <w:kern w:val="0"/>
          <w:sz w:val="24"/>
          <w:szCs w:val="24"/>
          <w:highlight w:val="none"/>
          <w:lang w:val="zh-CN"/>
        </w:rPr>
        <w:t>联合体：指两个以上供应商组成联合体，以一个供应商的身份参加投标。</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rPr>
        <w:t>2.9</w:t>
      </w:r>
      <w:r>
        <w:rPr>
          <w:rFonts w:hint="eastAsia" w:ascii="宋体" w:hAnsi="宋体" w:cs="宋体"/>
          <w:snapToGrid w:val="0"/>
          <w:kern w:val="0"/>
          <w:sz w:val="24"/>
          <w:szCs w:val="24"/>
          <w:highlight w:val="none"/>
          <w:lang w:val="zh-CN"/>
        </w:rPr>
        <w:t>制造商：拥有投标产品自主知识产权的单位。</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2.10</w:t>
      </w:r>
      <w:r>
        <w:rPr>
          <w:rFonts w:ascii="宋体" w:hAnsi="宋体" w:cs="宋体"/>
          <w:snapToGrid w:val="0"/>
          <w:kern w:val="0"/>
          <w:sz w:val="24"/>
          <w:szCs w:val="24"/>
          <w:highlight w:val="none"/>
        </w:rPr>
        <w:t>产品</w:t>
      </w:r>
      <w:r>
        <w:rPr>
          <w:rFonts w:hint="eastAsia" w:ascii="宋体" w:hAnsi="宋体" w:cs="宋体"/>
          <w:snapToGrid w:val="0"/>
          <w:kern w:val="0"/>
          <w:sz w:val="24"/>
          <w:szCs w:val="24"/>
          <w:highlight w:val="none"/>
        </w:rPr>
        <w:t>：</w:t>
      </w:r>
      <w:r>
        <w:rPr>
          <w:rFonts w:ascii="宋体" w:hAnsi="宋体" w:cs="宋体"/>
          <w:snapToGrid w:val="0"/>
          <w:kern w:val="0"/>
          <w:sz w:val="24"/>
          <w:szCs w:val="24"/>
          <w:highlight w:val="none"/>
        </w:rPr>
        <w:t>指供方按</w:t>
      </w:r>
      <w:r>
        <w:rPr>
          <w:rFonts w:hint="eastAsia" w:ascii="宋体" w:hAnsi="宋体" w:cs="宋体"/>
          <w:snapToGrid w:val="0"/>
          <w:kern w:val="0"/>
          <w:sz w:val="24"/>
          <w:szCs w:val="24"/>
          <w:highlight w:val="none"/>
        </w:rPr>
        <w:t>采购文件</w:t>
      </w:r>
      <w:r>
        <w:rPr>
          <w:rFonts w:ascii="宋体" w:hAnsi="宋体" w:cs="宋体"/>
          <w:snapToGrid w:val="0"/>
          <w:kern w:val="0"/>
          <w:sz w:val="24"/>
          <w:szCs w:val="24"/>
          <w:highlight w:val="none"/>
        </w:rPr>
        <w:t>规定，须向采购人提供的一切设备、保险、税金、备品备件、工具、手册及其它有关技术资料和材料。</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2.11</w:t>
      </w:r>
      <w:r>
        <w:rPr>
          <w:rFonts w:ascii="宋体" w:hAnsi="宋体" w:cs="宋体"/>
          <w:snapToGrid w:val="0"/>
          <w:kern w:val="0"/>
          <w:sz w:val="24"/>
          <w:szCs w:val="24"/>
          <w:highlight w:val="none"/>
        </w:rPr>
        <w:t>项目</w:t>
      </w:r>
      <w:r>
        <w:rPr>
          <w:rFonts w:hint="eastAsia" w:ascii="宋体" w:hAnsi="宋体" w:cs="宋体"/>
          <w:snapToGrid w:val="0"/>
          <w:kern w:val="0"/>
          <w:sz w:val="24"/>
          <w:szCs w:val="24"/>
          <w:highlight w:val="none"/>
        </w:rPr>
        <w:t>：</w:t>
      </w:r>
      <w:r>
        <w:rPr>
          <w:rFonts w:ascii="宋体" w:hAnsi="宋体" w:cs="宋体"/>
          <w:snapToGrid w:val="0"/>
          <w:kern w:val="0"/>
          <w:sz w:val="24"/>
          <w:szCs w:val="24"/>
          <w:highlight w:val="none"/>
        </w:rPr>
        <w:t>指投标人按</w:t>
      </w:r>
      <w:r>
        <w:rPr>
          <w:rFonts w:hint="eastAsia" w:ascii="宋体" w:hAnsi="宋体" w:cs="宋体"/>
          <w:snapToGrid w:val="0"/>
          <w:kern w:val="0"/>
          <w:sz w:val="24"/>
          <w:szCs w:val="24"/>
          <w:highlight w:val="none"/>
        </w:rPr>
        <w:t>采购文件</w:t>
      </w:r>
      <w:r>
        <w:rPr>
          <w:rFonts w:ascii="宋体" w:hAnsi="宋体" w:cs="宋体"/>
          <w:snapToGrid w:val="0"/>
          <w:kern w:val="0"/>
          <w:sz w:val="24"/>
          <w:szCs w:val="24"/>
          <w:highlight w:val="none"/>
        </w:rPr>
        <w:t>规定向采购人提供的产品和服务。</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2.12</w:t>
      </w:r>
      <w:r>
        <w:rPr>
          <w:rFonts w:ascii="宋体" w:hAnsi="宋体" w:cs="宋体"/>
          <w:snapToGrid w:val="0"/>
          <w:kern w:val="0"/>
          <w:sz w:val="24"/>
          <w:szCs w:val="24"/>
          <w:highlight w:val="none"/>
        </w:rPr>
        <w:t>书面形式</w:t>
      </w:r>
      <w:r>
        <w:rPr>
          <w:rFonts w:hint="eastAsia" w:ascii="宋体" w:hAnsi="宋体" w:cs="宋体"/>
          <w:snapToGrid w:val="0"/>
          <w:kern w:val="0"/>
          <w:sz w:val="24"/>
          <w:szCs w:val="24"/>
          <w:highlight w:val="none"/>
        </w:rPr>
        <w:t>：</w:t>
      </w:r>
      <w:r>
        <w:rPr>
          <w:rFonts w:hint="eastAsia" w:ascii="宋体" w:hAnsi="宋体" w:cs="宋体"/>
          <w:snapToGrid w:val="0"/>
          <w:kern w:val="0"/>
          <w:sz w:val="24"/>
          <w:szCs w:val="24"/>
          <w:highlight w:val="none"/>
          <w:lang w:val="zh-CN"/>
        </w:rPr>
        <w:t>包括纸质文件、电子邮件、传真、信函、电报等</w:t>
      </w:r>
      <w:r>
        <w:rPr>
          <w:rFonts w:ascii="宋体" w:hAnsi="宋体" w:cs="宋体"/>
          <w:snapToGrid w:val="0"/>
          <w:kern w:val="0"/>
          <w:sz w:val="24"/>
          <w:szCs w:val="24"/>
          <w:highlight w:val="none"/>
        </w:rPr>
        <w:t>。</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2.13官方指定网站公示的内容视为书面告知。</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2.14电子签名：指数据电文中以电子形式所含、所附用于识别签名人身份并表明签名人认可其中内容的数据；“公章”系指单位法定名称章。</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2.15“电子交易平台”系指本项目政府采购活动所依托的政府采购云平台（https://www.zcygov.cn/）。</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rPr>
        <w:t>2.16</w:t>
      </w:r>
      <w:r>
        <w:rPr>
          <w:rFonts w:hint="eastAsia" w:ascii="宋体" w:hAnsi="宋体" w:cs="宋体"/>
          <w:snapToGrid w:val="0"/>
          <w:kern w:val="0"/>
          <w:sz w:val="24"/>
          <w:szCs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rPr>
        <w:t>2.17</w:t>
      </w:r>
      <w:r>
        <w:rPr>
          <w:rFonts w:hint="eastAsia" w:ascii="宋体" w:hAnsi="宋体" w:cs="宋体"/>
          <w:snapToGrid w:val="0"/>
          <w:kern w:val="0"/>
          <w:sz w:val="24"/>
          <w:szCs w:val="24"/>
          <w:highlight w:val="none"/>
          <w:lang w:val="zh-CN"/>
        </w:rPr>
        <w:t>培训：系指按招标文件规定，向采购人提供操作使用培训、系统管理培训和其他相关培训等。</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rPr>
        <w:t>2.18</w:t>
      </w:r>
      <w:r>
        <w:rPr>
          <w:rFonts w:hint="eastAsia" w:ascii="宋体" w:hAnsi="宋体" w:cs="宋体"/>
          <w:snapToGrid w:val="0"/>
          <w:kern w:val="0"/>
          <w:sz w:val="24"/>
          <w:szCs w:val="24"/>
          <w:highlight w:val="none"/>
          <w:lang w:val="zh-CN"/>
        </w:rPr>
        <w:t>实质性响应：系指投标文件符合招标文件规定的实质性内容、条件和规定。</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rPr>
        <w:t>2.19</w:t>
      </w:r>
      <w:r>
        <w:rPr>
          <w:rFonts w:hint="eastAsia" w:ascii="宋体" w:hAnsi="宋体" w:cs="宋体"/>
          <w:snapToGrid w:val="0"/>
          <w:kern w:val="0"/>
          <w:sz w:val="24"/>
          <w:szCs w:val="24"/>
          <w:highlight w:val="none"/>
          <w:lang w:val="zh-CN"/>
        </w:rPr>
        <w:t>重大偏离或保留：系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lang w:val="zh-CN"/>
        </w:rPr>
        <w:t>细微偏离：系指投标文件对招标文件的非实质性内容存在不完全响应或不响应。</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rPr>
        <w:t>2.20“</w:t>
      </w:r>
      <w:r>
        <w:rPr>
          <w:rFonts w:hint="eastAsia" w:ascii="宋体" w:hAnsi="宋体" w:cs="宋体"/>
          <w:snapToGrid w:val="0"/>
          <w:kern w:val="0"/>
          <w:sz w:val="24"/>
          <w:szCs w:val="24"/>
          <w:highlight w:val="none"/>
          <w:lang w:val="zh-CN"/>
        </w:rPr>
        <w:t>▲</w:t>
      </w:r>
      <w:r>
        <w:rPr>
          <w:rFonts w:hint="eastAsia" w:ascii="宋体" w:hAnsi="宋体" w:cs="宋体"/>
          <w:snapToGrid w:val="0"/>
          <w:kern w:val="0"/>
          <w:sz w:val="24"/>
          <w:szCs w:val="24"/>
          <w:highlight w:val="none"/>
        </w:rPr>
        <w:t>”</w:t>
      </w:r>
      <w:r>
        <w:rPr>
          <w:rFonts w:hint="eastAsia" w:ascii="宋体" w:hAnsi="宋体" w:cs="宋体"/>
          <w:snapToGrid w:val="0"/>
          <w:kern w:val="0"/>
          <w:sz w:val="24"/>
          <w:szCs w:val="24"/>
          <w:highlight w:val="none"/>
          <w:lang w:val="zh-CN"/>
        </w:rPr>
        <w:t>系指实质性的要求条款。</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rPr>
        <w:t>2.21“</w:t>
      </w:r>
      <w:r>
        <w:rPr>
          <w:rFonts w:hint="eastAsia" w:ascii="宋体" w:hAnsi="宋体" w:cs="宋体"/>
          <w:snapToGrid w:val="0"/>
          <w:kern w:val="0"/>
          <w:sz w:val="24"/>
          <w:szCs w:val="24"/>
          <w:highlight w:val="none"/>
          <w:lang w:val="zh-CN"/>
        </w:rPr>
        <w:t>★</w:t>
      </w:r>
      <w:r>
        <w:rPr>
          <w:rFonts w:hint="eastAsia" w:ascii="宋体" w:hAnsi="宋体" w:cs="宋体"/>
          <w:snapToGrid w:val="0"/>
          <w:kern w:val="0"/>
          <w:sz w:val="24"/>
          <w:szCs w:val="24"/>
          <w:highlight w:val="none"/>
        </w:rPr>
        <w:t>”</w:t>
      </w:r>
      <w:r>
        <w:rPr>
          <w:rFonts w:hint="eastAsia" w:ascii="宋体" w:hAnsi="宋体" w:cs="宋体"/>
          <w:snapToGrid w:val="0"/>
          <w:kern w:val="0"/>
          <w:sz w:val="24"/>
          <w:szCs w:val="24"/>
          <w:highlight w:val="none"/>
          <w:lang w:val="zh-CN"/>
        </w:rPr>
        <w:t>系指投标人应特别关注的条款。</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2.22政府采购政府要求说明</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rPr>
        <w:t>1</w:t>
      </w:r>
      <w:r>
        <w:rPr>
          <w:rFonts w:hint="eastAsia" w:ascii="宋体" w:hAnsi="宋体" w:cs="宋体"/>
          <w:snapToGrid w:val="0"/>
          <w:kern w:val="0"/>
          <w:sz w:val="24"/>
          <w:szCs w:val="24"/>
          <w:highlight w:val="none"/>
          <w:lang w:val="zh-CN"/>
        </w:rPr>
        <w:t>、▲本项目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rPr>
        <w:t>2</w:t>
      </w:r>
      <w:r>
        <w:rPr>
          <w:rFonts w:hint="eastAsia" w:ascii="宋体" w:hAnsi="宋体" w:cs="宋体"/>
          <w:snapToGrid w:val="0"/>
          <w:kern w:val="0"/>
          <w:sz w:val="24"/>
          <w:szCs w:val="24"/>
          <w:highlight w:val="none"/>
          <w:lang w:val="zh-CN"/>
        </w:rPr>
        <w:t>、支持绿色发展</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w:t>
      </w:r>
      <w:r>
        <w:rPr>
          <w:rFonts w:hint="eastAsia" w:ascii="宋体" w:hAnsi="宋体" w:cs="宋体"/>
          <w:snapToGrid w:val="0"/>
          <w:kern w:val="0"/>
          <w:sz w:val="24"/>
          <w:szCs w:val="24"/>
          <w:highlight w:val="none"/>
        </w:rPr>
        <w:t>1</w:t>
      </w:r>
      <w:r>
        <w:rPr>
          <w:rFonts w:hint="eastAsia" w:ascii="宋体" w:hAnsi="宋体" w:cs="宋体"/>
          <w:snapToGrid w:val="0"/>
          <w:kern w:val="0"/>
          <w:sz w:val="24"/>
          <w:szCs w:val="24"/>
          <w:highlight w:val="none"/>
          <w:lang w:val="zh-CN"/>
        </w:rPr>
        <w:t>）节能产品的强制采购政策：本项目不涉及强制节能产品；</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（2）节能产品、环境标志产品的优先采购政策：本项目不涉及节能产品、环境标志产品；</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（3）修缮、装修类项目采购建材的，供应商应按采购文件和合同规定的绿色建筑和绿色建材性能、指标进行采购。</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【本项目不涉及建材】；</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【本项目不涉及商品包装和快递包装】；</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3、支持创新发展</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（1）采购人优先采购被认定为首台套产品和“制造精品”的自主创新产品。</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【本项目不涉及】；</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rPr>
        <w:t>4</w:t>
      </w:r>
      <w:r>
        <w:rPr>
          <w:rFonts w:hint="eastAsia" w:ascii="宋体" w:hAnsi="宋体" w:cs="宋体"/>
          <w:snapToGrid w:val="0"/>
          <w:kern w:val="0"/>
          <w:sz w:val="24"/>
          <w:szCs w:val="24"/>
          <w:highlight w:val="none"/>
          <w:lang w:val="zh-CN"/>
        </w:rPr>
        <w:t>、支持中小企业发展</w:t>
      </w:r>
    </w:p>
    <w:p>
      <w:pPr>
        <w:adjustRightInd w:val="0"/>
        <w:snapToGrid w:val="0"/>
        <w:spacing w:line="480" w:lineRule="exact"/>
        <w:ind w:firstLine="480" w:firstLineChars="200"/>
        <w:rPr>
          <w:rFonts w:hint="eastAsia"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（1）根据财政部、工业和信息化部关于印发《政府采购促进中小企业发展管理办法》的通知（财库〔2020〕46号）的规定，本项目</w:t>
      </w:r>
      <w:r>
        <w:rPr>
          <w:rFonts w:hint="eastAsia" w:ascii="宋体" w:hAnsi="宋体" w:cs="宋体"/>
          <w:snapToGrid w:val="0"/>
          <w:kern w:val="0"/>
          <w:sz w:val="24"/>
          <w:szCs w:val="24"/>
          <w:highlight w:val="none"/>
          <w:lang w:val="zh-CN"/>
        </w:rPr>
        <w:sym w:font="Wingdings" w:char="00A8"/>
      </w:r>
      <w:r>
        <w:rPr>
          <w:rFonts w:hint="eastAsia" w:ascii="宋体" w:hAnsi="宋体" w:cs="宋体"/>
          <w:snapToGrid w:val="0"/>
          <w:kern w:val="0"/>
          <w:sz w:val="24"/>
          <w:szCs w:val="24"/>
          <w:highlight w:val="none"/>
          <w:lang w:val="zh-CN"/>
        </w:rPr>
        <w:t>属于</w:t>
      </w:r>
      <w:r>
        <w:rPr>
          <w:rFonts w:hint="eastAsia" w:ascii="宋体" w:hAnsi="宋体" w:cs="宋体"/>
          <w:snapToGrid w:val="0"/>
          <w:kern w:val="0"/>
          <w:sz w:val="24"/>
          <w:szCs w:val="24"/>
          <w:highlight w:val="none"/>
          <w:lang w:val="zh-CN"/>
        </w:rPr>
        <w:sym w:font="Wingdings" w:char="00FE"/>
      </w:r>
      <w:r>
        <w:rPr>
          <w:rFonts w:hint="eastAsia" w:ascii="宋体" w:hAnsi="宋体" w:cs="宋体"/>
          <w:snapToGrid w:val="0"/>
          <w:kern w:val="0"/>
          <w:sz w:val="24"/>
          <w:szCs w:val="24"/>
          <w:highlight w:val="none"/>
        </w:rPr>
        <w:t>不属于</w:t>
      </w:r>
      <w:r>
        <w:rPr>
          <w:rFonts w:hint="eastAsia" w:ascii="宋体" w:hAnsi="宋体" w:cs="宋体"/>
          <w:snapToGrid w:val="0"/>
          <w:kern w:val="0"/>
          <w:sz w:val="24"/>
          <w:szCs w:val="24"/>
          <w:highlight w:val="none"/>
          <w:lang w:val="zh-CN"/>
        </w:rPr>
        <w:t>预留份额专门面向小微企业采购项目；</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采购标的对应的中小企业划分标准所属行业：</w:t>
      </w:r>
      <w:r>
        <w:rPr>
          <w:rFonts w:hint="eastAsia" w:ascii="宋体" w:hAnsi="宋体" w:cs="宋体"/>
          <w:snapToGrid w:val="0"/>
          <w:kern w:val="0"/>
          <w:sz w:val="24"/>
          <w:szCs w:val="24"/>
          <w:highlight w:val="none"/>
          <w:u w:val="single"/>
          <w:lang w:val="en-US" w:eastAsia="zh-CN"/>
        </w:rPr>
        <w:t>其他未列明行业---</w:t>
      </w:r>
      <w:r>
        <w:rPr>
          <w:rFonts w:hint="eastAsia" w:ascii="宋体" w:hAnsi="宋体" w:cs="宋体"/>
          <w:snapToGrid w:val="0"/>
          <w:kern w:val="0"/>
          <w:sz w:val="24"/>
          <w:szCs w:val="24"/>
          <w:highlight w:val="none"/>
          <w:u w:val="single"/>
          <w:lang w:val="en-US"/>
        </w:rPr>
        <w:t xml:space="preserve"> 专业技术服务业</w:t>
      </w:r>
      <w:r>
        <w:rPr>
          <w:rFonts w:hint="eastAsia" w:ascii="宋体" w:hAnsi="宋体" w:cs="宋体"/>
          <w:snapToGrid w:val="0"/>
          <w:kern w:val="0"/>
          <w:sz w:val="24"/>
          <w:szCs w:val="24"/>
          <w:highlight w:val="none"/>
          <w:u w:val="single"/>
        </w:rPr>
        <w:t xml:space="preserve"> </w:t>
      </w:r>
      <w:r>
        <w:rPr>
          <w:rFonts w:hint="eastAsia" w:ascii="宋体" w:hAnsi="宋体" w:cs="宋体"/>
          <w:snapToGrid w:val="0"/>
          <w:kern w:val="0"/>
          <w:sz w:val="24"/>
          <w:szCs w:val="24"/>
          <w:highlight w:val="none"/>
          <w:lang w:val="zh-CN"/>
        </w:rPr>
        <w:t>；</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中小企业划分标准：</w:t>
      </w:r>
      <w:r>
        <w:rPr>
          <w:rFonts w:hint="eastAsia" w:ascii="宋体" w:hAnsi="宋体" w:cs="宋体"/>
          <w:snapToGrid w:val="0"/>
          <w:kern w:val="0"/>
          <w:sz w:val="24"/>
          <w:szCs w:val="24"/>
          <w:highlight w:val="none"/>
          <w:u w:val="single"/>
          <w:lang w:val="zh-CN"/>
        </w:rPr>
        <w:t>《中小企业划分标准》（工信部联企业[2011]300号）</w:t>
      </w:r>
      <w:r>
        <w:rPr>
          <w:rFonts w:hint="eastAsia" w:ascii="宋体" w:hAnsi="宋体" w:cs="宋体"/>
          <w:snapToGrid w:val="0"/>
          <w:kern w:val="0"/>
          <w:sz w:val="24"/>
          <w:szCs w:val="24"/>
          <w:highlight w:val="none"/>
          <w:lang w:val="zh-CN"/>
        </w:rPr>
        <w:t>。</w:t>
      </w:r>
    </w:p>
    <w:p>
      <w:pPr>
        <w:adjustRightInd w:val="0"/>
        <w:snapToGrid w:val="0"/>
        <w:spacing w:line="480" w:lineRule="exact"/>
        <w:ind w:firstLine="480" w:firstLineChars="200"/>
        <w:rPr>
          <w:rFonts w:hint="eastAsia" w:ascii="宋体" w:hAnsi="宋体" w:cs="宋体"/>
          <w:snapToGrid w:val="0"/>
          <w:kern w:val="0"/>
          <w:sz w:val="24"/>
          <w:szCs w:val="24"/>
          <w:highlight w:val="none"/>
          <w:lang w:val="en-US" w:eastAsia="zh-CN"/>
        </w:rPr>
      </w:pPr>
      <w:r>
        <w:rPr>
          <w:rFonts w:hint="eastAsia" w:ascii="宋体" w:hAnsi="宋体" w:cs="宋体"/>
          <w:snapToGrid w:val="0"/>
          <w:kern w:val="0"/>
          <w:sz w:val="24"/>
          <w:szCs w:val="24"/>
          <w:highlight w:val="none"/>
          <w:lang w:val="en-US" w:eastAsia="zh-CN"/>
        </w:rPr>
        <w:t>本项目中小企业划型标准如下：</w:t>
      </w:r>
    </w:p>
    <w:p>
      <w:pPr>
        <w:pStyle w:val="2"/>
        <w:rPr>
          <w:rFonts w:hint="eastAsia" w:ascii="宋体" w:hAnsi="宋体" w:cs="宋体"/>
          <w:snapToGrid w:val="0"/>
          <w:kern w:val="0"/>
          <w:sz w:val="24"/>
          <w:szCs w:val="24"/>
          <w:highlight w:val="none"/>
          <w:lang w:val="en-US" w:eastAsia="zh-CN"/>
        </w:rPr>
      </w:pPr>
      <w:r>
        <w:rPr>
          <w:rFonts w:hint="eastAsia" w:ascii="宋体" w:hAnsi="宋体" w:cs="宋体"/>
          <w:snapToGrid w:val="0"/>
          <w:kern w:val="0"/>
          <w:sz w:val="24"/>
          <w:szCs w:val="24"/>
          <w:highlight w:val="none"/>
          <w:lang w:val="zh-CN"/>
        </w:rPr>
        <w:drawing>
          <wp:anchor distT="0" distB="0" distL="114300" distR="114300" simplePos="0" relativeHeight="251659264" behindDoc="0" locked="0" layoutInCell="1" allowOverlap="1">
            <wp:simplePos x="0" y="0"/>
            <wp:positionH relativeFrom="column">
              <wp:posOffset>-129540</wp:posOffset>
            </wp:positionH>
            <wp:positionV relativeFrom="paragraph">
              <wp:posOffset>144780</wp:posOffset>
            </wp:positionV>
            <wp:extent cx="5560060" cy="796925"/>
            <wp:effectExtent l="0" t="0" r="2540" b="3175"/>
            <wp:wrapNone/>
            <wp:docPr id="5" name="图片 5" descr="172872369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8723694876"/>
                    <pic:cNvPicPr>
                      <a:picLocks noChangeAspect="1"/>
                    </pic:cNvPicPr>
                  </pic:nvPicPr>
                  <pic:blipFill>
                    <a:blip r:embed="rId5"/>
                    <a:stretch>
                      <a:fillRect/>
                    </a:stretch>
                  </pic:blipFill>
                  <pic:spPr>
                    <a:xfrm>
                      <a:off x="0" y="0"/>
                      <a:ext cx="5560060" cy="796925"/>
                    </a:xfrm>
                    <a:prstGeom prst="rect">
                      <a:avLst/>
                    </a:prstGeom>
                  </pic:spPr>
                </pic:pic>
              </a:graphicData>
            </a:graphic>
          </wp:anchor>
        </w:drawing>
      </w:r>
    </w:p>
    <w:p>
      <w:pPr>
        <w:pStyle w:val="2"/>
        <w:rPr>
          <w:rFonts w:hint="eastAsia" w:ascii="宋体" w:hAnsi="宋体" w:cs="宋体"/>
          <w:snapToGrid w:val="0"/>
          <w:kern w:val="0"/>
          <w:sz w:val="24"/>
          <w:szCs w:val="24"/>
          <w:highlight w:val="none"/>
          <w:lang w:val="en-US" w:eastAsia="zh-CN"/>
        </w:rPr>
      </w:pPr>
    </w:p>
    <w:p>
      <w:pPr>
        <w:adjustRightInd w:val="0"/>
        <w:snapToGrid w:val="0"/>
        <w:spacing w:line="480" w:lineRule="exact"/>
        <w:ind w:firstLine="480" w:firstLineChars="200"/>
        <w:rPr>
          <w:rFonts w:hint="eastAsia" w:ascii="宋体" w:hAnsi="宋体" w:cs="宋体"/>
          <w:snapToGrid w:val="0"/>
          <w:kern w:val="0"/>
          <w:sz w:val="24"/>
          <w:szCs w:val="24"/>
          <w:highlight w:val="none"/>
          <w:lang w:val="zh-CN"/>
        </w:rPr>
      </w:pPr>
    </w:p>
    <w:p>
      <w:pPr>
        <w:adjustRightInd w:val="0"/>
        <w:snapToGrid w:val="0"/>
        <w:spacing w:line="480" w:lineRule="exact"/>
        <w:ind w:firstLine="480" w:firstLineChars="200"/>
        <w:rPr>
          <w:rFonts w:hint="eastAsia" w:ascii="宋体" w:hAnsi="宋体" w:cs="宋体"/>
          <w:snapToGrid w:val="0"/>
          <w:kern w:val="0"/>
          <w:sz w:val="24"/>
          <w:szCs w:val="24"/>
          <w:highlight w:val="none"/>
          <w:lang w:val="zh-CN"/>
        </w:rPr>
      </w:pP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2）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符合中小企业划分标准的个体工商户，在政府采购活动中视同中小企业。</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3）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以联合体形式参加政府采购活动，联合体各方均为中小企业的，联合体视同中小企业。其中，联合体各方均为小微企业的，联合体视同小微企业。</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4）根据财政部、司法部关于政府采购支持监狱企业发展有关问题的通知（财库〔2014〕68号）的规定，监狱企业【提供《监狱企业声明函》（格式详见第五章“应提交的有关格式范例”）及由省级以上监狱管理局、戒毒管理局（含新疆生产建设兵团）出具的属于监狱企业的证明文件】视同小型、微型企业。</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5）根据财政部、民政部、中国残疾人联合会关于促进残疾人就业政府采购政策的通知（财库〔2017〕141号）的规定，残疾人福利性单位【提供《残疾人福利性单位声明函》（格式详见第五章“应提交的有关格式范例”）】视同小型、微型企业。</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w:t>
      </w:r>
      <w:r>
        <w:rPr>
          <w:rFonts w:ascii="宋体" w:hAnsi="宋体" w:cs="宋体"/>
          <w:snapToGrid w:val="0"/>
          <w:kern w:val="0"/>
          <w:sz w:val="24"/>
          <w:szCs w:val="24"/>
          <w:highlight w:val="none"/>
          <w:lang w:val="zh-CN"/>
        </w:rPr>
        <w:t>6）</w:t>
      </w:r>
      <w:r>
        <w:rPr>
          <w:rFonts w:hint="eastAsia" w:ascii="宋体" w:hAnsi="宋体" w:cs="宋体"/>
          <w:snapToGrid w:val="0"/>
          <w:kern w:val="0"/>
          <w:sz w:val="24"/>
          <w:szCs w:val="24"/>
          <w:highlight w:val="none"/>
          <w:lang w:val="zh-CN"/>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480" w:lineRule="exact"/>
        <w:ind w:firstLine="480" w:firstLineChars="200"/>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w:t>
      </w:r>
      <w:r>
        <w:rPr>
          <w:rFonts w:ascii="宋体" w:hAnsi="宋体" w:cs="宋体"/>
          <w:snapToGrid w:val="0"/>
          <w:kern w:val="0"/>
          <w:sz w:val="24"/>
          <w:szCs w:val="24"/>
          <w:highlight w:val="none"/>
          <w:lang w:val="zh-CN"/>
        </w:rPr>
        <w:t>7）</w:t>
      </w:r>
      <w:r>
        <w:rPr>
          <w:rFonts w:hint="eastAsia" w:ascii="宋体" w:hAnsi="宋体" w:cs="宋体"/>
          <w:snapToGrid w:val="0"/>
          <w:kern w:val="0"/>
          <w:sz w:val="24"/>
          <w:szCs w:val="24"/>
          <w:highlight w:val="none"/>
          <w:lang w:val="zh-CN"/>
        </w:rPr>
        <w:t>中小企业享受扶持政策获得政府采购合同的，小微企业不得将合同分包给大中型企业，中型企业不得将合同分包给大型企业。</w:t>
      </w:r>
    </w:p>
    <w:p>
      <w:pPr>
        <w:adjustRightInd w:val="0"/>
        <w:snapToGrid w:val="0"/>
        <w:spacing w:line="480" w:lineRule="exact"/>
        <w:ind w:firstLine="562" w:firstLineChars="200"/>
        <w:rPr>
          <w:rFonts w:ascii="宋体" w:hAnsi="宋体" w:cs="宋体"/>
          <w:b/>
          <w:snapToGrid w:val="0"/>
          <w:kern w:val="0"/>
          <w:sz w:val="28"/>
          <w:szCs w:val="28"/>
          <w:highlight w:val="none"/>
        </w:rPr>
      </w:pPr>
      <w:r>
        <w:rPr>
          <w:rFonts w:hint="eastAsia" w:ascii="宋体" w:hAnsi="宋体" w:cs="宋体"/>
          <w:b/>
          <w:snapToGrid w:val="0"/>
          <w:kern w:val="0"/>
          <w:sz w:val="28"/>
          <w:szCs w:val="28"/>
          <w:highlight w:val="none"/>
        </w:rPr>
        <w:t>3.合格的投标人及合格的投标货物和服务</w:t>
      </w:r>
    </w:p>
    <w:p>
      <w:pPr>
        <w:adjustRightInd w:val="0"/>
        <w:snapToGrid w:val="0"/>
        <w:spacing w:line="480" w:lineRule="exact"/>
        <w:ind w:firstLine="562" w:firstLineChars="200"/>
        <w:rPr>
          <w:rFonts w:ascii="宋体" w:hAnsi="宋体" w:cs="宋体"/>
          <w:b/>
          <w:snapToGrid w:val="0"/>
          <w:kern w:val="0"/>
          <w:sz w:val="28"/>
          <w:szCs w:val="28"/>
          <w:highlight w:val="none"/>
        </w:rPr>
      </w:pPr>
      <w:r>
        <w:rPr>
          <w:rFonts w:hint="eastAsia" w:ascii="宋体" w:hAnsi="宋体" w:cs="宋体"/>
          <w:b/>
          <w:snapToGrid w:val="0"/>
          <w:kern w:val="0"/>
          <w:sz w:val="28"/>
          <w:szCs w:val="28"/>
          <w:highlight w:val="none"/>
        </w:rPr>
        <w:t xml:space="preserve">3.1合格的投标人 </w:t>
      </w:r>
    </w:p>
    <w:p>
      <w:pPr>
        <w:adjustRightInd w:val="0"/>
        <w:snapToGrid w:val="0"/>
        <w:spacing w:line="480" w:lineRule="exact"/>
        <w:ind w:firstLine="480" w:firstLineChars="200"/>
        <w:rPr>
          <w:rFonts w:ascii="宋体" w:hAnsi="宋体" w:cs="宋体"/>
          <w:b/>
          <w:bCs/>
          <w:highlight w:val="none"/>
          <w:u w:val="single"/>
        </w:rPr>
      </w:pPr>
      <w:r>
        <w:rPr>
          <w:rFonts w:hint="eastAsia" w:ascii="宋体" w:hAnsi="宋体" w:cs="宋体"/>
          <w:snapToGrid w:val="0"/>
          <w:kern w:val="0"/>
          <w:sz w:val="24"/>
          <w:szCs w:val="24"/>
          <w:highlight w:val="none"/>
        </w:rPr>
        <w:t>详见采购公告“二、申请人的资格要求”规定的投标人必须具备的资格条件并经评标委员会审查通过的。</w:t>
      </w:r>
    </w:p>
    <w:p>
      <w:pPr>
        <w:adjustRightInd w:val="0"/>
        <w:snapToGrid w:val="0"/>
        <w:spacing w:line="480" w:lineRule="exact"/>
        <w:ind w:firstLine="562" w:firstLineChars="200"/>
        <w:rPr>
          <w:rFonts w:ascii="宋体" w:hAnsi="宋体" w:cs="宋体"/>
          <w:b/>
          <w:bCs/>
          <w:snapToGrid w:val="0"/>
          <w:kern w:val="0"/>
          <w:sz w:val="28"/>
          <w:szCs w:val="28"/>
          <w:highlight w:val="none"/>
        </w:rPr>
      </w:pPr>
      <w:r>
        <w:rPr>
          <w:rFonts w:hint="eastAsia" w:ascii="宋体" w:hAnsi="宋体" w:cs="宋体"/>
          <w:b/>
          <w:bCs/>
          <w:snapToGrid w:val="0"/>
          <w:kern w:val="0"/>
          <w:sz w:val="28"/>
          <w:szCs w:val="28"/>
          <w:highlight w:val="none"/>
        </w:rPr>
        <w:t>3.2对投标人的限制</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3.3.1单位负责人（指法定代表人或者法律、行政法规规定代表单位行使职权的主要负责人）为同一人或者存在直接控股、管理关系的不同供应商不得分别参加同一合同项下的采购活动。违反本条规定的，相关投标均无效；</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3.3.2为本项目提供过整体设计、规范编制或者项目管理、监理、检测等服务的供应商，不得再参加该采购项目的其他采购活动（不包括为该项目提供整体设计、规范编制或者项目管理、监理、检测等服务）；</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3.3.3以联合体形式参加政府采购活动的，联合体各方不得再单独参加或者与其他供应商另外组成联合体参加同一合同项下的政府采购活动；</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3.3.4为证明投标人拥有的业绩、荣誉、知识产权、项目案例等而在投标文件中提供的证明材料必须为供应商自身所有。不同法人、其他组织的资料与供应商无关。</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3.3.5在政府采购活动中，采购人员及相关人员与供应商有下列利害关系之一的，应当回避：</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（1）参加采购活动前3年内与供应商存在劳动关系；</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（2）参加采购活动前3年内担任供应商的董事、监事；</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（3）参加采购活动前3年内是供应商的控股股东或者实际控制人；</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（4）与供应商的法定代表人或者负责人有夫妻、直系血亲、三代以内旁系血亲或者近姻亲关系；</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（5）法定代表人或负责人或实际控制人存在股份控制或实际控制关系；</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（6）存在共同直接或间接投资设立子公司、联营企业和合营企业情况；</w:t>
      </w:r>
    </w:p>
    <w:p>
      <w:pPr>
        <w:adjustRightInd w:val="0"/>
        <w:snapToGrid w:val="0"/>
        <w:spacing w:line="480" w:lineRule="exact"/>
        <w:ind w:firstLine="480" w:firstLineChars="200"/>
        <w:rPr>
          <w:rFonts w:hint="eastAsia" w:ascii="宋体" w:hAnsi="宋体" w:eastAsia="宋体" w:cs="宋体"/>
          <w:snapToGrid w:val="0"/>
          <w:kern w:val="0"/>
          <w:sz w:val="24"/>
          <w:szCs w:val="24"/>
          <w:highlight w:val="none"/>
          <w:lang w:eastAsia="zh-CN"/>
        </w:rPr>
      </w:pPr>
      <w:r>
        <w:rPr>
          <w:rFonts w:hint="eastAsia" w:ascii="宋体" w:hAnsi="宋体" w:cs="宋体"/>
          <w:snapToGrid w:val="0"/>
          <w:kern w:val="0"/>
          <w:sz w:val="24"/>
          <w:szCs w:val="24"/>
          <w:highlight w:val="none"/>
        </w:rPr>
        <w:t>（7）存在分级代理或代销关系、同一生产制造商关系、管理关系、重要业务（占主营业务收入50%以上）或重要财务往来关系（如融资）等其他实质性控制关系；</w:t>
      </w:r>
      <w:r>
        <w:rPr>
          <w:rFonts w:hint="eastAsia" w:ascii="宋体" w:hAnsi="宋体" w:cs="宋体"/>
          <w:snapToGrid w:val="0"/>
          <w:kern w:val="0"/>
          <w:sz w:val="24"/>
          <w:szCs w:val="24"/>
          <w:highlight w:val="none"/>
          <w:lang w:eastAsia="zh-CN"/>
        </w:rPr>
        <w:t>（</w:t>
      </w:r>
      <w:r>
        <w:rPr>
          <w:rFonts w:hint="eastAsia" w:ascii="宋体" w:hAnsi="宋体" w:cs="宋体"/>
          <w:snapToGrid w:val="0"/>
          <w:kern w:val="0"/>
          <w:sz w:val="24"/>
          <w:szCs w:val="24"/>
          <w:highlight w:val="none"/>
          <w:lang w:val="en-US" w:eastAsia="zh-CN"/>
        </w:rPr>
        <w:t>供应商与供应商之间的利害关系</w:t>
      </w:r>
      <w:r>
        <w:rPr>
          <w:rFonts w:hint="eastAsia" w:ascii="宋体" w:hAnsi="宋体" w:cs="宋体"/>
          <w:snapToGrid w:val="0"/>
          <w:kern w:val="0"/>
          <w:sz w:val="24"/>
          <w:szCs w:val="24"/>
          <w:highlight w:val="none"/>
          <w:lang w:eastAsia="zh-CN"/>
        </w:rPr>
        <w:t>）</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8）与供应商有其他可能影响政府采购活动公平、公正进行的关系。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adjustRightInd w:val="0"/>
        <w:snapToGrid w:val="0"/>
        <w:spacing w:before="156" w:beforeLines="50" w:line="480" w:lineRule="exact"/>
        <w:ind w:firstLine="562" w:firstLineChars="200"/>
        <w:rPr>
          <w:rFonts w:ascii="宋体" w:hAnsi="宋体" w:cs="宋体"/>
          <w:b/>
          <w:snapToGrid w:val="0"/>
          <w:kern w:val="0"/>
          <w:sz w:val="28"/>
          <w:szCs w:val="28"/>
          <w:highlight w:val="none"/>
        </w:rPr>
      </w:pPr>
      <w:r>
        <w:rPr>
          <w:rFonts w:hint="eastAsia" w:ascii="宋体" w:hAnsi="宋体" w:cs="宋体"/>
          <w:b/>
          <w:snapToGrid w:val="0"/>
          <w:kern w:val="0"/>
          <w:sz w:val="28"/>
          <w:szCs w:val="28"/>
          <w:highlight w:val="none"/>
        </w:rPr>
        <w:t>4.相关说明</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见本须知“前附表”，同时还需注意以下事项：</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4.1投标费用</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供应商应承担其参加投标所涉及的一切费用，不管投标结果如何，采购人对这些费用不负任何责任。</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4.2供应商应仔细阅读采购文件的所有内容，按照采购文件的要求提交投标文件。投标文件应对采购文件的要求作出实质性响应，并对所提供的全部资料的真实性承担法律责任。</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4.3供应商投标所使用的资格、信誉、荣誉、业绩与企业认证必须为本法人所拥有。供应商投标拟派项目实施人员必须为本法人员工。</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4.4供应商应仔细阅读采购文件的所有内容，按照采购文件的要求提交投标文件，并对所提供的全部资料的真实性承担法律责任。</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4.5▲投标人对所投标项内的采购内容必须全部进行投标。</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4.6不论采购人、招标代理机构向投标人发送的资料文件，还是投标人提出的问题，均采用书面形式，任何口头提问及答复一律无效。</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4.7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4.8▲投标人应保证所投产品整体或其任一部分，均免受第三方提出的侵犯其专利权、商标权、著作权或其他知识产权的起诉。投标人应承担由此可能产生的一切法律责任和费用。</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4.9供应商在投标活动中提供任何虚假材料</w:t>
      </w:r>
      <w:r>
        <w:rPr>
          <w:rFonts w:hint="eastAsia" w:ascii="宋体" w:hAnsi="宋体" w:cs="宋体"/>
          <w:snapToGrid w:val="0"/>
          <w:kern w:val="0"/>
          <w:sz w:val="24"/>
          <w:szCs w:val="24"/>
          <w:highlight w:val="none"/>
          <w:lang w:eastAsia="zh-CN"/>
        </w:rPr>
        <w:t>，</w:t>
      </w:r>
      <w:r>
        <w:rPr>
          <w:rFonts w:hint="eastAsia" w:ascii="宋体" w:hAnsi="宋体" w:cs="宋体"/>
          <w:snapToGrid w:val="0"/>
          <w:kern w:val="0"/>
          <w:sz w:val="24"/>
          <w:szCs w:val="24"/>
          <w:highlight w:val="none"/>
        </w:rPr>
        <w:t>其投标无效，并报监管部门查处；中标后发现的,按《政府采购货物和服务招标投标管理办法》（财政部令第87号）相关规定承担相应的法律责任。</w:t>
      </w:r>
    </w:p>
    <w:p>
      <w:pPr>
        <w:adjustRightInd w:val="0"/>
        <w:snapToGrid w:val="0"/>
        <w:spacing w:before="156" w:beforeLines="50" w:line="480" w:lineRule="exact"/>
        <w:ind w:firstLine="562" w:firstLineChars="200"/>
        <w:rPr>
          <w:rFonts w:hint="eastAsia" w:ascii="宋体" w:hAnsi="宋体" w:cs="宋体"/>
          <w:b/>
          <w:snapToGrid w:val="0"/>
          <w:kern w:val="0"/>
          <w:sz w:val="28"/>
          <w:szCs w:val="28"/>
          <w:highlight w:val="none"/>
        </w:rPr>
      </w:pPr>
      <w:r>
        <w:rPr>
          <w:rFonts w:hint="eastAsia" w:ascii="宋体" w:hAnsi="宋体" w:cs="宋体"/>
          <w:b/>
          <w:snapToGrid w:val="0"/>
          <w:kern w:val="0"/>
          <w:sz w:val="28"/>
          <w:szCs w:val="28"/>
          <w:highlight w:val="none"/>
        </w:rPr>
        <w:t>5.保密</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参与招标投标活动的各方应对招标文件和投标文件中的商业和技术等秘密保密，违者应对此造成的后果承担法律责任。</w:t>
      </w:r>
    </w:p>
    <w:p>
      <w:pPr>
        <w:pStyle w:val="2"/>
        <w:ind w:firstLine="440"/>
        <w:rPr>
          <w:highlight w:val="none"/>
        </w:rPr>
      </w:pPr>
    </w:p>
    <w:p>
      <w:pPr>
        <w:spacing w:line="480" w:lineRule="exact"/>
        <w:jc w:val="center"/>
        <w:rPr>
          <w:rFonts w:ascii="宋体" w:hAnsi="宋体" w:cs="宋体"/>
          <w:b/>
          <w:bCs/>
          <w:sz w:val="28"/>
          <w:szCs w:val="24"/>
          <w:highlight w:val="none"/>
        </w:rPr>
      </w:pPr>
      <w:bookmarkStart w:id="18" w:name="_Toc251566651"/>
      <w:bookmarkStart w:id="19" w:name="_Toc240450078"/>
      <w:bookmarkStart w:id="20" w:name="_Toc27862"/>
      <w:bookmarkStart w:id="21" w:name="_Toc4927"/>
      <w:bookmarkStart w:id="22" w:name="_Toc18941"/>
      <w:r>
        <w:rPr>
          <w:rFonts w:hint="eastAsia" w:ascii="宋体" w:hAnsi="宋体" w:cs="宋体"/>
          <w:b/>
          <w:bCs/>
          <w:sz w:val="28"/>
          <w:szCs w:val="24"/>
          <w:highlight w:val="none"/>
        </w:rPr>
        <w:t>二、</w:t>
      </w:r>
      <w:bookmarkEnd w:id="18"/>
      <w:bookmarkEnd w:id="19"/>
      <w:r>
        <w:rPr>
          <w:rFonts w:hint="eastAsia" w:ascii="宋体" w:hAnsi="宋体" w:cs="宋体"/>
          <w:b/>
          <w:bCs/>
          <w:sz w:val="28"/>
          <w:szCs w:val="24"/>
          <w:highlight w:val="none"/>
        </w:rPr>
        <w:t>采购文件</w:t>
      </w:r>
      <w:bookmarkEnd w:id="20"/>
      <w:bookmarkEnd w:id="21"/>
      <w:bookmarkEnd w:id="22"/>
    </w:p>
    <w:p>
      <w:pPr>
        <w:adjustRightInd w:val="0"/>
        <w:snapToGrid w:val="0"/>
        <w:spacing w:before="156" w:beforeLines="50" w:line="480" w:lineRule="exact"/>
        <w:ind w:firstLine="562" w:firstLineChars="200"/>
        <w:rPr>
          <w:rFonts w:ascii="宋体" w:hAnsi="宋体" w:cs="宋体"/>
          <w:b/>
          <w:snapToGrid w:val="0"/>
          <w:kern w:val="0"/>
          <w:sz w:val="28"/>
          <w:szCs w:val="28"/>
          <w:highlight w:val="none"/>
        </w:rPr>
      </w:pPr>
      <w:r>
        <w:rPr>
          <w:rFonts w:hint="eastAsia" w:ascii="宋体" w:hAnsi="宋体" w:cs="宋体"/>
          <w:b/>
          <w:snapToGrid w:val="0"/>
          <w:kern w:val="0"/>
          <w:sz w:val="28"/>
          <w:szCs w:val="28"/>
          <w:highlight w:val="none"/>
        </w:rPr>
        <w:t>6.采购文件构成</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6.1本采购文件包括目录所示内容及所有按本须知第6、7条发出的补充资料。</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6.2除上述所列内容外，采购人和采购代理机构的任何工作人员对供应商所作的任何口头解释、介绍、答复，只能供供应商参考，对采购人、采购代理机构和供应商无任何约束力。</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6.3采购文件是招标过程进行的有效依据，也是成交后签订合同的依据，对双方均具有约束力，凡不遵守采购文件规定或对采购文件的实质性内容不响应的，将可能被拒绝或以无效标处理。</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6.4本采购文件由采购人或采购代理机构依据相关法律、法规、规章、省市规定及采购文件进行解释。</w:t>
      </w:r>
    </w:p>
    <w:p>
      <w:pPr>
        <w:adjustRightInd w:val="0"/>
        <w:snapToGrid w:val="0"/>
        <w:spacing w:before="156" w:beforeLines="50" w:line="480" w:lineRule="exact"/>
        <w:ind w:firstLine="562" w:firstLineChars="200"/>
        <w:rPr>
          <w:rFonts w:ascii="宋体" w:hAnsi="宋体" w:cs="宋体"/>
          <w:b/>
          <w:snapToGrid w:val="0"/>
          <w:kern w:val="0"/>
          <w:sz w:val="28"/>
          <w:szCs w:val="28"/>
          <w:highlight w:val="none"/>
        </w:rPr>
      </w:pPr>
      <w:r>
        <w:rPr>
          <w:rFonts w:hint="eastAsia" w:ascii="宋体" w:hAnsi="宋体" w:cs="宋体"/>
          <w:b/>
          <w:snapToGrid w:val="0"/>
          <w:kern w:val="0"/>
          <w:sz w:val="28"/>
          <w:szCs w:val="28"/>
          <w:highlight w:val="none"/>
        </w:rPr>
        <w:t>7</w:t>
      </w:r>
      <w:r>
        <w:rPr>
          <w:rFonts w:hint="eastAsia" w:ascii="宋体" w:hAnsi="宋体" w:cs="宋体"/>
          <w:b/>
          <w:snapToGrid w:val="0"/>
          <w:kern w:val="0"/>
          <w:sz w:val="28"/>
          <w:szCs w:val="28"/>
          <w:highlight w:val="none"/>
          <w:lang w:val="en-US" w:eastAsia="zh-CN"/>
        </w:rPr>
        <w:t>.</w:t>
      </w:r>
      <w:r>
        <w:rPr>
          <w:rFonts w:hint="eastAsia" w:ascii="宋体" w:hAnsi="宋体" w:cs="宋体"/>
          <w:b/>
          <w:snapToGrid w:val="0"/>
          <w:kern w:val="0"/>
          <w:sz w:val="28"/>
          <w:szCs w:val="28"/>
          <w:highlight w:val="none"/>
        </w:rPr>
        <w:t>采购文件的澄清</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7.1供应商在获取采购文件后，若有问题需要澄清或认为有必要与采购人进行技术交流，应于投标截止时间前，将问题发电子邮件至</w:t>
      </w:r>
      <w:r>
        <w:rPr>
          <w:rFonts w:hint="eastAsia" w:ascii="宋体" w:hAnsi="宋体" w:cs="宋体"/>
          <w:snapToGrid w:val="0"/>
          <w:kern w:val="0"/>
          <w:sz w:val="24"/>
          <w:szCs w:val="24"/>
          <w:highlight w:val="none"/>
          <w:lang w:val="en-US" w:eastAsia="zh-CN"/>
        </w:rPr>
        <w:t>1615194228@qq.com</w:t>
      </w:r>
      <w:r>
        <w:rPr>
          <w:rFonts w:hint="eastAsia" w:ascii="宋体" w:hAnsi="宋体" w:cs="宋体"/>
          <w:snapToGrid w:val="0"/>
          <w:kern w:val="0"/>
          <w:sz w:val="24"/>
          <w:szCs w:val="24"/>
          <w:highlight w:val="none"/>
          <w:u w:val="single"/>
        </w:rPr>
        <w:t xml:space="preserve">          </w:t>
      </w:r>
      <w:r>
        <w:rPr>
          <w:rFonts w:hint="eastAsia" w:ascii="宋体" w:hAnsi="宋体" w:cs="宋体"/>
          <w:snapToGrid w:val="0"/>
          <w:kern w:val="0"/>
          <w:sz w:val="24"/>
          <w:szCs w:val="24"/>
          <w:highlight w:val="none"/>
        </w:rPr>
        <w:t>（电子邮件与书面文件有不一致的，以书面文件为准）。截止期后的疑问将不予受理、答复。</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7.2供应商要求解释或澄清的问题应以书面形式送达，并加盖公章、写明日期。</w:t>
      </w:r>
    </w:p>
    <w:p>
      <w:pPr>
        <w:adjustRightInd w:val="0"/>
        <w:snapToGrid w:val="0"/>
        <w:spacing w:line="480" w:lineRule="exact"/>
        <w:ind w:firstLine="480" w:firstLineChars="200"/>
        <w:rPr>
          <w:rFonts w:ascii="宋体" w:hAnsi="宋体" w:cs="宋体"/>
          <w:snapToGrid w:val="0"/>
          <w:kern w:val="0"/>
          <w:sz w:val="28"/>
          <w:szCs w:val="28"/>
          <w:highlight w:val="none"/>
        </w:rPr>
      </w:pPr>
      <w:r>
        <w:rPr>
          <w:rFonts w:hint="eastAsia" w:ascii="宋体" w:hAnsi="宋体" w:cs="宋体"/>
          <w:snapToGrid w:val="0"/>
          <w:kern w:val="0"/>
          <w:sz w:val="24"/>
          <w:szCs w:val="24"/>
          <w:highlight w:val="none"/>
        </w:rPr>
        <w:t>7.3所有要求解释或澄清的问题都予以解答，答疑内容与补充内容以更正（澄清）公告形式告知所有获取采购文件的供应商。</w:t>
      </w:r>
    </w:p>
    <w:p>
      <w:pPr>
        <w:adjustRightInd w:val="0"/>
        <w:snapToGrid w:val="0"/>
        <w:spacing w:before="156" w:beforeLines="50" w:line="480" w:lineRule="exact"/>
        <w:ind w:firstLine="562" w:firstLineChars="200"/>
        <w:rPr>
          <w:rFonts w:ascii="宋体" w:hAnsi="宋体" w:cs="宋体"/>
          <w:b/>
          <w:snapToGrid w:val="0"/>
          <w:kern w:val="0"/>
          <w:sz w:val="28"/>
          <w:szCs w:val="28"/>
          <w:highlight w:val="none"/>
        </w:rPr>
      </w:pPr>
      <w:r>
        <w:rPr>
          <w:rFonts w:hint="eastAsia" w:ascii="宋体" w:hAnsi="宋体" w:cs="宋体"/>
          <w:b/>
          <w:snapToGrid w:val="0"/>
          <w:kern w:val="0"/>
          <w:sz w:val="28"/>
          <w:szCs w:val="28"/>
          <w:highlight w:val="none"/>
        </w:rPr>
        <w:t>8.采购文件的修改</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8.1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供应商；不足15日的，采购人或者采购代理机构应当顺延提交投标文件的截止时间。</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8.2采购文件的修改将以更正（澄清）公告通知所有获取采购文件的供应商，并对其具有约束力。供应商</w:t>
      </w:r>
      <w:r>
        <w:rPr>
          <w:rFonts w:hint="eastAsia" w:ascii="宋体" w:hAnsi="宋体" w:cs="宋体"/>
          <w:sz w:val="24"/>
          <w:szCs w:val="24"/>
          <w:highlight w:val="none"/>
        </w:rPr>
        <w:t>应及时关注浙江政府采购网上该项目的公告信息</w:t>
      </w:r>
      <w:r>
        <w:rPr>
          <w:rFonts w:hint="eastAsia" w:ascii="宋体" w:hAnsi="宋体" w:cs="宋体"/>
          <w:snapToGrid w:val="0"/>
          <w:kern w:val="0"/>
          <w:sz w:val="24"/>
          <w:szCs w:val="24"/>
          <w:highlight w:val="none"/>
        </w:rPr>
        <w:t>。</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8.3在更正（澄清）公告发布后，如果供应商认为编制投标文件的时间不充分的，必须在公告发布之日的24小时内通知采购人和采购代理机构。否则，视同供应商有充足时间编制投标文件。</w:t>
      </w:r>
    </w:p>
    <w:p>
      <w:pPr>
        <w:adjustRightInd w:val="0"/>
        <w:snapToGrid w:val="0"/>
        <w:spacing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8.4采购文件澄清、答复、修改、补充的内容为采购文件的组成部分。当采购文件与采购文件的答复、澄清、修改、补充通知就同一内容的表述不一致时，以最后发出的更正（澄清）公告为准。</w:t>
      </w:r>
    </w:p>
    <w:p>
      <w:pPr>
        <w:adjustRightInd w:val="0"/>
        <w:snapToGrid w:val="0"/>
        <w:spacing w:line="480" w:lineRule="exact"/>
        <w:ind w:firstLine="480" w:firstLineChars="200"/>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8.5采购文件的澄清、答复、修改或补充都应该通过本代理机构以法定形式发布，除此以外的发布不属于采购文件的组成部分。</w:t>
      </w:r>
    </w:p>
    <w:p>
      <w:pPr>
        <w:pStyle w:val="2"/>
        <w:rPr>
          <w:highlight w:val="none"/>
        </w:rPr>
      </w:pPr>
    </w:p>
    <w:p>
      <w:pPr>
        <w:spacing w:line="480" w:lineRule="exact"/>
        <w:jc w:val="center"/>
        <w:rPr>
          <w:rFonts w:ascii="宋体" w:hAnsi="宋体" w:cs="宋体"/>
          <w:b/>
          <w:bCs/>
          <w:sz w:val="28"/>
          <w:szCs w:val="24"/>
          <w:highlight w:val="none"/>
        </w:rPr>
      </w:pPr>
      <w:bookmarkStart w:id="23" w:name="_Toc22768"/>
      <w:bookmarkStart w:id="24" w:name="_Toc251566652"/>
      <w:bookmarkStart w:id="25" w:name="_Toc15075"/>
      <w:bookmarkStart w:id="26" w:name="_Toc31368"/>
      <w:bookmarkStart w:id="27" w:name="_Toc240450079"/>
      <w:r>
        <w:rPr>
          <w:rFonts w:hint="eastAsia" w:ascii="宋体" w:hAnsi="宋体" w:cs="宋体"/>
          <w:b/>
          <w:bCs/>
          <w:sz w:val="28"/>
          <w:szCs w:val="24"/>
          <w:highlight w:val="none"/>
        </w:rPr>
        <w:t>三、投标文件的编制</w:t>
      </w:r>
      <w:bookmarkEnd w:id="23"/>
      <w:bookmarkEnd w:id="24"/>
      <w:bookmarkEnd w:id="25"/>
      <w:bookmarkEnd w:id="26"/>
      <w:bookmarkEnd w:id="27"/>
    </w:p>
    <w:p>
      <w:pPr>
        <w:adjustRightInd w:val="0"/>
        <w:snapToGrid w:val="0"/>
        <w:spacing w:line="480" w:lineRule="exact"/>
        <w:ind w:firstLine="482" w:firstLineChars="200"/>
        <w:rPr>
          <w:rFonts w:ascii="宋体" w:hAnsi="宋体" w:cs="宋体"/>
          <w:b/>
          <w:snapToGrid w:val="0"/>
          <w:kern w:val="0"/>
          <w:sz w:val="24"/>
          <w:szCs w:val="24"/>
          <w:highlight w:val="none"/>
        </w:rPr>
      </w:pPr>
      <w:r>
        <w:rPr>
          <w:rFonts w:hint="eastAsia" w:ascii="宋体" w:hAnsi="宋体" w:cs="宋体"/>
          <w:b/>
          <w:snapToGrid w:val="0"/>
          <w:kern w:val="0"/>
          <w:sz w:val="24"/>
          <w:szCs w:val="24"/>
          <w:highlight w:val="none"/>
        </w:rPr>
        <w:t>供应商应认真阅读采购文件中所有的事项、格式、条款和技术要求等。如果供应商没有按照采购文件要求和规定编制投标文件及提交全部资料，或者投标没有对采购文件中各方面作出实质性响应，其风险应由供应商承担。</w:t>
      </w:r>
    </w:p>
    <w:p>
      <w:pPr>
        <w:adjustRightInd w:val="0"/>
        <w:snapToGrid w:val="0"/>
        <w:spacing w:line="480" w:lineRule="exact"/>
        <w:ind w:firstLine="482" w:firstLineChars="200"/>
        <w:rPr>
          <w:rFonts w:ascii="宋体" w:hAnsi="宋体" w:cs="宋体"/>
          <w:b/>
          <w:snapToGrid w:val="0"/>
          <w:kern w:val="0"/>
          <w:sz w:val="24"/>
          <w:szCs w:val="24"/>
          <w:highlight w:val="none"/>
        </w:rPr>
      </w:pPr>
      <w:r>
        <w:rPr>
          <w:rFonts w:hint="eastAsia" w:ascii="宋体" w:hAnsi="宋体" w:cs="宋体"/>
          <w:b/>
          <w:snapToGrid w:val="0"/>
          <w:kern w:val="0"/>
          <w:sz w:val="24"/>
          <w:szCs w:val="24"/>
          <w:highlight w:val="none"/>
        </w:rPr>
        <w:t>投标人应确保所提供投标文件资料的有效性和真实性，所有文件资料必须是针对本次投标的。如发现投标人在投标活动中提供虚假文件资料，其投标无效，并报监管部门查处；中标后发现的，中标人还须按照《中华人民共和国消费者权益保护法》第49条之规定双倍赔偿采购人，且民事赔偿并不免除违法投标人的行政与刑事责任。</w:t>
      </w:r>
    </w:p>
    <w:p>
      <w:pPr>
        <w:adjustRightInd w:val="0"/>
        <w:snapToGrid w:val="0"/>
        <w:spacing w:before="156" w:beforeLines="50" w:line="480" w:lineRule="exact"/>
        <w:ind w:firstLine="562" w:firstLineChars="200"/>
        <w:rPr>
          <w:rFonts w:hint="eastAsia" w:ascii="宋体" w:hAnsi="宋体" w:cs="宋体"/>
          <w:b/>
          <w:snapToGrid w:val="0"/>
          <w:kern w:val="0"/>
          <w:sz w:val="28"/>
          <w:szCs w:val="28"/>
          <w:highlight w:val="none"/>
        </w:rPr>
      </w:pPr>
      <w:r>
        <w:rPr>
          <w:rFonts w:hint="eastAsia" w:ascii="宋体" w:hAnsi="宋体" w:cs="宋体"/>
          <w:b/>
          <w:snapToGrid w:val="0"/>
          <w:kern w:val="0"/>
          <w:sz w:val="28"/>
          <w:szCs w:val="28"/>
          <w:highlight w:val="none"/>
        </w:rPr>
        <w:t>9.投标文件的语言、计量单位、形式及效力</w:t>
      </w:r>
    </w:p>
    <w:p>
      <w:pPr>
        <w:adjustRightInd w:val="0"/>
        <w:snapToGrid w:val="0"/>
        <w:spacing w:before="156" w:beforeLines="50" w:line="480" w:lineRule="exact"/>
        <w:ind w:firstLine="482" w:firstLineChars="200"/>
        <w:rPr>
          <w:rFonts w:ascii="宋体" w:hAnsi="宋体" w:cs="宋体"/>
          <w:b/>
          <w:snapToGrid w:val="0"/>
          <w:kern w:val="0"/>
          <w:sz w:val="24"/>
          <w:szCs w:val="24"/>
          <w:highlight w:val="none"/>
        </w:rPr>
      </w:pPr>
      <w:r>
        <w:rPr>
          <w:rFonts w:hint="eastAsia" w:ascii="宋体" w:hAnsi="宋体" w:cs="宋体"/>
          <w:b/>
          <w:snapToGrid w:val="0"/>
          <w:kern w:val="0"/>
          <w:sz w:val="24"/>
          <w:szCs w:val="24"/>
          <w:highlight w:val="none"/>
        </w:rPr>
        <w:t>9.1语言及计量单位</w:t>
      </w:r>
    </w:p>
    <w:p>
      <w:pPr>
        <w:adjustRightInd w:val="0"/>
        <w:snapToGrid w:val="0"/>
        <w:spacing w:line="480" w:lineRule="exact"/>
        <w:ind w:firstLine="480" w:firstLineChars="200"/>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9.1.1投标文件及供应商与采购人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pPr>
        <w:adjustRightInd w:val="0"/>
        <w:snapToGrid w:val="0"/>
        <w:spacing w:line="480" w:lineRule="exact"/>
        <w:ind w:firstLine="480" w:firstLineChars="200"/>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9.1.2除采购文件另有规定外，投标文件所使用的计量单位，均须采用中华人民共和国法定计量单位，否则视同未响应。</w:t>
      </w:r>
    </w:p>
    <w:p>
      <w:pPr>
        <w:adjustRightInd w:val="0"/>
        <w:snapToGrid w:val="0"/>
        <w:spacing w:before="156" w:beforeLines="50" w:line="480" w:lineRule="exact"/>
        <w:ind w:firstLine="562" w:firstLineChars="200"/>
        <w:rPr>
          <w:rFonts w:ascii="宋体" w:hAnsi="宋体" w:cs="宋体"/>
          <w:b/>
          <w:snapToGrid w:val="0"/>
          <w:kern w:val="0"/>
          <w:sz w:val="28"/>
          <w:szCs w:val="28"/>
          <w:highlight w:val="none"/>
        </w:rPr>
      </w:pPr>
      <w:r>
        <w:rPr>
          <w:rFonts w:hint="eastAsia" w:ascii="宋体" w:hAnsi="宋体" w:cs="宋体"/>
          <w:b/>
          <w:snapToGrid w:val="0"/>
          <w:kern w:val="0"/>
          <w:sz w:val="28"/>
          <w:szCs w:val="28"/>
          <w:highlight w:val="none"/>
        </w:rPr>
        <w:t>10</w:t>
      </w:r>
      <w:r>
        <w:rPr>
          <w:rFonts w:hint="eastAsia" w:ascii="宋体" w:hAnsi="宋体" w:cs="宋体"/>
          <w:b/>
          <w:snapToGrid w:val="0"/>
          <w:kern w:val="0"/>
          <w:sz w:val="28"/>
          <w:szCs w:val="28"/>
          <w:highlight w:val="none"/>
          <w:lang w:val="en-US" w:eastAsia="zh-CN"/>
        </w:rPr>
        <w:t>.</w:t>
      </w:r>
      <w:r>
        <w:rPr>
          <w:rFonts w:hint="eastAsia" w:ascii="宋体" w:hAnsi="宋体" w:cs="宋体"/>
          <w:b/>
          <w:snapToGrid w:val="0"/>
          <w:kern w:val="0"/>
          <w:sz w:val="28"/>
          <w:szCs w:val="28"/>
          <w:highlight w:val="none"/>
        </w:rPr>
        <w:t>投标文件构成</w:t>
      </w:r>
    </w:p>
    <w:p>
      <w:pPr>
        <w:adjustRightInd w:val="0"/>
        <w:snapToGrid w:val="0"/>
        <w:spacing w:before="156" w:beforeLines="50" w:line="48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供应商向采购人递交的投标文件均由</w:t>
      </w:r>
      <w:r>
        <w:rPr>
          <w:rFonts w:hint="eastAsia" w:ascii="宋体" w:hAnsi="宋体" w:cs="宋体"/>
          <w:b/>
          <w:bCs/>
          <w:snapToGrid w:val="0"/>
          <w:kern w:val="0"/>
          <w:sz w:val="24"/>
          <w:szCs w:val="24"/>
          <w:highlight w:val="none"/>
        </w:rPr>
        <w:t>资格审查文件、商务技术文件、报价文件</w:t>
      </w:r>
      <w:r>
        <w:rPr>
          <w:rFonts w:hint="eastAsia" w:ascii="宋体" w:hAnsi="宋体" w:cs="宋体"/>
          <w:snapToGrid w:val="0"/>
          <w:kern w:val="0"/>
          <w:sz w:val="24"/>
          <w:szCs w:val="24"/>
          <w:highlight w:val="none"/>
        </w:rPr>
        <w:t>组成，具体内容如下：</w:t>
      </w:r>
    </w:p>
    <w:p>
      <w:pPr>
        <w:pStyle w:val="2"/>
        <w:spacing w:line="480" w:lineRule="exact"/>
        <w:ind w:firstLine="482"/>
        <w:jc w:val="center"/>
        <w:rPr>
          <w:rFonts w:ascii="宋体" w:hAnsi="宋体" w:cs="宋体"/>
          <w:highlight w:val="none"/>
        </w:rPr>
      </w:pPr>
      <w:r>
        <w:rPr>
          <w:rFonts w:hint="eastAsia" w:ascii="宋体" w:hAnsi="宋体" w:cs="宋体"/>
          <w:b/>
          <w:bCs/>
          <w:snapToGrid w:val="0"/>
          <w:kern w:val="0"/>
          <w:sz w:val="24"/>
          <w:highlight w:val="none"/>
        </w:rPr>
        <w:t>12.1资格审查文件</w:t>
      </w:r>
    </w:p>
    <w:tbl>
      <w:tblPr>
        <w:tblStyle w:val="21"/>
        <w:tblW w:w="8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135"/>
        <w:gridCol w:w="4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tcPr>
          <w:p>
            <w:pPr>
              <w:overflowPunct w:val="0"/>
              <w:spacing w:before="60" w:after="60" w:line="500" w:lineRule="exact"/>
              <w:jc w:val="center"/>
              <w:rPr>
                <w:rFonts w:ascii="宋体" w:hAnsi="宋体" w:cs="宋体"/>
                <w:b/>
                <w:sz w:val="24"/>
                <w:szCs w:val="24"/>
                <w:highlight w:val="none"/>
              </w:rPr>
            </w:pPr>
            <w:bookmarkStart w:id="28" w:name="_Toc16764"/>
            <w:r>
              <w:rPr>
                <w:rFonts w:hint="eastAsia" w:ascii="宋体" w:hAnsi="宋体" w:cs="宋体"/>
                <w:b/>
                <w:sz w:val="24"/>
                <w:szCs w:val="24"/>
                <w:highlight w:val="none"/>
              </w:rPr>
              <w:t>序号</w:t>
            </w:r>
          </w:p>
        </w:tc>
        <w:tc>
          <w:tcPr>
            <w:tcW w:w="7868" w:type="dxa"/>
            <w:gridSpan w:val="2"/>
          </w:tcPr>
          <w:p>
            <w:pPr>
              <w:overflowPunct w:val="0"/>
              <w:spacing w:before="60" w:after="60" w:line="500" w:lineRule="exact"/>
              <w:jc w:val="center"/>
              <w:rPr>
                <w:rFonts w:ascii="宋体" w:hAnsi="宋体" w:cs="宋体"/>
                <w:b/>
                <w:sz w:val="24"/>
                <w:szCs w:val="24"/>
                <w:highlight w:val="none"/>
              </w:rPr>
            </w:pPr>
            <w:r>
              <w:rPr>
                <w:rFonts w:hint="eastAsia" w:ascii="宋体" w:hAnsi="宋体" w:cs="宋体"/>
                <w:b/>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0" w:type="dxa"/>
            <w:gridSpan w:val="3"/>
            <w:vAlign w:val="center"/>
          </w:tcPr>
          <w:p>
            <w:pPr>
              <w:overflowPunct w:val="0"/>
              <w:spacing w:before="60" w:after="60" w:line="500" w:lineRule="exact"/>
              <w:jc w:val="left"/>
              <w:rPr>
                <w:rFonts w:ascii="宋体" w:hAnsi="宋体" w:cs="宋体"/>
                <w:b/>
                <w:sz w:val="24"/>
                <w:szCs w:val="24"/>
                <w:highlight w:val="none"/>
              </w:rPr>
            </w:pPr>
            <w:r>
              <w:rPr>
                <w:rFonts w:hint="eastAsia" w:ascii="宋体" w:hAnsi="宋体" w:cs="宋体"/>
                <w:b/>
                <w:sz w:val="24"/>
                <w:szCs w:val="24"/>
                <w:highlight w:val="none"/>
                <w:u w:val="single"/>
              </w:rPr>
              <w:t>▲资格审查文件（强制性要求，供应商</w:t>
            </w:r>
            <w:r>
              <w:rPr>
                <w:rFonts w:hint="eastAsia" w:ascii="宋体" w:hAnsi="宋体" w:cs="宋体"/>
                <w:b/>
                <w:sz w:val="24"/>
                <w:szCs w:val="24"/>
                <w:highlight w:val="none"/>
                <w:u w:val="single"/>
                <w:lang w:val="zh-CN"/>
              </w:rPr>
              <w:t>须按以下要求提供资格</w:t>
            </w:r>
            <w:r>
              <w:rPr>
                <w:rFonts w:hint="eastAsia" w:ascii="宋体" w:hAnsi="宋体" w:cs="宋体"/>
                <w:b/>
                <w:sz w:val="24"/>
                <w:szCs w:val="24"/>
                <w:highlight w:val="none"/>
                <w:u w:val="single"/>
              </w:rPr>
              <w:t>审查</w:t>
            </w:r>
            <w:r>
              <w:rPr>
                <w:rFonts w:hint="eastAsia" w:ascii="宋体" w:hAnsi="宋体" w:cs="宋体"/>
                <w:b/>
                <w:sz w:val="24"/>
                <w:szCs w:val="24"/>
                <w:highlight w:val="none"/>
                <w:u w:val="single"/>
                <w:lang w:val="zh-CN"/>
              </w:rPr>
              <w:t>文件，否则资格性审查不通过的，责任自负</w:t>
            </w:r>
            <w:r>
              <w:rPr>
                <w:rFonts w:hint="eastAsia" w:ascii="宋体" w:hAnsi="宋体" w:cs="宋体"/>
                <w:b/>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Align w:val="center"/>
          </w:tcPr>
          <w:p>
            <w:pPr>
              <w:overflowPunct w:val="0"/>
              <w:spacing w:before="60" w:after="60" w:line="500" w:lineRule="exact"/>
              <w:jc w:val="right"/>
              <w:rPr>
                <w:rFonts w:ascii="宋体" w:hAnsi="宋体" w:cs="宋体"/>
                <w:sz w:val="24"/>
                <w:szCs w:val="24"/>
                <w:highlight w:val="none"/>
              </w:rPr>
            </w:pPr>
            <w:r>
              <w:rPr>
                <w:rFonts w:hint="eastAsia" w:ascii="宋体" w:hAnsi="宋体" w:cs="宋体"/>
                <w:sz w:val="24"/>
                <w:szCs w:val="24"/>
                <w:highlight w:val="none"/>
              </w:rPr>
              <w:t>1）</w:t>
            </w:r>
          </w:p>
        </w:tc>
        <w:tc>
          <w:tcPr>
            <w:tcW w:w="3135" w:type="dxa"/>
            <w:vAlign w:val="center"/>
          </w:tcPr>
          <w:p>
            <w:pPr>
              <w:spacing w:before="60" w:after="60" w:line="500" w:lineRule="exact"/>
              <w:rPr>
                <w:rFonts w:ascii="宋体" w:hAnsi="宋体" w:cs="宋体"/>
                <w:b/>
                <w:bCs/>
                <w:sz w:val="24"/>
                <w:highlight w:val="none"/>
              </w:rPr>
            </w:pPr>
            <w:r>
              <w:rPr>
                <w:rFonts w:hint="eastAsia" w:ascii="宋体" w:hAnsi="宋体" w:cs="宋体"/>
                <w:b/>
                <w:bCs/>
                <w:sz w:val="24"/>
                <w:highlight w:val="none"/>
              </w:rPr>
              <w:t>符合参加政府采购活动应当具备的一般条件的承诺函</w:t>
            </w:r>
          </w:p>
        </w:tc>
        <w:tc>
          <w:tcPr>
            <w:tcW w:w="4733" w:type="dxa"/>
            <w:vAlign w:val="center"/>
          </w:tcPr>
          <w:p>
            <w:pPr>
              <w:spacing w:before="60" w:after="60" w:line="500" w:lineRule="exact"/>
              <w:ind w:firstLine="480" w:firstLineChars="200"/>
              <w:rPr>
                <w:rFonts w:ascii="宋体" w:hAnsi="宋体" w:cs="宋体"/>
                <w:sz w:val="24"/>
                <w:highlight w:val="none"/>
              </w:rPr>
            </w:pPr>
            <w:r>
              <w:rPr>
                <w:rFonts w:hint="eastAsia" w:ascii="宋体" w:hAnsi="宋体" w:cs="宋体"/>
                <w:kern w:val="0"/>
                <w:sz w:val="24"/>
                <w:highlight w:val="none"/>
              </w:rPr>
              <w:t>供应商须在投标文件中出具符合参加政府采购活动应当具备的一般条件的承诺函</w:t>
            </w:r>
            <w:r>
              <w:rPr>
                <w:rFonts w:hint="eastAsia" w:ascii="宋体" w:hAnsi="宋体" w:cs="宋体"/>
                <w:sz w:val="24"/>
                <w:highlight w:val="none"/>
              </w:rPr>
              <w:t>（详见第五章应提交的有关格式范例）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Align w:val="center"/>
          </w:tcPr>
          <w:p>
            <w:pPr>
              <w:overflowPunct w:val="0"/>
              <w:spacing w:before="60" w:after="60" w:line="500" w:lineRule="exact"/>
              <w:jc w:val="right"/>
              <w:rPr>
                <w:rFonts w:ascii="宋体" w:hAnsi="宋体" w:cs="宋体"/>
                <w:sz w:val="24"/>
                <w:szCs w:val="24"/>
                <w:highlight w:val="none"/>
              </w:rPr>
            </w:pPr>
            <w:r>
              <w:rPr>
                <w:rFonts w:hint="eastAsia" w:ascii="宋体" w:hAnsi="宋体" w:cs="宋体"/>
                <w:sz w:val="24"/>
                <w:szCs w:val="24"/>
                <w:highlight w:val="none"/>
              </w:rPr>
              <w:t>2）</w:t>
            </w:r>
          </w:p>
        </w:tc>
        <w:tc>
          <w:tcPr>
            <w:tcW w:w="3135" w:type="dxa"/>
            <w:vAlign w:val="center"/>
          </w:tcPr>
          <w:p>
            <w:pPr>
              <w:spacing w:before="60" w:after="60" w:line="400" w:lineRule="exact"/>
              <w:rPr>
                <w:rFonts w:ascii="宋体" w:hAnsi="宋体" w:cs="宋体"/>
                <w:b/>
                <w:bCs/>
                <w:sz w:val="24"/>
                <w:szCs w:val="24"/>
                <w:highlight w:val="none"/>
              </w:rPr>
            </w:pPr>
            <w:r>
              <w:rPr>
                <w:rFonts w:hint="eastAsia" w:ascii="宋体" w:hAnsi="宋体" w:cs="宋体"/>
                <w:b/>
                <w:bCs/>
                <w:sz w:val="24"/>
                <w:szCs w:val="24"/>
                <w:highlight w:val="none"/>
              </w:rPr>
              <w:t>具有独立承担民事责任的能力证明材料</w:t>
            </w:r>
          </w:p>
        </w:tc>
        <w:tc>
          <w:tcPr>
            <w:tcW w:w="4733" w:type="dxa"/>
            <w:vAlign w:val="center"/>
          </w:tcPr>
          <w:p>
            <w:pPr>
              <w:spacing w:before="60" w:after="60"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有效的法人或者其他组织的营业执照等证明文件，自然人的身份证明；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Align w:val="center"/>
          </w:tcPr>
          <w:p>
            <w:pPr>
              <w:overflowPunct w:val="0"/>
              <w:spacing w:before="60" w:after="60" w:line="500" w:lineRule="exact"/>
              <w:jc w:val="right"/>
              <w:rPr>
                <w:rFonts w:ascii="宋体" w:hAnsi="宋体" w:cs="宋体"/>
                <w:sz w:val="24"/>
                <w:szCs w:val="24"/>
                <w:highlight w:val="none"/>
              </w:rPr>
            </w:pPr>
            <w:r>
              <w:rPr>
                <w:rFonts w:hint="eastAsia" w:ascii="宋体" w:hAnsi="宋体" w:cs="宋体"/>
                <w:sz w:val="24"/>
                <w:szCs w:val="24"/>
                <w:highlight w:val="none"/>
              </w:rPr>
              <w:t>3）</w:t>
            </w:r>
          </w:p>
        </w:tc>
        <w:tc>
          <w:tcPr>
            <w:tcW w:w="3135" w:type="dxa"/>
            <w:vAlign w:val="center"/>
          </w:tcPr>
          <w:p>
            <w:pPr>
              <w:spacing w:before="60" w:after="60" w:line="400" w:lineRule="exact"/>
              <w:rPr>
                <w:rFonts w:ascii="宋体" w:hAnsi="宋体" w:cs="宋体"/>
                <w:b/>
                <w:bCs/>
                <w:sz w:val="24"/>
                <w:szCs w:val="24"/>
                <w:highlight w:val="none"/>
              </w:rPr>
            </w:pPr>
            <w:r>
              <w:rPr>
                <w:rFonts w:hint="eastAsia" w:ascii="宋体" w:hAnsi="宋体" w:cs="宋体"/>
                <w:b/>
                <w:bCs/>
                <w:sz w:val="24"/>
                <w:szCs w:val="24"/>
                <w:highlight w:val="none"/>
              </w:rPr>
              <w:t>特定资格要求证明材料</w:t>
            </w:r>
          </w:p>
        </w:tc>
        <w:tc>
          <w:tcPr>
            <w:tcW w:w="4733" w:type="dxa"/>
            <w:vAlign w:val="center"/>
          </w:tcPr>
          <w:p>
            <w:pPr>
              <w:spacing w:before="60" w:after="60" w:line="400" w:lineRule="exact"/>
              <w:ind w:firstLine="480" w:firstLineChars="200"/>
              <w:rPr>
                <w:rFonts w:ascii="宋体" w:hAnsi="宋体" w:cs="宋体"/>
                <w:sz w:val="24"/>
                <w:szCs w:val="24"/>
                <w:highlight w:val="none"/>
              </w:rPr>
            </w:pPr>
            <w:r>
              <w:rPr>
                <w:rFonts w:hint="eastAsia" w:ascii="宋体" w:hAnsi="宋体" w:cs="宋体"/>
                <w:color w:val="auto"/>
                <w:sz w:val="24"/>
                <w:highlight w:val="none"/>
                <w:lang w:val="en-US" w:eastAsia="zh-CN"/>
              </w:rPr>
              <w:t>有效的</w:t>
            </w:r>
            <w:r>
              <w:rPr>
                <w:rFonts w:hint="eastAsia" w:ascii="宋体" w:hAnsi="宋体" w:eastAsia="宋体" w:cs="宋体"/>
                <w:color w:val="auto"/>
                <w:sz w:val="24"/>
                <w:highlight w:val="none"/>
                <w:lang w:eastAsia="zh-CN"/>
              </w:rPr>
              <w:t>城乡规划编制</w:t>
            </w:r>
            <w:r>
              <w:rPr>
                <w:rFonts w:hint="eastAsia" w:ascii="宋体" w:hAnsi="宋体" w:eastAsia="宋体" w:cs="宋体"/>
                <w:color w:val="auto"/>
                <w:sz w:val="24"/>
                <w:highlight w:val="none"/>
                <w:lang w:val="en-US"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32" w:type="dxa"/>
            <w:vAlign w:val="center"/>
          </w:tcPr>
          <w:p>
            <w:pPr>
              <w:overflowPunct w:val="0"/>
              <w:spacing w:before="60" w:after="60" w:line="500" w:lineRule="exact"/>
              <w:jc w:val="right"/>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w:t>
            </w:r>
          </w:p>
        </w:tc>
        <w:tc>
          <w:tcPr>
            <w:tcW w:w="7868" w:type="dxa"/>
            <w:gridSpan w:val="2"/>
            <w:vAlign w:val="center"/>
          </w:tcPr>
          <w:p>
            <w:pPr>
              <w:overflowPunct w:val="0"/>
              <w:spacing w:before="60" w:after="60" w:line="500" w:lineRule="exact"/>
              <w:jc w:val="both"/>
              <w:rPr>
                <w:rFonts w:hint="eastAsia" w:ascii="宋体" w:hAnsi="宋体" w:cs="宋体"/>
                <w:sz w:val="24"/>
                <w:szCs w:val="24"/>
                <w:highlight w:val="none"/>
              </w:rPr>
            </w:pPr>
            <w:r>
              <w:rPr>
                <w:rFonts w:hint="eastAsia" w:ascii="宋体" w:hAnsi="宋体" w:cs="宋体"/>
                <w:sz w:val="24"/>
                <w:szCs w:val="24"/>
                <w:highlight w:val="none"/>
              </w:rPr>
              <w:t>供应商认为需要在资格审查文件里说明的其他材料（如有）</w:t>
            </w:r>
          </w:p>
        </w:tc>
      </w:tr>
      <w:bookmarkEnd w:id="28"/>
    </w:tbl>
    <w:p>
      <w:pPr>
        <w:spacing w:line="500" w:lineRule="exact"/>
        <w:ind w:firstLine="482" w:firstLineChars="200"/>
        <w:rPr>
          <w:rFonts w:ascii="宋体" w:hAnsi="宋体" w:cs="宋体"/>
          <w:highlight w:val="none"/>
        </w:rPr>
      </w:pPr>
      <w:r>
        <w:rPr>
          <w:rFonts w:hint="eastAsia" w:ascii="宋体" w:hAnsi="宋体" w:cs="宋体"/>
          <w:b/>
          <w:sz w:val="24"/>
          <w:szCs w:val="24"/>
          <w:highlight w:val="none"/>
        </w:rPr>
        <w:t>注：上述资格条件审查材料有一项不提供的，视为资格审查不通过,不进入后续评审。</w:t>
      </w:r>
    </w:p>
    <w:p>
      <w:pPr>
        <w:pStyle w:val="2"/>
        <w:spacing w:line="480" w:lineRule="exact"/>
        <w:ind w:firstLine="482"/>
        <w:jc w:val="center"/>
        <w:outlineLvl w:val="2"/>
        <w:rPr>
          <w:rFonts w:ascii="宋体" w:hAnsi="宋体" w:cs="宋体"/>
          <w:b/>
          <w:bCs/>
          <w:snapToGrid w:val="0"/>
          <w:kern w:val="0"/>
          <w:sz w:val="24"/>
          <w:highlight w:val="none"/>
        </w:rPr>
      </w:pPr>
      <w:bookmarkStart w:id="29" w:name="_Toc11990"/>
      <w:r>
        <w:rPr>
          <w:rFonts w:hint="eastAsia" w:ascii="宋体" w:hAnsi="宋体" w:cs="宋体"/>
          <w:b/>
          <w:bCs/>
          <w:snapToGrid w:val="0"/>
          <w:kern w:val="0"/>
          <w:sz w:val="24"/>
          <w:highlight w:val="none"/>
        </w:rPr>
        <w:t>12.2商务技术文件</w:t>
      </w:r>
      <w:bookmarkEnd w:id="29"/>
    </w:p>
    <w:tbl>
      <w:tblPr>
        <w:tblStyle w:val="21"/>
        <w:tblW w:w="861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8" w:type="dxa"/>
            <w:vAlign w:val="center"/>
          </w:tcPr>
          <w:p>
            <w:pPr>
              <w:spacing w:line="500" w:lineRule="exact"/>
              <w:jc w:val="center"/>
              <w:rPr>
                <w:rFonts w:ascii="宋体" w:hAnsi="宋体" w:cs="宋体"/>
                <w:b/>
                <w:sz w:val="24"/>
                <w:szCs w:val="24"/>
                <w:highlight w:val="none"/>
              </w:rPr>
            </w:pPr>
            <w:r>
              <w:rPr>
                <w:rFonts w:hint="eastAsia" w:ascii="宋体" w:hAnsi="宋体" w:cs="宋体"/>
                <w:b/>
                <w:sz w:val="24"/>
                <w:szCs w:val="24"/>
                <w:highlight w:val="none"/>
              </w:rPr>
              <w:t>序号</w:t>
            </w:r>
          </w:p>
        </w:tc>
        <w:tc>
          <w:tcPr>
            <w:tcW w:w="7506" w:type="dxa"/>
            <w:vAlign w:val="center"/>
          </w:tcPr>
          <w:p>
            <w:pPr>
              <w:spacing w:line="500" w:lineRule="exact"/>
              <w:jc w:val="center"/>
              <w:rPr>
                <w:rFonts w:ascii="宋体" w:hAnsi="宋体" w:cs="宋体"/>
                <w:b/>
                <w:sz w:val="24"/>
                <w:szCs w:val="24"/>
                <w:highlight w:val="none"/>
              </w:rPr>
            </w:pPr>
            <w:r>
              <w:rPr>
                <w:rFonts w:hint="eastAsia" w:ascii="宋体" w:hAnsi="宋体" w:cs="宋体"/>
                <w:b/>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8" w:type="dxa"/>
            <w:vAlign w:val="center"/>
          </w:tcPr>
          <w:p>
            <w:pPr>
              <w:spacing w:line="500" w:lineRule="exact"/>
              <w:jc w:val="center"/>
              <w:rPr>
                <w:rFonts w:ascii="宋体" w:hAnsi="宋体" w:cs="宋体"/>
                <w:b/>
                <w:sz w:val="24"/>
                <w:szCs w:val="24"/>
                <w:highlight w:val="none"/>
              </w:rPr>
            </w:pPr>
            <w:r>
              <w:rPr>
                <w:rFonts w:hint="eastAsia" w:ascii="宋体" w:hAnsi="宋体" w:cs="宋体"/>
                <w:b/>
                <w:sz w:val="24"/>
                <w:szCs w:val="24"/>
                <w:highlight w:val="none"/>
              </w:rPr>
              <w:t>1）</w:t>
            </w:r>
          </w:p>
        </w:tc>
        <w:tc>
          <w:tcPr>
            <w:tcW w:w="7506" w:type="dxa"/>
            <w:vAlign w:val="center"/>
          </w:tcPr>
          <w:p>
            <w:pPr>
              <w:spacing w:line="500" w:lineRule="exact"/>
              <w:rPr>
                <w:rFonts w:ascii="宋体" w:hAnsi="宋体" w:cs="宋体"/>
                <w:b/>
                <w:sz w:val="24"/>
                <w:szCs w:val="24"/>
                <w:highlight w:val="none"/>
                <w:u w:val="none"/>
              </w:rPr>
            </w:pPr>
            <w:r>
              <w:rPr>
                <w:rFonts w:hint="eastAsia" w:ascii="宋体" w:hAnsi="宋体" w:cs="宋体"/>
                <w:bCs/>
                <w:sz w:val="24"/>
                <w:szCs w:val="24"/>
                <w:highlight w:val="none"/>
                <w:u w:val="none"/>
              </w:rPr>
              <w:t>自评表</w:t>
            </w:r>
            <w:r>
              <w:rPr>
                <w:rFonts w:hint="eastAsia" w:ascii="宋体" w:hAnsi="宋体" w:cs="宋体"/>
                <w:sz w:val="24"/>
                <w:szCs w:val="24"/>
                <w:highlight w:val="none"/>
                <w:u w:val="none"/>
              </w:rPr>
              <w:t>（详见第五章应提交的有关格式范例）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8" w:type="dxa"/>
            <w:vAlign w:val="center"/>
          </w:tcPr>
          <w:p>
            <w:pPr>
              <w:spacing w:line="500" w:lineRule="exact"/>
              <w:jc w:val="center"/>
              <w:rPr>
                <w:rFonts w:ascii="宋体" w:hAnsi="宋体" w:cs="宋体"/>
                <w:sz w:val="24"/>
                <w:szCs w:val="24"/>
                <w:highlight w:val="none"/>
              </w:rPr>
            </w:pPr>
            <w:r>
              <w:rPr>
                <w:rFonts w:hint="eastAsia" w:ascii="宋体" w:hAnsi="宋体" w:cs="宋体"/>
                <w:sz w:val="24"/>
                <w:szCs w:val="24"/>
                <w:highlight w:val="none"/>
              </w:rPr>
              <w:t>2）</w:t>
            </w:r>
          </w:p>
        </w:tc>
        <w:tc>
          <w:tcPr>
            <w:tcW w:w="7506" w:type="dxa"/>
            <w:vAlign w:val="center"/>
          </w:tcPr>
          <w:p>
            <w:pPr>
              <w:spacing w:line="500" w:lineRule="exact"/>
              <w:rPr>
                <w:rFonts w:ascii="宋体" w:hAnsi="宋体" w:cs="宋体"/>
                <w:b/>
                <w:sz w:val="24"/>
                <w:szCs w:val="24"/>
                <w:highlight w:val="none"/>
                <w:u w:val="none"/>
              </w:rPr>
            </w:pPr>
            <w:r>
              <w:rPr>
                <w:rFonts w:hint="eastAsia" w:ascii="宋体" w:hAnsi="宋体" w:cs="宋体"/>
                <w:b/>
                <w:sz w:val="24"/>
                <w:szCs w:val="24"/>
                <w:highlight w:val="none"/>
                <w:u w:val="none"/>
              </w:rPr>
              <w:t>▲</w:t>
            </w:r>
            <w:r>
              <w:rPr>
                <w:rFonts w:hint="eastAsia" w:ascii="宋体" w:hAnsi="宋体" w:cs="宋体"/>
                <w:sz w:val="24"/>
                <w:szCs w:val="24"/>
                <w:highlight w:val="none"/>
                <w:u w:val="none"/>
              </w:rPr>
              <w:t>投标函（详见第五章应提交的有关格式范例）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8" w:type="dxa"/>
            <w:vAlign w:val="center"/>
          </w:tcPr>
          <w:p>
            <w:pPr>
              <w:spacing w:line="500" w:lineRule="exact"/>
              <w:jc w:val="center"/>
              <w:rPr>
                <w:rFonts w:ascii="宋体" w:hAnsi="宋体" w:cs="宋体"/>
                <w:sz w:val="24"/>
                <w:szCs w:val="24"/>
                <w:highlight w:val="none"/>
              </w:rPr>
            </w:pPr>
            <w:r>
              <w:rPr>
                <w:rFonts w:hint="eastAsia" w:ascii="宋体" w:hAnsi="宋体" w:cs="宋体"/>
                <w:sz w:val="24"/>
                <w:szCs w:val="24"/>
                <w:highlight w:val="none"/>
              </w:rPr>
              <w:t>3）</w:t>
            </w:r>
          </w:p>
        </w:tc>
        <w:tc>
          <w:tcPr>
            <w:tcW w:w="7506" w:type="dxa"/>
            <w:vAlign w:val="center"/>
          </w:tcPr>
          <w:p>
            <w:pPr>
              <w:spacing w:line="500" w:lineRule="exact"/>
              <w:rPr>
                <w:rFonts w:ascii="宋体" w:hAnsi="宋体" w:cs="宋体"/>
                <w:b/>
                <w:sz w:val="24"/>
                <w:szCs w:val="24"/>
                <w:highlight w:val="none"/>
                <w:u w:val="none"/>
              </w:rPr>
            </w:pPr>
            <w:r>
              <w:rPr>
                <w:rFonts w:hint="eastAsia" w:ascii="宋体" w:hAnsi="宋体" w:cs="宋体"/>
                <w:b/>
                <w:sz w:val="24"/>
                <w:szCs w:val="24"/>
                <w:highlight w:val="none"/>
                <w:u w:val="none"/>
              </w:rPr>
              <w:t>▲</w:t>
            </w:r>
            <w:r>
              <w:rPr>
                <w:rFonts w:hint="eastAsia" w:ascii="宋体" w:hAnsi="宋体" w:cs="宋体"/>
                <w:bCs/>
                <w:sz w:val="24"/>
                <w:szCs w:val="24"/>
                <w:highlight w:val="none"/>
                <w:u w:val="none"/>
              </w:rPr>
              <w:t>法定代表人资格证明书及法定代表人授权书</w:t>
            </w:r>
            <w:r>
              <w:rPr>
                <w:rFonts w:hint="eastAsia" w:ascii="宋体" w:hAnsi="宋体" w:cs="宋体"/>
                <w:b/>
                <w:sz w:val="24"/>
                <w:szCs w:val="24"/>
                <w:highlight w:val="none"/>
                <w:u w:val="none"/>
              </w:rPr>
              <w:t>（法定代表人直接参加投标并对相应文件签字的，只需提供前者）</w:t>
            </w:r>
            <w:r>
              <w:rPr>
                <w:rFonts w:hint="eastAsia" w:ascii="宋体" w:hAnsi="宋体" w:cs="宋体"/>
                <w:bCs/>
                <w:sz w:val="24"/>
                <w:szCs w:val="24"/>
                <w:highlight w:val="none"/>
                <w:u w:val="none"/>
              </w:rPr>
              <w:t>，同时须附法定代表人和授权委托代表的有效身份证复印件；</w:t>
            </w:r>
            <w:r>
              <w:rPr>
                <w:rFonts w:hint="eastAsia" w:ascii="宋体" w:hAnsi="宋体" w:cs="宋体"/>
                <w:sz w:val="24"/>
                <w:szCs w:val="24"/>
                <w:highlight w:val="none"/>
                <w:u w:val="none"/>
              </w:rPr>
              <w:t>（详见第五章应提交的有关格式范例）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8" w:type="dxa"/>
            <w:vAlign w:val="center"/>
          </w:tcPr>
          <w:p>
            <w:pPr>
              <w:spacing w:line="500" w:lineRule="exact"/>
              <w:jc w:val="center"/>
              <w:rPr>
                <w:rFonts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w:t>
            </w:r>
          </w:p>
        </w:tc>
        <w:tc>
          <w:tcPr>
            <w:tcW w:w="7506" w:type="dxa"/>
            <w:vAlign w:val="center"/>
          </w:tcPr>
          <w:p>
            <w:pPr>
              <w:spacing w:line="500" w:lineRule="exact"/>
              <w:rPr>
                <w:rFonts w:ascii="宋体" w:hAnsi="宋体" w:cs="宋体"/>
                <w:bCs/>
                <w:sz w:val="24"/>
                <w:szCs w:val="24"/>
                <w:highlight w:val="none"/>
                <w:u w:val="none"/>
              </w:rPr>
            </w:pPr>
            <w:r>
              <w:rPr>
                <w:rFonts w:hint="eastAsia" w:ascii="宋体" w:hAnsi="宋体" w:cs="宋体"/>
                <w:sz w:val="24"/>
                <w:szCs w:val="24"/>
                <w:highlight w:val="none"/>
                <w:u w:val="none"/>
              </w:rPr>
              <w:t>偏离表（详见第五章应提交的有关格式范例）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614" w:type="dxa"/>
            <w:gridSpan w:val="2"/>
            <w:vAlign w:val="center"/>
          </w:tcPr>
          <w:p>
            <w:pPr>
              <w:spacing w:line="500" w:lineRule="exact"/>
              <w:rPr>
                <w:rFonts w:ascii="宋体" w:hAnsi="宋体" w:cs="宋体"/>
                <w:sz w:val="24"/>
                <w:szCs w:val="24"/>
                <w:highlight w:val="none"/>
              </w:rPr>
            </w:pPr>
            <w:r>
              <w:rPr>
                <w:rFonts w:hint="eastAsia" w:ascii="宋体" w:hAnsi="宋体" w:cs="宋体"/>
                <w:b/>
                <w:sz w:val="24"/>
                <w:szCs w:val="24"/>
                <w:highlight w:val="none"/>
              </w:rPr>
              <w:t>说明：以下第6）项附件格式仅供供应商参考使用，该部分内容为商务技术评分内容，非强质性要求，供应商应</w:t>
            </w:r>
            <w:r>
              <w:rPr>
                <w:rFonts w:hint="eastAsia" w:ascii="宋体" w:hAnsi="宋体" w:cs="宋体"/>
                <w:sz w:val="24"/>
                <w:szCs w:val="24"/>
                <w:highlight w:val="none"/>
              </w:rPr>
              <w:t>根据第六章评标办法及开标程序“评分细则”中“评分标准”的相应要求编制或提供，未按要求编制相关内容或未按要求提供相关证明材料可能对供应商产生不利影响。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8" w:type="dxa"/>
            <w:vAlign w:val="center"/>
          </w:tcPr>
          <w:p>
            <w:pPr>
              <w:spacing w:line="500" w:lineRule="exact"/>
              <w:jc w:val="center"/>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w:t>
            </w:r>
          </w:p>
        </w:tc>
        <w:tc>
          <w:tcPr>
            <w:tcW w:w="7506" w:type="dxa"/>
            <w:vAlign w:val="center"/>
          </w:tcPr>
          <w:p>
            <w:pPr>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认为需要在商务技术文件里说明的其他材料（如有）</w:t>
            </w:r>
          </w:p>
        </w:tc>
      </w:tr>
    </w:tbl>
    <w:p>
      <w:pPr>
        <w:spacing w:line="500" w:lineRule="exact"/>
        <w:ind w:firstLine="482" w:firstLineChars="200"/>
        <w:rPr>
          <w:rFonts w:ascii="宋体" w:hAnsi="宋体" w:cs="宋体"/>
          <w:b/>
          <w:sz w:val="24"/>
          <w:szCs w:val="24"/>
          <w:highlight w:val="none"/>
        </w:rPr>
      </w:pPr>
      <w:bookmarkStart w:id="30" w:name="_Toc221356886"/>
      <w:r>
        <w:rPr>
          <w:rFonts w:hint="eastAsia" w:ascii="宋体" w:hAnsi="宋体" w:cs="宋体"/>
          <w:b/>
          <w:sz w:val="24"/>
          <w:szCs w:val="24"/>
          <w:highlight w:val="none"/>
        </w:rPr>
        <w:t>说明：</w:t>
      </w:r>
    </w:p>
    <w:p>
      <w:pPr>
        <w:numPr>
          <w:ilvl w:val="0"/>
          <w:numId w:val="3"/>
        </w:numPr>
        <w:snapToGrid w:val="0"/>
        <w:spacing w:line="500" w:lineRule="exact"/>
        <w:ind w:left="0" w:firstLine="420"/>
        <w:rPr>
          <w:rFonts w:ascii="宋体" w:hAnsi="宋体" w:cs="宋体"/>
          <w:sz w:val="24"/>
          <w:szCs w:val="24"/>
          <w:highlight w:val="none"/>
        </w:rPr>
      </w:pPr>
      <w:r>
        <w:rPr>
          <w:rFonts w:hint="eastAsia" w:ascii="宋体" w:hAnsi="宋体" w:cs="宋体"/>
          <w:sz w:val="24"/>
          <w:szCs w:val="24"/>
          <w:highlight w:val="none"/>
        </w:rPr>
        <w:t>供应商可根据采购文件中的技术规格书以及评分细则，提供供应商认为需要提供的文件和资料。</w:t>
      </w:r>
    </w:p>
    <w:p>
      <w:pPr>
        <w:numPr>
          <w:ilvl w:val="0"/>
          <w:numId w:val="3"/>
        </w:numPr>
        <w:snapToGrid w:val="0"/>
        <w:spacing w:line="500" w:lineRule="exact"/>
        <w:ind w:left="0" w:firstLine="420"/>
        <w:rPr>
          <w:rFonts w:ascii="宋体" w:hAnsi="宋体" w:cs="宋体"/>
          <w:b/>
          <w:sz w:val="24"/>
          <w:szCs w:val="24"/>
          <w:highlight w:val="none"/>
        </w:rPr>
      </w:pPr>
      <w:r>
        <w:rPr>
          <w:rFonts w:hint="eastAsia" w:ascii="宋体" w:hAnsi="宋体" w:cs="宋体"/>
          <w:b/>
          <w:sz w:val="24"/>
          <w:szCs w:val="24"/>
          <w:highlight w:val="none"/>
        </w:rPr>
        <w:t>供应商所提供的技术资料的所有权归供应商所有。如若发生第三方侵权事件，其侵权责任与采购人及采购代理机构无关，由供应商承担全部责任。侵权造成的所有相关费用，均由供应商支付，保证不伤害采购人的利益。</w:t>
      </w:r>
    </w:p>
    <w:bookmarkEnd w:id="30"/>
    <w:p>
      <w:pPr>
        <w:pStyle w:val="2"/>
        <w:spacing w:line="480" w:lineRule="exact"/>
        <w:ind w:firstLine="482"/>
        <w:jc w:val="center"/>
        <w:outlineLvl w:val="2"/>
        <w:rPr>
          <w:rFonts w:ascii="宋体" w:hAnsi="宋体" w:cs="宋体"/>
          <w:b/>
          <w:bCs/>
          <w:snapToGrid w:val="0"/>
          <w:kern w:val="0"/>
          <w:sz w:val="24"/>
          <w:highlight w:val="none"/>
        </w:rPr>
      </w:pPr>
      <w:bookmarkStart w:id="31" w:name="_Toc7255"/>
      <w:r>
        <w:rPr>
          <w:rFonts w:hint="eastAsia" w:ascii="宋体" w:hAnsi="宋体" w:cs="宋体"/>
          <w:b/>
          <w:bCs/>
          <w:snapToGrid w:val="0"/>
          <w:kern w:val="0"/>
          <w:sz w:val="24"/>
          <w:highlight w:val="none"/>
        </w:rPr>
        <w:t>12.3报价文件</w:t>
      </w:r>
      <w:bookmarkEnd w:id="31"/>
    </w:p>
    <w:tbl>
      <w:tblPr>
        <w:tblStyle w:val="21"/>
        <w:tblW w:w="8377"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0" w:type="dxa"/>
            <w:vAlign w:val="center"/>
          </w:tcPr>
          <w:p>
            <w:pPr>
              <w:spacing w:line="500" w:lineRule="exact"/>
              <w:jc w:val="center"/>
              <w:rPr>
                <w:rFonts w:ascii="宋体" w:hAnsi="宋体" w:cs="宋体"/>
                <w:b/>
                <w:sz w:val="24"/>
                <w:szCs w:val="24"/>
                <w:highlight w:val="none"/>
              </w:rPr>
            </w:pPr>
            <w:r>
              <w:rPr>
                <w:rFonts w:hint="eastAsia" w:ascii="宋体" w:hAnsi="宋体" w:cs="宋体"/>
                <w:b/>
                <w:sz w:val="24"/>
                <w:szCs w:val="24"/>
                <w:highlight w:val="none"/>
              </w:rPr>
              <w:t>序号</w:t>
            </w:r>
          </w:p>
        </w:tc>
        <w:tc>
          <w:tcPr>
            <w:tcW w:w="7477" w:type="dxa"/>
            <w:vAlign w:val="center"/>
          </w:tcPr>
          <w:p>
            <w:pPr>
              <w:spacing w:line="500" w:lineRule="exact"/>
              <w:jc w:val="center"/>
              <w:rPr>
                <w:rFonts w:ascii="宋体" w:hAnsi="宋体" w:cs="宋体"/>
                <w:b/>
                <w:sz w:val="24"/>
                <w:szCs w:val="24"/>
                <w:highlight w:val="none"/>
              </w:rPr>
            </w:pPr>
            <w:r>
              <w:rPr>
                <w:rFonts w:hint="eastAsia" w:ascii="宋体" w:hAnsi="宋体" w:cs="宋体"/>
                <w:b/>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0" w:type="dxa"/>
            <w:vAlign w:val="center"/>
          </w:tcPr>
          <w:p>
            <w:pPr>
              <w:spacing w:before="78" w:beforeLines="25" w:line="500" w:lineRule="exact"/>
              <w:jc w:val="center"/>
              <w:rPr>
                <w:rFonts w:ascii="宋体" w:hAnsi="宋体" w:cs="宋体"/>
                <w:sz w:val="24"/>
                <w:szCs w:val="24"/>
                <w:highlight w:val="none"/>
              </w:rPr>
            </w:pPr>
            <w:r>
              <w:rPr>
                <w:rFonts w:hint="eastAsia" w:ascii="宋体" w:hAnsi="宋体" w:cs="宋体"/>
                <w:sz w:val="24"/>
                <w:szCs w:val="24"/>
                <w:highlight w:val="none"/>
              </w:rPr>
              <w:t>1</w:t>
            </w:r>
          </w:p>
        </w:tc>
        <w:tc>
          <w:tcPr>
            <w:tcW w:w="7477" w:type="dxa"/>
            <w:vAlign w:val="center"/>
          </w:tcPr>
          <w:p>
            <w:pPr>
              <w:spacing w:before="78" w:beforeLines="25" w:line="500" w:lineRule="exact"/>
              <w:jc w:val="left"/>
              <w:rPr>
                <w:rFonts w:ascii="宋体" w:hAnsi="宋体" w:cs="宋体"/>
                <w:sz w:val="24"/>
                <w:szCs w:val="24"/>
                <w:highlight w:val="none"/>
                <w:u w:val="none"/>
              </w:rPr>
            </w:pPr>
            <w:r>
              <w:rPr>
                <w:rFonts w:hint="eastAsia" w:ascii="宋体" w:hAnsi="宋体" w:cs="宋体"/>
                <w:b/>
                <w:sz w:val="24"/>
                <w:szCs w:val="24"/>
                <w:highlight w:val="none"/>
                <w:u w:val="none"/>
              </w:rPr>
              <w:t>▲</w:t>
            </w:r>
            <w:r>
              <w:rPr>
                <w:rFonts w:hint="eastAsia" w:ascii="宋体" w:hAnsi="宋体" w:cs="宋体"/>
                <w:sz w:val="24"/>
                <w:szCs w:val="24"/>
                <w:highlight w:val="none"/>
                <w:u w:val="none"/>
              </w:rPr>
              <w:t>报价一览表（详见第五章应提交的有关格式范例）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0" w:type="dxa"/>
            <w:vAlign w:val="center"/>
          </w:tcPr>
          <w:p>
            <w:pPr>
              <w:spacing w:before="78" w:beforeLines="25" w:line="500" w:lineRule="exact"/>
              <w:jc w:val="center"/>
              <w:rPr>
                <w:rFonts w:ascii="宋体" w:hAnsi="宋体" w:cs="宋体"/>
                <w:sz w:val="24"/>
                <w:szCs w:val="24"/>
                <w:highlight w:val="none"/>
              </w:rPr>
            </w:pPr>
            <w:r>
              <w:rPr>
                <w:rFonts w:hint="eastAsia" w:ascii="宋体" w:hAnsi="宋体" w:cs="宋体"/>
                <w:sz w:val="24"/>
                <w:szCs w:val="24"/>
                <w:highlight w:val="none"/>
              </w:rPr>
              <w:t>2</w:t>
            </w:r>
          </w:p>
        </w:tc>
        <w:tc>
          <w:tcPr>
            <w:tcW w:w="7477" w:type="dxa"/>
            <w:vAlign w:val="center"/>
          </w:tcPr>
          <w:p>
            <w:pPr>
              <w:spacing w:before="78" w:beforeLines="25" w:line="500" w:lineRule="exact"/>
              <w:jc w:val="left"/>
              <w:rPr>
                <w:rFonts w:ascii="宋体" w:hAnsi="宋体" w:cs="宋体"/>
                <w:b/>
                <w:sz w:val="24"/>
                <w:szCs w:val="24"/>
                <w:highlight w:val="none"/>
                <w:u w:val="none"/>
              </w:rPr>
            </w:pPr>
            <w:r>
              <w:rPr>
                <w:rFonts w:hint="eastAsia" w:ascii="宋体" w:hAnsi="宋体" w:cs="宋体"/>
                <w:b/>
                <w:sz w:val="24"/>
                <w:szCs w:val="24"/>
                <w:highlight w:val="none"/>
                <w:u w:val="none"/>
              </w:rPr>
              <w:t>▲</w:t>
            </w:r>
            <w:r>
              <w:rPr>
                <w:rFonts w:hint="eastAsia" w:ascii="宋体" w:hAnsi="宋体" w:cs="宋体"/>
                <w:bCs/>
                <w:sz w:val="24"/>
                <w:szCs w:val="24"/>
                <w:highlight w:val="none"/>
                <w:u w:val="none"/>
              </w:rPr>
              <w:t>投标报价明细表（详见第五章应提交的有关格式范例）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0" w:type="dxa"/>
            <w:vAlign w:val="center"/>
          </w:tcPr>
          <w:p>
            <w:pPr>
              <w:spacing w:before="78" w:beforeLines="25" w:line="500" w:lineRule="exact"/>
              <w:jc w:val="center"/>
              <w:rPr>
                <w:rFonts w:ascii="宋体" w:hAnsi="宋体" w:cs="宋体"/>
                <w:sz w:val="24"/>
                <w:szCs w:val="24"/>
                <w:highlight w:val="none"/>
              </w:rPr>
            </w:pPr>
            <w:r>
              <w:rPr>
                <w:rFonts w:hint="eastAsia" w:ascii="宋体" w:hAnsi="宋体" w:cs="宋体"/>
                <w:sz w:val="24"/>
                <w:szCs w:val="24"/>
                <w:highlight w:val="none"/>
              </w:rPr>
              <w:t>3</w:t>
            </w:r>
          </w:p>
        </w:tc>
        <w:tc>
          <w:tcPr>
            <w:tcW w:w="7477" w:type="dxa"/>
            <w:vAlign w:val="center"/>
          </w:tcPr>
          <w:p>
            <w:pPr>
              <w:spacing w:before="78" w:beforeLines="25" w:line="500" w:lineRule="exact"/>
              <w:jc w:val="left"/>
              <w:rPr>
                <w:rFonts w:ascii="宋体" w:hAnsi="宋体" w:cs="宋体"/>
                <w:sz w:val="24"/>
                <w:szCs w:val="24"/>
                <w:highlight w:val="none"/>
              </w:rPr>
            </w:pPr>
            <w:r>
              <w:rPr>
                <w:rFonts w:hint="eastAsia" w:ascii="宋体" w:hAnsi="宋体" w:cs="宋体"/>
                <w:sz w:val="24"/>
                <w:szCs w:val="24"/>
                <w:highlight w:val="none"/>
              </w:rPr>
              <w:t>供应商认为需要在报价文件说明的其他材料（如有）</w:t>
            </w:r>
          </w:p>
        </w:tc>
      </w:tr>
    </w:tbl>
    <w:p>
      <w:pPr>
        <w:adjustRightInd w:val="0"/>
        <w:snapToGrid w:val="0"/>
        <w:spacing w:line="500" w:lineRule="exact"/>
        <w:ind w:firstLine="562" w:firstLineChars="200"/>
        <w:jc w:val="left"/>
        <w:rPr>
          <w:rFonts w:ascii="宋体" w:hAnsi="宋体" w:cs="宋体"/>
          <w:b/>
          <w:snapToGrid w:val="0"/>
          <w:kern w:val="0"/>
          <w:sz w:val="28"/>
          <w:szCs w:val="28"/>
          <w:highlight w:val="none"/>
        </w:rPr>
      </w:pPr>
      <w:r>
        <w:rPr>
          <w:rFonts w:hint="eastAsia" w:ascii="宋体" w:hAnsi="宋体" w:cs="宋体"/>
          <w:b/>
          <w:snapToGrid w:val="0"/>
          <w:kern w:val="0"/>
          <w:sz w:val="28"/>
          <w:szCs w:val="28"/>
          <w:highlight w:val="none"/>
        </w:rPr>
        <w:t>11.陈述和答辩</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本项目无设陈述和答辩环节。</w:t>
      </w:r>
    </w:p>
    <w:p>
      <w:pPr>
        <w:adjustRightInd w:val="0"/>
        <w:snapToGrid w:val="0"/>
        <w:spacing w:before="156" w:beforeLines="50" w:line="500" w:lineRule="exact"/>
        <w:ind w:firstLine="562" w:firstLineChars="200"/>
        <w:rPr>
          <w:rFonts w:ascii="宋体" w:hAnsi="宋体" w:cs="宋体"/>
          <w:b/>
          <w:snapToGrid w:val="0"/>
          <w:kern w:val="0"/>
          <w:sz w:val="28"/>
          <w:szCs w:val="28"/>
          <w:highlight w:val="none"/>
        </w:rPr>
      </w:pPr>
      <w:r>
        <w:rPr>
          <w:rFonts w:hint="eastAsia" w:ascii="宋体" w:hAnsi="宋体" w:cs="宋体"/>
          <w:b/>
          <w:snapToGrid w:val="0"/>
          <w:kern w:val="0"/>
          <w:sz w:val="28"/>
          <w:szCs w:val="28"/>
          <w:highlight w:val="none"/>
        </w:rPr>
        <w:t>12.投标函</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12.1</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应完整地填写采购文件中提供的投标函和投标相关附件。</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12.2投标文件应当对采购文件中有关投标有效期、采购需求等实质性内容作出响应。</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在满足采购文件实质性要求的基础上，可以提出比采购文件要求更有利于采购人的承诺。</w:t>
      </w:r>
    </w:p>
    <w:p>
      <w:pPr>
        <w:pStyle w:val="3"/>
        <w:snapToGrid w:val="0"/>
        <w:spacing w:before="156" w:beforeLines="50" w:line="500" w:lineRule="exact"/>
        <w:ind w:firstLine="562" w:firstLineChars="200"/>
        <w:rPr>
          <w:rFonts w:ascii="宋体" w:hAnsi="宋体" w:cs="宋体"/>
          <w:b/>
          <w:bCs/>
          <w:snapToGrid w:val="0"/>
          <w:kern w:val="0"/>
          <w:szCs w:val="28"/>
          <w:highlight w:val="none"/>
        </w:rPr>
      </w:pPr>
      <w:r>
        <w:rPr>
          <w:rFonts w:hint="eastAsia" w:ascii="宋体" w:hAnsi="宋体" w:cs="宋体"/>
          <w:b/>
          <w:bCs/>
          <w:snapToGrid w:val="0"/>
          <w:kern w:val="0"/>
          <w:szCs w:val="28"/>
          <w:highlight w:val="none"/>
        </w:rPr>
        <w:t>13</w:t>
      </w:r>
      <w:r>
        <w:rPr>
          <w:rFonts w:hint="eastAsia" w:ascii="宋体" w:hAnsi="宋体" w:cs="宋体"/>
          <w:b/>
          <w:bCs/>
          <w:snapToGrid w:val="0"/>
          <w:kern w:val="0"/>
          <w:szCs w:val="28"/>
          <w:highlight w:val="none"/>
          <w:lang w:val="en-US" w:eastAsia="zh-CN"/>
        </w:rPr>
        <w:t>.</w:t>
      </w:r>
      <w:r>
        <w:rPr>
          <w:rFonts w:hint="eastAsia" w:ascii="宋体" w:hAnsi="宋体" w:cs="宋体"/>
          <w:b/>
          <w:bCs/>
          <w:snapToGrid w:val="0"/>
          <w:kern w:val="0"/>
          <w:szCs w:val="28"/>
          <w:highlight w:val="none"/>
        </w:rPr>
        <w:t>投标报价</w:t>
      </w:r>
    </w:p>
    <w:p>
      <w:pPr>
        <w:pStyle w:val="3"/>
        <w:snapToGrid w:val="0"/>
        <w:spacing w:line="500" w:lineRule="exact"/>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13.1</w:t>
      </w:r>
      <w:r>
        <w:rPr>
          <w:rFonts w:hint="eastAsia" w:ascii="宋体" w:hAnsi="宋体" w:cs="宋体"/>
          <w:sz w:val="24"/>
          <w:highlight w:val="none"/>
        </w:rPr>
        <w:t>供应商</w:t>
      </w:r>
      <w:r>
        <w:rPr>
          <w:rFonts w:hint="eastAsia" w:ascii="宋体" w:hAnsi="宋体" w:cs="宋体"/>
          <w:snapToGrid w:val="0"/>
          <w:kern w:val="0"/>
          <w:sz w:val="24"/>
          <w:highlight w:val="none"/>
        </w:rPr>
        <w:t>应按采购文件中规定填写报价相关表单；</w:t>
      </w:r>
    </w:p>
    <w:p>
      <w:pPr>
        <w:pStyle w:val="3"/>
        <w:snapToGrid w:val="0"/>
        <w:spacing w:line="500" w:lineRule="exact"/>
        <w:ind w:firstLine="482" w:firstLineChars="200"/>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13.2本项目报价采用人民币报价形式，投标人的报价应低于最高限价，否则其投标无效。签约合同价包含本项目招标内容及要求及合同约定所有服务内容所需所有服务的款项、人工工资（含社会保险费、员工住宿交通差旅费用等）、规费、税费、企业管理费、利润、技术支持与培训以及合同包含的所有风险、责任等各项应有费用。在合同服务期间内不得违反国家相关政策规定。（说明：如发生不可抗力及突发性事件，中标供应商要无条件听从采购人指挥，配合采购人。费用已包括在投标报价内，采购人不再另行支付其他费用。）</w:t>
      </w:r>
    </w:p>
    <w:p>
      <w:pPr>
        <w:pStyle w:val="3"/>
        <w:snapToGrid w:val="0"/>
        <w:spacing w:line="500" w:lineRule="exact"/>
        <w:ind w:firstLine="482" w:firstLineChars="200"/>
        <w:rPr>
          <w:rFonts w:ascii="宋体" w:hAnsi="宋体" w:cs="宋体"/>
          <w:snapToGrid w:val="0"/>
          <w:kern w:val="0"/>
          <w:sz w:val="24"/>
          <w:highlight w:val="none"/>
        </w:rPr>
      </w:pPr>
      <w:r>
        <w:rPr>
          <w:rFonts w:hint="eastAsia" w:ascii="宋体" w:hAnsi="宋体" w:cs="宋体"/>
          <w:b/>
          <w:bCs/>
          <w:snapToGrid w:val="0"/>
          <w:kern w:val="0"/>
          <w:sz w:val="24"/>
          <w:highlight w:val="none"/>
        </w:rPr>
        <w:t>供应商应认真计算可能发生的各相关费用并计入报价内，在项目实施过程中不得藉此要求增加任何费用，并不得出现选择性的报价。</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13.3本项目只允许一次报价，不允许以开标后调整的报价作为评标的依据（但按本采购文件投标须知投标文件错误的修正并经评标委员会认定或经供应商确认同意的除外）。</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13.4其它需在报价中考虑的因素：</w:t>
      </w:r>
    </w:p>
    <w:p>
      <w:pPr>
        <w:adjustRightInd w:val="0"/>
        <w:snapToGrid w:val="0"/>
        <w:spacing w:line="500" w:lineRule="exact"/>
        <w:ind w:firstLine="241" w:firstLineChars="100"/>
        <w:jc w:val="left"/>
        <w:rPr>
          <w:rFonts w:ascii="宋体" w:hAnsi="宋体" w:cs="宋体"/>
          <w:b/>
          <w:snapToGrid w:val="0"/>
          <w:kern w:val="0"/>
          <w:sz w:val="24"/>
          <w:szCs w:val="24"/>
          <w:highlight w:val="none"/>
        </w:rPr>
      </w:pPr>
      <w:r>
        <w:rPr>
          <w:rFonts w:hint="eastAsia" w:ascii="宋体" w:hAnsi="宋体" w:cs="宋体"/>
          <w:b/>
          <w:bCs/>
          <w:snapToGrid w:val="0"/>
          <w:kern w:val="0"/>
          <w:sz w:val="24"/>
          <w:szCs w:val="24"/>
          <w:highlight w:val="none"/>
        </w:rPr>
        <w:t>（1）</w:t>
      </w:r>
      <w:r>
        <w:rPr>
          <w:rFonts w:hint="eastAsia" w:ascii="宋体" w:hAnsi="宋体" w:cs="宋体"/>
          <w:b/>
          <w:snapToGrid w:val="0"/>
          <w:kern w:val="0"/>
          <w:sz w:val="24"/>
          <w:szCs w:val="24"/>
          <w:highlight w:val="none"/>
        </w:rPr>
        <w:t>采购内容及要求中明确的需供应商承担的费用均应含在总价报价中；</w:t>
      </w:r>
    </w:p>
    <w:p>
      <w:pPr>
        <w:tabs>
          <w:tab w:val="left" w:pos="993"/>
        </w:tabs>
        <w:adjustRightInd w:val="0"/>
        <w:snapToGrid w:val="0"/>
        <w:spacing w:line="500" w:lineRule="exact"/>
        <w:ind w:firstLine="241" w:firstLineChars="100"/>
        <w:jc w:val="left"/>
        <w:rPr>
          <w:rFonts w:ascii="宋体" w:hAnsi="宋体" w:cs="宋体"/>
          <w:b/>
          <w:snapToGrid w:val="0"/>
          <w:kern w:val="0"/>
          <w:sz w:val="24"/>
          <w:szCs w:val="24"/>
          <w:highlight w:val="none"/>
        </w:rPr>
      </w:pPr>
      <w:r>
        <w:rPr>
          <w:rFonts w:hint="eastAsia" w:ascii="宋体" w:hAnsi="宋体" w:cs="宋体"/>
          <w:b/>
          <w:sz w:val="24"/>
          <w:szCs w:val="24"/>
          <w:highlight w:val="none"/>
        </w:rPr>
        <w:t>（2）采购文件未明示但供应商认为可能产生的潜在费用支出均需自行考虑并计入报价中；</w:t>
      </w:r>
    </w:p>
    <w:p>
      <w:pPr>
        <w:tabs>
          <w:tab w:val="left" w:pos="431"/>
        </w:tabs>
        <w:adjustRightInd w:val="0"/>
        <w:snapToGrid w:val="0"/>
        <w:spacing w:line="500" w:lineRule="exact"/>
        <w:ind w:firstLine="241" w:firstLineChars="100"/>
        <w:jc w:val="left"/>
        <w:rPr>
          <w:rFonts w:ascii="宋体" w:hAnsi="宋体" w:cs="宋体"/>
          <w:b/>
          <w:snapToGrid w:val="0"/>
          <w:kern w:val="0"/>
          <w:sz w:val="24"/>
          <w:szCs w:val="24"/>
          <w:highlight w:val="none"/>
        </w:rPr>
      </w:pPr>
      <w:r>
        <w:rPr>
          <w:rFonts w:hint="eastAsia" w:ascii="宋体" w:hAnsi="宋体" w:cs="宋体"/>
          <w:b/>
          <w:snapToGrid w:val="0"/>
          <w:kern w:val="0"/>
          <w:sz w:val="24"/>
          <w:szCs w:val="24"/>
          <w:highlight w:val="none"/>
        </w:rPr>
        <w:t>（3）对于没有填报的项目，采购人将不再支付，并均认为已包含在报价内。</w:t>
      </w:r>
    </w:p>
    <w:p>
      <w:pPr>
        <w:pStyle w:val="3"/>
        <w:snapToGrid w:val="0"/>
        <w:spacing w:before="156" w:beforeLines="50" w:line="500" w:lineRule="exact"/>
        <w:ind w:firstLine="482" w:firstLineChars="200"/>
        <w:rPr>
          <w:rFonts w:ascii="宋体" w:hAnsi="宋体" w:cs="宋体"/>
          <w:b/>
          <w:bCs/>
          <w:snapToGrid w:val="0"/>
          <w:kern w:val="0"/>
          <w:sz w:val="24"/>
          <w:highlight w:val="none"/>
        </w:rPr>
      </w:pPr>
      <w:r>
        <w:rPr>
          <w:rFonts w:hint="eastAsia" w:ascii="宋体" w:hAnsi="宋体" w:cs="宋体"/>
          <w:b/>
          <w:bCs/>
          <w:snapToGrid w:val="0"/>
          <w:kern w:val="0"/>
          <w:sz w:val="24"/>
          <w:highlight w:val="none"/>
        </w:rPr>
        <w:t>14</w:t>
      </w:r>
      <w:r>
        <w:rPr>
          <w:rFonts w:hint="eastAsia" w:ascii="宋体" w:hAnsi="宋体" w:cs="宋体"/>
          <w:b/>
          <w:bCs/>
          <w:snapToGrid w:val="0"/>
          <w:kern w:val="0"/>
          <w:sz w:val="24"/>
          <w:highlight w:val="none"/>
          <w:lang w:val="en-US" w:eastAsia="zh-CN"/>
        </w:rPr>
        <w:t>.</w:t>
      </w:r>
      <w:r>
        <w:rPr>
          <w:rFonts w:hint="eastAsia" w:ascii="宋体" w:hAnsi="宋体" w:cs="宋体"/>
          <w:b/>
          <w:sz w:val="24"/>
          <w:szCs w:val="22"/>
          <w:highlight w:val="none"/>
        </w:rPr>
        <w:t>投标文件的编制</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lang w:val="zh-CN"/>
        </w:rPr>
        <w:t>1</w:t>
      </w:r>
      <w:r>
        <w:rPr>
          <w:rFonts w:hint="eastAsia" w:ascii="宋体" w:hAnsi="宋体" w:cs="宋体"/>
          <w:snapToGrid w:val="0"/>
          <w:kern w:val="0"/>
          <w:sz w:val="24"/>
          <w:szCs w:val="24"/>
          <w:highlight w:val="none"/>
        </w:rPr>
        <w:t>4</w:t>
      </w:r>
      <w:r>
        <w:rPr>
          <w:rFonts w:hint="eastAsia" w:ascii="宋体" w:hAnsi="宋体" w:cs="宋体"/>
          <w:snapToGrid w:val="0"/>
          <w:kern w:val="0"/>
          <w:sz w:val="24"/>
          <w:szCs w:val="24"/>
          <w:highlight w:val="none"/>
          <w:lang w:val="zh-CN"/>
        </w:rPr>
        <w:t>.1投标文件分为资格审查文件、商务技术文件、报价文件三部分。各供应商在编制投标文件时请按照采购文件第五</w:t>
      </w:r>
      <w:r>
        <w:rPr>
          <w:rFonts w:hint="eastAsia" w:ascii="宋体" w:hAnsi="宋体" w:cs="宋体"/>
          <w:snapToGrid w:val="0"/>
          <w:kern w:val="0"/>
          <w:sz w:val="24"/>
          <w:szCs w:val="24"/>
          <w:highlight w:val="none"/>
        </w:rPr>
        <w:t>章</w:t>
      </w:r>
      <w:r>
        <w:rPr>
          <w:rFonts w:hint="eastAsia" w:ascii="宋体" w:hAnsi="宋体" w:cs="宋体"/>
          <w:snapToGrid w:val="0"/>
          <w:kern w:val="0"/>
          <w:sz w:val="24"/>
          <w:szCs w:val="24"/>
          <w:highlight w:val="none"/>
          <w:lang w:val="zh-CN"/>
        </w:rPr>
        <w:t>规定的格式进行，混乱的编排导致投标文件被误读或评标委员会查找不到有效文件是</w:t>
      </w:r>
      <w:r>
        <w:rPr>
          <w:rFonts w:hint="eastAsia" w:ascii="宋体" w:hAnsi="宋体" w:cs="宋体"/>
          <w:sz w:val="24"/>
          <w:szCs w:val="24"/>
          <w:highlight w:val="none"/>
        </w:rPr>
        <w:t>供应商</w:t>
      </w:r>
      <w:r>
        <w:rPr>
          <w:rFonts w:hint="eastAsia" w:ascii="宋体" w:hAnsi="宋体" w:cs="宋体"/>
          <w:snapToGrid w:val="0"/>
          <w:kern w:val="0"/>
          <w:sz w:val="24"/>
          <w:szCs w:val="24"/>
          <w:highlight w:val="none"/>
          <w:lang w:val="zh-CN"/>
        </w:rPr>
        <w:t>的风险。</w:t>
      </w:r>
      <w:r>
        <w:rPr>
          <w:rFonts w:hint="eastAsia" w:ascii="宋体" w:hAnsi="宋体" w:cs="宋体"/>
          <w:snapToGrid w:val="0"/>
          <w:kern w:val="0"/>
          <w:sz w:val="24"/>
          <w:szCs w:val="24"/>
          <w:highlight w:val="none"/>
        </w:rPr>
        <w:t>▲投标文件未按规定的格式编制的，投标无效；</w:t>
      </w:r>
    </w:p>
    <w:p>
      <w:pPr>
        <w:adjustRightInd w:val="0"/>
        <w:snapToGrid w:val="0"/>
        <w:spacing w:line="500" w:lineRule="exact"/>
        <w:ind w:firstLine="480" w:firstLineChars="200"/>
        <w:jc w:val="left"/>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1</w:t>
      </w:r>
      <w:r>
        <w:rPr>
          <w:rFonts w:hint="eastAsia" w:ascii="宋体" w:hAnsi="宋体" w:cs="宋体"/>
          <w:snapToGrid w:val="0"/>
          <w:kern w:val="0"/>
          <w:sz w:val="24"/>
          <w:szCs w:val="24"/>
          <w:highlight w:val="none"/>
        </w:rPr>
        <w:t>4</w:t>
      </w:r>
      <w:r>
        <w:rPr>
          <w:rFonts w:hint="eastAsia" w:ascii="宋体" w:hAnsi="宋体" w:cs="宋体"/>
          <w:snapToGrid w:val="0"/>
          <w:kern w:val="0"/>
          <w:sz w:val="24"/>
          <w:szCs w:val="24"/>
          <w:highlight w:val="none"/>
          <w:lang w:val="zh-CN"/>
        </w:rPr>
        <w:t>.</w:t>
      </w:r>
      <w:r>
        <w:rPr>
          <w:rFonts w:hint="eastAsia" w:ascii="宋体" w:hAnsi="宋体" w:cs="宋体"/>
          <w:snapToGrid w:val="0"/>
          <w:kern w:val="0"/>
          <w:sz w:val="24"/>
          <w:szCs w:val="24"/>
          <w:highlight w:val="none"/>
        </w:rPr>
        <w:t>2</w:t>
      </w:r>
      <w:r>
        <w:rPr>
          <w:rFonts w:hint="eastAsia" w:ascii="宋体" w:hAnsi="宋体" w:cs="宋体"/>
          <w:sz w:val="24"/>
          <w:szCs w:val="24"/>
          <w:highlight w:val="none"/>
        </w:rPr>
        <w:t>供应商</w:t>
      </w:r>
      <w:r>
        <w:rPr>
          <w:rFonts w:hint="eastAsia" w:ascii="宋体" w:hAnsi="宋体" w:cs="宋体"/>
          <w:snapToGrid w:val="0"/>
          <w:kern w:val="0"/>
          <w:sz w:val="24"/>
          <w:szCs w:val="24"/>
          <w:highlight w:val="none"/>
          <w:lang w:val="zh-CN"/>
        </w:rPr>
        <w:t>进行电子投标应安装客户端软件—“政采云电子交易客户端”，并按照招标文件和电子交易平台的要求编制并加密投标文件。</w:t>
      </w:r>
      <w:r>
        <w:rPr>
          <w:rFonts w:hint="eastAsia" w:ascii="宋体" w:hAnsi="宋体" w:cs="宋体"/>
          <w:sz w:val="24"/>
          <w:szCs w:val="24"/>
          <w:highlight w:val="none"/>
        </w:rPr>
        <w:t>供应商</w:t>
      </w:r>
      <w:r>
        <w:rPr>
          <w:rFonts w:hint="eastAsia" w:ascii="宋体" w:hAnsi="宋体" w:cs="宋体"/>
          <w:snapToGrid w:val="0"/>
          <w:kern w:val="0"/>
          <w:sz w:val="24"/>
          <w:szCs w:val="24"/>
          <w:highlight w:val="none"/>
          <w:lang w:val="zh-CN"/>
        </w:rPr>
        <w:t>未按规定加密的投标文件，电子交易平台将拒收并提示。</w:t>
      </w:r>
    </w:p>
    <w:p>
      <w:pPr>
        <w:adjustRightInd w:val="0"/>
        <w:snapToGrid w:val="0"/>
        <w:spacing w:line="500" w:lineRule="exact"/>
        <w:ind w:firstLine="480" w:firstLineChars="200"/>
        <w:jc w:val="left"/>
        <w:rPr>
          <w:rFonts w:ascii="宋体" w:hAnsi="宋体" w:cs="宋体"/>
          <w:snapToGrid w:val="0"/>
          <w:kern w:val="0"/>
          <w:sz w:val="24"/>
          <w:szCs w:val="24"/>
          <w:highlight w:val="none"/>
          <w:lang w:val="zh-CN"/>
        </w:rPr>
      </w:pPr>
      <w:r>
        <w:rPr>
          <w:rFonts w:hint="eastAsia" w:ascii="宋体" w:hAnsi="宋体" w:cs="宋体"/>
          <w:snapToGrid w:val="0"/>
          <w:kern w:val="0"/>
          <w:sz w:val="24"/>
          <w:szCs w:val="24"/>
          <w:highlight w:val="none"/>
          <w:lang w:val="zh-CN"/>
        </w:rPr>
        <w:t>1</w:t>
      </w:r>
      <w:r>
        <w:rPr>
          <w:rFonts w:hint="eastAsia" w:ascii="宋体" w:hAnsi="宋体" w:cs="宋体"/>
          <w:snapToGrid w:val="0"/>
          <w:kern w:val="0"/>
          <w:sz w:val="24"/>
          <w:szCs w:val="24"/>
          <w:highlight w:val="none"/>
        </w:rPr>
        <w:t>4</w:t>
      </w:r>
      <w:r>
        <w:rPr>
          <w:rFonts w:hint="eastAsia" w:ascii="宋体" w:hAnsi="宋体" w:cs="宋体"/>
          <w:snapToGrid w:val="0"/>
          <w:kern w:val="0"/>
          <w:sz w:val="24"/>
          <w:szCs w:val="24"/>
          <w:highlight w:val="none"/>
          <w:lang w:val="zh-CN"/>
        </w:rPr>
        <w:t>.3使用“政采云电子交易客户端”需要提前申领CA数字证书，申领流程请自行前往“浙江政府采购网-下载专区-电子交易客户端-CA驱动和申领流程”进行查阅。</w:t>
      </w:r>
    </w:p>
    <w:p>
      <w:pPr>
        <w:pStyle w:val="3"/>
        <w:adjustRightInd w:val="0"/>
        <w:snapToGrid w:val="0"/>
        <w:spacing w:before="156" w:beforeLines="50" w:line="500" w:lineRule="exact"/>
        <w:ind w:firstLine="562" w:firstLineChars="200"/>
        <w:jc w:val="left"/>
        <w:rPr>
          <w:rFonts w:ascii="宋体" w:hAnsi="宋体" w:cs="宋体"/>
          <w:b/>
          <w:bCs/>
          <w:snapToGrid w:val="0"/>
          <w:kern w:val="0"/>
          <w:szCs w:val="28"/>
          <w:highlight w:val="none"/>
        </w:rPr>
      </w:pPr>
      <w:r>
        <w:rPr>
          <w:rFonts w:hint="eastAsia" w:ascii="宋体" w:hAnsi="宋体" w:cs="宋体"/>
          <w:b/>
          <w:bCs/>
          <w:snapToGrid w:val="0"/>
          <w:kern w:val="0"/>
          <w:szCs w:val="28"/>
          <w:highlight w:val="none"/>
        </w:rPr>
        <w:t>15.投标保证金</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15.1本项目不收取投标保证金。但违反政府采购相关规定给采购人造成损失的，</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应当承担赔偿责任。</w:t>
      </w:r>
    </w:p>
    <w:p>
      <w:pPr>
        <w:pStyle w:val="3"/>
        <w:snapToGrid w:val="0"/>
        <w:spacing w:before="156" w:beforeLines="50" w:line="500" w:lineRule="exact"/>
        <w:ind w:firstLine="562" w:firstLineChars="200"/>
        <w:rPr>
          <w:rFonts w:ascii="宋体" w:hAnsi="宋体" w:cs="宋体"/>
          <w:b/>
          <w:bCs/>
          <w:snapToGrid w:val="0"/>
          <w:kern w:val="0"/>
          <w:szCs w:val="28"/>
          <w:highlight w:val="none"/>
        </w:rPr>
      </w:pPr>
      <w:r>
        <w:rPr>
          <w:rFonts w:hint="eastAsia" w:ascii="宋体" w:hAnsi="宋体" w:cs="宋体"/>
          <w:b/>
          <w:bCs/>
          <w:snapToGrid w:val="0"/>
          <w:kern w:val="0"/>
          <w:szCs w:val="28"/>
          <w:highlight w:val="none"/>
        </w:rPr>
        <w:t>16.投标有效期</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16.1投标文件在开标之日起90个日历天内有效。</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16.2在原定投标有效期满之前，如果出现特殊情况，采购人可以以书面形式向</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提出延长投标有效期的要求。这种要求与答复均应采用书面形式如传真或信件等。</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可以拒绝接受采购人的这种要求而放弃投标。接受延长投标有效期的投标人将不会被要求和允许修正其投标。</w:t>
      </w:r>
    </w:p>
    <w:p>
      <w:pPr>
        <w:adjustRightInd w:val="0"/>
        <w:snapToGrid w:val="0"/>
        <w:spacing w:line="500" w:lineRule="exact"/>
        <w:ind w:firstLine="480" w:firstLineChars="200"/>
        <w:jc w:val="left"/>
        <w:rPr>
          <w:rFonts w:ascii="宋体" w:hAnsi="宋体" w:cs="宋体"/>
          <w:snapToGrid w:val="0"/>
          <w:kern w:val="0"/>
          <w:sz w:val="28"/>
          <w:szCs w:val="28"/>
          <w:highlight w:val="none"/>
        </w:rPr>
      </w:pPr>
      <w:r>
        <w:rPr>
          <w:rFonts w:hint="eastAsia" w:ascii="宋体" w:hAnsi="宋体" w:cs="宋体"/>
          <w:snapToGrid w:val="0"/>
          <w:kern w:val="0"/>
          <w:sz w:val="24"/>
          <w:szCs w:val="24"/>
          <w:highlight w:val="none"/>
        </w:rPr>
        <w:t>16.3中标</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的投标文件自开标之日起至合同履行完毕止均应保持有效。</w:t>
      </w:r>
    </w:p>
    <w:p>
      <w:pPr>
        <w:adjustRightInd w:val="0"/>
        <w:snapToGrid w:val="0"/>
        <w:spacing w:line="500" w:lineRule="exact"/>
        <w:ind w:firstLine="562" w:firstLineChars="200"/>
        <w:jc w:val="left"/>
        <w:rPr>
          <w:rFonts w:ascii="宋体" w:hAnsi="宋体" w:cs="宋体"/>
          <w:b/>
          <w:bCs/>
          <w:snapToGrid w:val="0"/>
          <w:kern w:val="0"/>
          <w:sz w:val="28"/>
          <w:szCs w:val="28"/>
          <w:highlight w:val="none"/>
        </w:rPr>
      </w:pPr>
      <w:r>
        <w:rPr>
          <w:rFonts w:hint="eastAsia" w:ascii="宋体" w:hAnsi="宋体" w:cs="宋体"/>
          <w:b/>
          <w:bCs/>
          <w:snapToGrid w:val="0"/>
          <w:kern w:val="0"/>
          <w:sz w:val="28"/>
          <w:szCs w:val="28"/>
          <w:highlight w:val="none"/>
        </w:rPr>
        <w:t>17</w:t>
      </w:r>
      <w:r>
        <w:rPr>
          <w:rFonts w:hint="eastAsia" w:ascii="宋体" w:hAnsi="宋体" w:cs="宋体"/>
          <w:b/>
          <w:bCs/>
          <w:snapToGrid w:val="0"/>
          <w:kern w:val="0"/>
          <w:sz w:val="28"/>
          <w:szCs w:val="28"/>
          <w:highlight w:val="none"/>
          <w:lang w:val="en-US" w:eastAsia="zh-CN"/>
        </w:rPr>
        <w:t>.</w:t>
      </w:r>
      <w:r>
        <w:rPr>
          <w:rFonts w:hint="eastAsia" w:ascii="宋体" w:hAnsi="宋体" w:cs="宋体"/>
          <w:b/>
          <w:bCs/>
          <w:snapToGrid w:val="0"/>
          <w:kern w:val="0"/>
          <w:sz w:val="28"/>
          <w:szCs w:val="28"/>
          <w:highlight w:val="none"/>
        </w:rPr>
        <w:t>投标文件的签署、盖章</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17.1投标文件按照采购文件第五章格式要求进行签署、盖章。</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的投标文件未按照招标文件要求签署、盖章的，其投标无效。</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17.2为确保网上操作合法、有效和安全，</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应当在投标截止时间前完成在“政府采购云平台”的身份认证，确保在电子投标过程中能够对相关数据电文进行加密和使用电子签名。</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17.3投标人应按本招标文件规定的格式和顺序编制、装订投标文件并标注页码，投标文件内容不完整、编排混乱导致投标文件被误读、漏读或者查找不到相关内容的，是投标人的责任。</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17.4本项目通过“政采云平台（www.zcygov.cn）”实行在线投标响应（电子投标）。供应商应通过“政采云电子交易客户端”，并按照本招标文件和“政采云平台”的要求编制并加密投标文件。</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17.5投标人应当按照“投标文件组成”规定的内容及顺序在“政采云电子交易客户端”编制投标文件。其中《资格审查文件》和《商务技术文件》中不得出现本项目投标报价，如因投标人原因提前泄露投标报价，是投标人的责任。</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17.6投标文件需做好“标书关联”（即设置关联点），未设置关联点而导致失分或无效投标处理的风险由投标人承担。</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17.7投标文件应按招标文件中投标格式文件所示列要求由投标人的法定代表人或其授权的代理人签字、盖单位公章。投标人的法定代表人授权代理人签字的，投标文件应附由法定代表人签署的授权委托书。</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17.8投标文件不得涂改，若有修改和增删处，必须加盖单位公章或法定代表人或授权委托人签字或盖章。投标文件字迹模糊、潦草或在关键的技术、商务条款上表述不清所引起的后果由投标人负责。</w:t>
      </w:r>
    </w:p>
    <w:p>
      <w:pPr>
        <w:spacing w:line="500" w:lineRule="exact"/>
        <w:jc w:val="center"/>
        <w:rPr>
          <w:rFonts w:ascii="宋体" w:hAnsi="宋体" w:cs="宋体"/>
          <w:b/>
          <w:bCs/>
          <w:sz w:val="28"/>
          <w:szCs w:val="24"/>
          <w:highlight w:val="none"/>
        </w:rPr>
      </w:pPr>
      <w:r>
        <w:rPr>
          <w:rFonts w:hint="eastAsia" w:ascii="宋体" w:hAnsi="宋体" w:cs="宋体"/>
          <w:b/>
          <w:bCs/>
          <w:sz w:val="28"/>
          <w:szCs w:val="24"/>
          <w:highlight w:val="none"/>
        </w:rPr>
        <w:t>四、投标文件的递交</w:t>
      </w:r>
    </w:p>
    <w:p>
      <w:pPr>
        <w:pStyle w:val="3"/>
        <w:snapToGrid w:val="0"/>
        <w:spacing w:before="156" w:beforeLines="50" w:line="500" w:lineRule="exact"/>
        <w:ind w:firstLine="562" w:firstLineChars="200"/>
        <w:rPr>
          <w:rFonts w:ascii="宋体" w:hAnsi="宋体" w:cs="宋体"/>
          <w:b/>
          <w:bCs/>
          <w:snapToGrid w:val="0"/>
          <w:kern w:val="0"/>
          <w:szCs w:val="28"/>
          <w:highlight w:val="none"/>
        </w:rPr>
      </w:pPr>
      <w:r>
        <w:rPr>
          <w:rFonts w:hint="eastAsia" w:ascii="宋体" w:hAnsi="宋体" w:cs="宋体"/>
          <w:b/>
          <w:bCs/>
          <w:snapToGrid w:val="0"/>
          <w:kern w:val="0"/>
          <w:szCs w:val="28"/>
          <w:highlight w:val="none"/>
        </w:rPr>
        <w:t>18.投标文件的递交</w:t>
      </w:r>
    </w:p>
    <w:p>
      <w:pPr>
        <w:adjustRightInd w:val="0"/>
        <w:snapToGrid w:val="0"/>
        <w:spacing w:line="500" w:lineRule="exact"/>
        <w:ind w:firstLine="482" w:firstLineChars="200"/>
        <w:jc w:val="left"/>
        <w:rPr>
          <w:rFonts w:ascii="宋体" w:hAnsi="宋体" w:cs="宋体"/>
          <w:b/>
          <w:bCs/>
          <w:snapToGrid w:val="0"/>
          <w:kern w:val="0"/>
          <w:sz w:val="24"/>
          <w:szCs w:val="24"/>
          <w:highlight w:val="none"/>
        </w:rPr>
      </w:pPr>
      <w:r>
        <w:rPr>
          <w:rFonts w:hint="eastAsia" w:ascii="宋体" w:hAnsi="宋体" w:cs="宋体"/>
          <w:b/>
          <w:bCs/>
          <w:snapToGrid w:val="0"/>
          <w:kern w:val="0"/>
          <w:sz w:val="24"/>
          <w:szCs w:val="24"/>
          <w:highlight w:val="none"/>
        </w:rPr>
        <w:t>18.1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adjustRightInd w:val="0"/>
        <w:snapToGrid w:val="0"/>
        <w:spacing w:line="500" w:lineRule="exact"/>
        <w:ind w:firstLine="482" w:firstLineChars="200"/>
        <w:jc w:val="left"/>
        <w:rPr>
          <w:rFonts w:ascii="宋体" w:hAnsi="宋体" w:cs="宋体"/>
          <w:b/>
          <w:bCs/>
          <w:snapToGrid w:val="0"/>
          <w:kern w:val="0"/>
          <w:sz w:val="24"/>
          <w:szCs w:val="24"/>
          <w:highlight w:val="none"/>
        </w:rPr>
      </w:pPr>
      <w:r>
        <w:rPr>
          <w:rFonts w:hint="eastAsia" w:ascii="宋体" w:hAnsi="宋体" w:cs="宋体"/>
          <w:b/>
          <w:bCs/>
          <w:snapToGrid w:val="0"/>
          <w:kern w:val="0"/>
          <w:sz w:val="24"/>
          <w:szCs w:val="24"/>
          <w:highlight w:val="none"/>
        </w:rPr>
        <w:t>18.2投标截止时间后，供应商登录政采云平台，用“项目采购-开标评标”功能对电子投标文件进行在线解密。在线解密电子投标文件时间为开标时间起30分钟内。</w:t>
      </w:r>
    </w:p>
    <w:p>
      <w:pPr>
        <w:adjustRightInd w:val="0"/>
        <w:snapToGrid w:val="0"/>
        <w:spacing w:line="500" w:lineRule="exact"/>
        <w:ind w:firstLine="422" w:firstLineChars="150"/>
        <w:jc w:val="left"/>
        <w:rPr>
          <w:rFonts w:ascii="宋体" w:hAnsi="宋体" w:cs="宋体"/>
          <w:b/>
          <w:sz w:val="28"/>
          <w:szCs w:val="28"/>
          <w:highlight w:val="none"/>
        </w:rPr>
      </w:pPr>
      <w:r>
        <w:rPr>
          <w:rFonts w:hint="eastAsia" w:ascii="宋体" w:hAnsi="宋体" w:cs="宋体"/>
          <w:b/>
          <w:sz w:val="28"/>
          <w:szCs w:val="28"/>
          <w:highlight w:val="none"/>
        </w:rPr>
        <w:t>19.备份投标文件</w:t>
      </w:r>
    </w:p>
    <w:p>
      <w:pPr>
        <w:pStyle w:val="11"/>
        <w:spacing w:line="500" w:lineRule="exact"/>
        <w:ind w:firstLine="360" w:firstLineChars="150"/>
        <w:rPr>
          <w:rFonts w:hint="eastAsia" w:hAnsi="宋体" w:cs="宋体"/>
          <w:snapToGrid w:val="0"/>
          <w:kern w:val="0"/>
          <w:sz w:val="24"/>
          <w:szCs w:val="24"/>
          <w:highlight w:val="none"/>
        </w:rPr>
      </w:pPr>
      <w:r>
        <w:rPr>
          <w:rFonts w:hint="eastAsia" w:hAnsi="宋体" w:cs="宋体"/>
          <w:snapToGrid w:val="0"/>
          <w:kern w:val="0"/>
          <w:sz w:val="24"/>
          <w:szCs w:val="24"/>
          <w:highlight w:val="none"/>
          <w:lang w:val="en-US" w:eastAsia="zh-CN"/>
        </w:rPr>
        <w:t>19</w:t>
      </w:r>
      <w:r>
        <w:rPr>
          <w:rFonts w:hint="eastAsia" w:hAnsi="宋体" w:cs="宋体"/>
          <w:snapToGrid w:val="0"/>
          <w:kern w:val="0"/>
          <w:sz w:val="24"/>
          <w:szCs w:val="24"/>
          <w:highlight w:val="none"/>
        </w:rPr>
        <w:t>.1投标人在电子交易平台传输递交投标文件后，还可以在投标截止时间前</w:t>
      </w:r>
      <w:r>
        <w:rPr>
          <w:rFonts w:hint="eastAsia" w:hAnsi="宋体" w:cs="宋体"/>
          <w:snapToGrid w:val="0"/>
          <w:kern w:val="0"/>
          <w:sz w:val="24"/>
          <w:szCs w:val="24"/>
          <w:highlight w:val="none"/>
          <w:lang w:val="en-US" w:eastAsia="zh-CN"/>
        </w:rPr>
        <w:t>将备份文件发送至指定邮箱（495374271@qq.com）</w:t>
      </w:r>
      <w:r>
        <w:rPr>
          <w:rFonts w:hint="eastAsia" w:hAnsi="宋体" w:cs="宋体"/>
          <w:snapToGrid w:val="0"/>
          <w:kern w:val="0"/>
          <w:sz w:val="24"/>
          <w:szCs w:val="24"/>
          <w:highlight w:val="none"/>
        </w:rPr>
        <w:t>。</w:t>
      </w:r>
    </w:p>
    <w:p>
      <w:pPr>
        <w:pStyle w:val="11"/>
        <w:spacing w:line="500" w:lineRule="exact"/>
        <w:ind w:firstLine="360" w:firstLineChars="150"/>
        <w:rPr>
          <w:rFonts w:hint="eastAsia" w:hAnsi="宋体" w:cs="宋体"/>
          <w:snapToGrid w:val="0"/>
          <w:kern w:val="0"/>
          <w:sz w:val="24"/>
          <w:szCs w:val="24"/>
          <w:highlight w:val="none"/>
          <w:lang w:eastAsia="zh-CN"/>
        </w:rPr>
      </w:pPr>
      <w:r>
        <w:rPr>
          <w:rFonts w:hint="eastAsia" w:hAnsi="宋体" w:cs="宋体"/>
          <w:snapToGrid w:val="0"/>
          <w:kern w:val="0"/>
          <w:sz w:val="24"/>
          <w:szCs w:val="24"/>
          <w:highlight w:val="none"/>
        </w:rPr>
        <w:t>1</w:t>
      </w:r>
      <w:r>
        <w:rPr>
          <w:rFonts w:hint="eastAsia" w:hAnsi="宋体" w:cs="宋体"/>
          <w:snapToGrid w:val="0"/>
          <w:kern w:val="0"/>
          <w:sz w:val="24"/>
          <w:szCs w:val="24"/>
          <w:highlight w:val="none"/>
          <w:lang w:val="en-US" w:eastAsia="zh-CN"/>
        </w:rPr>
        <w:t>9</w:t>
      </w:r>
      <w:r>
        <w:rPr>
          <w:rFonts w:hint="eastAsia" w:hAnsi="宋体" w:cs="宋体"/>
          <w:snapToGrid w:val="0"/>
          <w:kern w:val="0"/>
          <w:sz w:val="24"/>
          <w:szCs w:val="24"/>
          <w:highlight w:val="none"/>
        </w:rPr>
        <w:t>.2备份投标文件须在“政采云投标客户端”制作生成</w:t>
      </w:r>
      <w:r>
        <w:rPr>
          <w:rFonts w:hint="eastAsia" w:hAnsi="宋体" w:cs="宋体"/>
          <w:snapToGrid w:val="0"/>
          <w:kern w:val="0"/>
          <w:sz w:val="24"/>
          <w:szCs w:val="24"/>
          <w:highlight w:val="none"/>
          <w:lang w:eastAsia="zh-CN"/>
        </w:rPr>
        <w:t>。</w:t>
      </w:r>
    </w:p>
    <w:p>
      <w:pPr>
        <w:pStyle w:val="11"/>
        <w:spacing w:line="500" w:lineRule="exact"/>
        <w:ind w:firstLine="361" w:firstLineChars="150"/>
        <w:rPr>
          <w:rFonts w:hint="eastAsia" w:hAnsi="宋体" w:cs="宋体"/>
          <w:b/>
          <w:bCs/>
          <w:snapToGrid w:val="0"/>
          <w:kern w:val="0"/>
          <w:sz w:val="24"/>
          <w:szCs w:val="24"/>
          <w:highlight w:val="none"/>
        </w:rPr>
      </w:pPr>
      <w:r>
        <w:rPr>
          <w:rFonts w:hint="eastAsia" w:hAnsi="宋体" w:cs="宋体"/>
          <w:b/>
          <w:bCs/>
          <w:snapToGrid w:val="0"/>
          <w:kern w:val="0"/>
          <w:sz w:val="24"/>
          <w:szCs w:val="24"/>
          <w:highlight w:val="none"/>
        </w:rPr>
        <w:t>1</w:t>
      </w:r>
      <w:r>
        <w:rPr>
          <w:rFonts w:hint="eastAsia" w:hAnsi="宋体" w:cs="宋体"/>
          <w:b/>
          <w:bCs/>
          <w:snapToGrid w:val="0"/>
          <w:kern w:val="0"/>
          <w:sz w:val="24"/>
          <w:szCs w:val="24"/>
          <w:highlight w:val="none"/>
          <w:lang w:val="en-US" w:eastAsia="zh-CN"/>
        </w:rPr>
        <w:t>9</w:t>
      </w:r>
      <w:r>
        <w:rPr>
          <w:rFonts w:hint="eastAsia" w:hAnsi="宋体" w:cs="宋体"/>
          <w:b/>
          <w:bCs/>
          <w:snapToGrid w:val="0"/>
          <w:kern w:val="0"/>
          <w:sz w:val="24"/>
          <w:szCs w:val="24"/>
          <w:highlight w:val="none"/>
        </w:rPr>
        <w:t>.3投标人仅提交备份投标文件，未在电子交易平台传输递交投标文件的，投标无效。</w:t>
      </w:r>
    </w:p>
    <w:p>
      <w:pPr>
        <w:pStyle w:val="11"/>
        <w:spacing w:line="500" w:lineRule="exact"/>
        <w:ind w:firstLine="422" w:firstLineChars="150"/>
        <w:rPr>
          <w:rFonts w:hAnsi="宋体" w:cs="宋体"/>
          <w:b/>
          <w:sz w:val="28"/>
          <w:szCs w:val="28"/>
          <w:highlight w:val="none"/>
        </w:rPr>
      </w:pPr>
      <w:r>
        <w:rPr>
          <w:rFonts w:hint="eastAsia" w:hAnsi="宋体" w:cs="宋体"/>
          <w:b/>
          <w:sz w:val="28"/>
          <w:szCs w:val="28"/>
          <w:highlight w:val="none"/>
        </w:rPr>
        <w:t>20.投标截止期</w:t>
      </w:r>
    </w:p>
    <w:p>
      <w:pPr>
        <w:pStyle w:val="11"/>
        <w:spacing w:line="500" w:lineRule="exact"/>
        <w:ind w:firstLine="360" w:firstLineChars="150"/>
        <w:rPr>
          <w:rFonts w:hAnsi="宋体" w:cs="宋体"/>
          <w:snapToGrid w:val="0"/>
          <w:kern w:val="0"/>
          <w:sz w:val="24"/>
          <w:szCs w:val="24"/>
          <w:highlight w:val="none"/>
        </w:rPr>
      </w:pPr>
      <w:r>
        <w:rPr>
          <w:rFonts w:hint="eastAsia" w:hAnsi="宋体" w:cs="宋体"/>
          <w:snapToGrid w:val="0"/>
          <w:kern w:val="0"/>
          <w:sz w:val="24"/>
          <w:szCs w:val="24"/>
          <w:highlight w:val="none"/>
        </w:rPr>
        <w:t>20.1</w:t>
      </w:r>
      <w:r>
        <w:rPr>
          <w:rFonts w:hint="eastAsia" w:hAnsi="宋体" w:cs="宋体"/>
          <w:sz w:val="24"/>
          <w:szCs w:val="24"/>
          <w:highlight w:val="none"/>
        </w:rPr>
        <w:t>供应商</w:t>
      </w:r>
      <w:r>
        <w:rPr>
          <w:rFonts w:hint="eastAsia" w:hAnsi="宋体" w:cs="宋体"/>
          <w:snapToGrid w:val="0"/>
          <w:kern w:val="0"/>
          <w:sz w:val="24"/>
          <w:szCs w:val="24"/>
          <w:highlight w:val="none"/>
        </w:rPr>
        <w:t>应按前附表规定的日期、时间和方式递交投标文件。</w:t>
      </w:r>
    </w:p>
    <w:p>
      <w:pPr>
        <w:pStyle w:val="11"/>
        <w:spacing w:line="500" w:lineRule="exact"/>
        <w:ind w:firstLine="360" w:firstLineChars="150"/>
        <w:rPr>
          <w:rFonts w:hAnsi="宋体" w:cs="宋体"/>
          <w:snapToGrid w:val="0"/>
          <w:kern w:val="0"/>
          <w:sz w:val="24"/>
          <w:szCs w:val="24"/>
          <w:highlight w:val="none"/>
        </w:rPr>
      </w:pPr>
      <w:r>
        <w:rPr>
          <w:rFonts w:hint="eastAsia" w:hAnsi="宋体" w:cs="宋体"/>
          <w:snapToGrid w:val="0"/>
          <w:kern w:val="0"/>
          <w:sz w:val="24"/>
          <w:szCs w:val="24"/>
          <w:highlight w:val="none"/>
        </w:rPr>
        <w:t>20.2采购人可以按本须知第7条规定，通过修改采购文件适当延长投标截止日期。在此情况下，采购人与</w:t>
      </w:r>
      <w:r>
        <w:rPr>
          <w:rFonts w:hint="eastAsia" w:hAnsi="宋体" w:cs="宋体"/>
          <w:sz w:val="24"/>
          <w:szCs w:val="24"/>
          <w:highlight w:val="none"/>
        </w:rPr>
        <w:t>供应商</w:t>
      </w:r>
      <w:r>
        <w:rPr>
          <w:rFonts w:hint="eastAsia" w:hAnsi="宋体" w:cs="宋体"/>
          <w:snapToGrid w:val="0"/>
          <w:kern w:val="0"/>
          <w:sz w:val="24"/>
          <w:szCs w:val="24"/>
          <w:highlight w:val="none"/>
        </w:rPr>
        <w:t>受投标截止期制约的所有权利和义务均应延长至新的截止期。</w:t>
      </w:r>
    </w:p>
    <w:p>
      <w:pPr>
        <w:pStyle w:val="11"/>
        <w:spacing w:line="500" w:lineRule="exact"/>
        <w:ind w:firstLine="422" w:firstLineChars="150"/>
        <w:rPr>
          <w:rFonts w:hAnsi="宋体" w:cs="宋体"/>
          <w:b/>
          <w:sz w:val="28"/>
          <w:szCs w:val="28"/>
          <w:highlight w:val="none"/>
        </w:rPr>
      </w:pPr>
      <w:r>
        <w:rPr>
          <w:rFonts w:hint="eastAsia" w:hAnsi="宋体" w:cs="宋体"/>
          <w:b/>
          <w:sz w:val="28"/>
          <w:szCs w:val="28"/>
          <w:highlight w:val="none"/>
        </w:rPr>
        <w:t>21.迟交的投标文件</w:t>
      </w:r>
    </w:p>
    <w:p>
      <w:pPr>
        <w:pStyle w:val="11"/>
        <w:spacing w:line="500" w:lineRule="exact"/>
        <w:ind w:firstLine="360" w:firstLineChars="150"/>
        <w:rPr>
          <w:rFonts w:hAnsi="宋体" w:cs="宋体"/>
          <w:snapToGrid w:val="0"/>
          <w:kern w:val="0"/>
          <w:sz w:val="24"/>
          <w:szCs w:val="24"/>
          <w:highlight w:val="none"/>
        </w:rPr>
      </w:pPr>
      <w:r>
        <w:rPr>
          <w:rFonts w:hint="eastAsia" w:hAnsi="宋体" w:cs="宋体"/>
          <w:snapToGrid w:val="0"/>
          <w:kern w:val="0"/>
          <w:sz w:val="24"/>
          <w:szCs w:val="24"/>
          <w:highlight w:val="none"/>
        </w:rPr>
        <w:t>在本须知第18条规定的截止期后收到的任何投标文件，采购人将不予接收。</w:t>
      </w:r>
    </w:p>
    <w:p>
      <w:pPr>
        <w:pStyle w:val="11"/>
        <w:spacing w:line="500" w:lineRule="exact"/>
        <w:ind w:firstLine="422" w:firstLineChars="150"/>
        <w:jc w:val="center"/>
        <w:rPr>
          <w:rFonts w:hAnsi="宋体" w:cs="宋体"/>
          <w:b/>
          <w:bCs/>
          <w:sz w:val="28"/>
          <w:szCs w:val="24"/>
          <w:highlight w:val="none"/>
        </w:rPr>
      </w:pPr>
      <w:bookmarkStart w:id="32" w:name="_Toc14566"/>
      <w:bookmarkStart w:id="33" w:name="_Toc22131"/>
      <w:bookmarkStart w:id="34" w:name="_Toc240450081"/>
      <w:bookmarkStart w:id="35" w:name="_Toc15503"/>
      <w:bookmarkStart w:id="36" w:name="_Toc13578"/>
      <w:bookmarkStart w:id="37" w:name="_Toc251566654"/>
      <w:r>
        <w:rPr>
          <w:rFonts w:hint="eastAsia" w:hAnsi="宋体" w:cs="宋体"/>
          <w:b/>
          <w:bCs/>
          <w:sz w:val="28"/>
          <w:szCs w:val="24"/>
          <w:highlight w:val="none"/>
        </w:rPr>
        <w:t>五、开标与评标</w:t>
      </w:r>
      <w:bookmarkEnd w:id="32"/>
      <w:bookmarkEnd w:id="33"/>
      <w:bookmarkEnd w:id="34"/>
      <w:bookmarkEnd w:id="35"/>
      <w:bookmarkEnd w:id="36"/>
      <w:bookmarkEnd w:id="37"/>
    </w:p>
    <w:p>
      <w:pPr>
        <w:pStyle w:val="11"/>
        <w:spacing w:line="500" w:lineRule="exact"/>
        <w:ind w:firstLine="422" w:firstLineChars="150"/>
        <w:rPr>
          <w:rFonts w:hAnsi="宋体" w:cs="宋体"/>
          <w:b/>
          <w:sz w:val="28"/>
          <w:szCs w:val="28"/>
          <w:highlight w:val="none"/>
        </w:rPr>
      </w:pPr>
      <w:r>
        <w:rPr>
          <w:rFonts w:hint="eastAsia" w:hAnsi="宋体" w:cs="宋体"/>
          <w:b/>
          <w:sz w:val="28"/>
          <w:szCs w:val="28"/>
          <w:highlight w:val="none"/>
        </w:rPr>
        <w:t>22.开标</w:t>
      </w:r>
    </w:p>
    <w:p>
      <w:pPr>
        <w:pStyle w:val="11"/>
        <w:spacing w:line="500" w:lineRule="exact"/>
        <w:ind w:firstLine="360" w:firstLineChars="150"/>
        <w:rPr>
          <w:rFonts w:hAnsi="宋体" w:cs="宋体"/>
          <w:snapToGrid w:val="0"/>
          <w:kern w:val="0"/>
          <w:sz w:val="24"/>
          <w:szCs w:val="24"/>
          <w:highlight w:val="none"/>
        </w:rPr>
      </w:pPr>
      <w:r>
        <w:rPr>
          <w:rFonts w:hint="eastAsia" w:hAnsi="宋体" w:cs="宋体"/>
          <w:snapToGrid w:val="0"/>
          <w:kern w:val="0"/>
          <w:sz w:val="24"/>
          <w:szCs w:val="24"/>
          <w:highlight w:val="none"/>
        </w:rPr>
        <w:t>22.1采购人将于前附表规定的时间和地点公开开标。若采购人按本须知第7条规定，通过修改采购文件更改了开标时间和地点的，以后者为准，供应商不足3家的，不得开标。</w:t>
      </w:r>
    </w:p>
    <w:p>
      <w:pPr>
        <w:pStyle w:val="11"/>
        <w:spacing w:line="500" w:lineRule="exact"/>
        <w:ind w:firstLine="360" w:firstLineChars="150"/>
        <w:rPr>
          <w:rFonts w:hAnsi="宋体" w:cs="宋体"/>
          <w:snapToGrid w:val="0"/>
          <w:kern w:val="0"/>
          <w:sz w:val="24"/>
          <w:szCs w:val="24"/>
          <w:highlight w:val="none"/>
        </w:rPr>
      </w:pPr>
      <w:r>
        <w:rPr>
          <w:rFonts w:hint="eastAsia" w:hAnsi="宋体" w:cs="宋体"/>
          <w:snapToGrid w:val="0"/>
          <w:kern w:val="0"/>
          <w:sz w:val="24"/>
          <w:szCs w:val="24"/>
          <w:highlight w:val="none"/>
        </w:rPr>
        <w:t>22.2开标时，电子交易平台按开标时间自动提取所有投标文件。代理机构依托电子交易平台发起开始解密指令，供应商按照平台提示和招标文件的规定在半小时内完成在线解密。</w:t>
      </w:r>
    </w:p>
    <w:p>
      <w:pPr>
        <w:pStyle w:val="11"/>
        <w:spacing w:line="500" w:lineRule="exact"/>
        <w:ind w:firstLine="360" w:firstLineChars="150"/>
        <w:rPr>
          <w:rFonts w:hAnsi="宋体" w:cs="宋体"/>
          <w:snapToGrid w:val="0"/>
          <w:kern w:val="0"/>
          <w:sz w:val="24"/>
          <w:szCs w:val="24"/>
          <w:highlight w:val="none"/>
        </w:rPr>
      </w:pPr>
      <w:r>
        <w:rPr>
          <w:rFonts w:hint="eastAsia" w:hAnsi="宋体" w:cs="宋体"/>
          <w:snapToGrid w:val="0"/>
          <w:kern w:val="0"/>
          <w:sz w:val="24"/>
          <w:szCs w:val="24"/>
          <w:highlight w:val="none"/>
        </w:rPr>
        <w:t>22.3投标文件未按时解密，供应商提供了“备份投标文件”的，以“备份投标文件”作为依据，否则视为投标文件撤回。投标文件已按时解密的，“备份投标文件”自动失效。</w:t>
      </w:r>
    </w:p>
    <w:p>
      <w:pPr>
        <w:pStyle w:val="11"/>
        <w:spacing w:line="500" w:lineRule="exact"/>
        <w:ind w:firstLine="422" w:firstLineChars="150"/>
        <w:rPr>
          <w:rFonts w:hAnsi="宋体" w:cs="宋体"/>
          <w:b/>
          <w:sz w:val="28"/>
          <w:szCs w:val="28"/>
          <w:highlight w:val="none"/>
        </w:rPr>
      </w:pPr>
      <w:r>
        <w:rPr>
          <w:rFonts w:hint="eastAsia" w:hAnsi="宋体" w:cs="宋体"/>
          <w:b/>
          <w:sz w:val="28"/>
          <w:szCs w:val="28"/>
          <w:highlight w:val="none"/>
        </w:rPr>
        <w:t>23.资格审查</w:t>
      </w:r>
    </w:p>
    <w:p>
      <w:pPr>
        <w:pStyle w:val="11"/>
        <w:spacing w:line="500" w:lineRule="exact"/>
        <w:ind w:firstLine="360" w:firstLineChars="150"/>
        <w:rPr>
          <w:rFonts w:hAnsi="宋体" w:cs="宋体"/>
          <w:snapToGrid w:val="0"/>
          <w:kern w:val="0"/>
          <w:sz w:val="24"/>
          <w:szCs w:val="24"/>
          <w:highlight w:val="none"/>
        </w:rPr>
      </w:pPr>
      <w:r>
        <w:rPr>
          <w:rFonts w:hint="eastAsia" w:hAnsi="宋体" w:cs="宋体"/>
          <w:snapToGrid w:val="0"/>
          <w:kern w:val="0"/>
          <w:sz w:val="24"/>
          <w:szCs w:val="24"/>
          <w:highlight w:val="none"/>
        </w:rPr>
        <w:t>23.1开标后，采购人将依法对供应商的资格进行审查。</w:t>
      </w:r>
    </w:p>
    <w:p>
      <w:pPr>
        <w:pStyle w:val="11"/>
        <w:spacing w:line="500" w:lineRule="exact"/>
        <w:ind w:firstLine="360" w:firstLineChars="150"/>
        <w:rPr>
          <w:rFonts w:hAnsi="宋体" w:cs="宋体"/>
          <w:snapToGrid w:val="0"/>
          <w:kern w:val="0"/>
          <w:sz w:val="24"/>
          <w:szCs w:val="24"/>
          <w:highlight w:val="none"/>
        </w:rPr>
      </w:pPr>
      <w:r>
        <w:rPr>
          <w:rFonts w:hint="eastAsia" w:hAnsi="宋体" w:cs="宋体"/>
          <w:snapToGrid w:val="0"/>
          <w:kern w:val="0"/>
          <w:sz w:val="24"/>
          <w:szCs w:val="24"/>
          <w:highlight w:val="none"/>
        </w:rPr>
        <w:t>23.2采购人或代理机构依据法律法规和采购文件的规定，对供应商的基本资格条件、特定资格条件进行审查。</w:t>
      </w:r>
    </w:p>
    <w:p>
      <w:pPr>
        <w:pStyle w:val="11"/>
        <w:spacing w:line="500" w:lineRule="exact"/>
        <w:ind w:firstLine="360" w:firstLineChars="150"/>
        <w:rPr>
          <w:rFonts w:hAnsi="宋体" w:cs="宋体"/>
          <w:snapToGrid w:val="0"/>
          <w:kern w:val="0"/>
          <w:sz w:val="24"/>
          <w:szCs w:val="24"/>
          <w:highlight w:val="none"/>
        </w:rPr>
      </w:pPr>
      <w:r>
        <w:rPr>
          <w:rFonts w:hint="eastAsia" w:hAnsi="宋体" w:cs="宋体"/>
          <w:snapToGrid w:val="0"/>
          <w:kern w:val="0"/>
          <w:sz w:val="24"/>
          <w:szCs w:val="24"/>
          <w:highlight w:val="none"/>
        </w:rPr>
        <w:t>23.3供应商未按照采购文件要求提供与资格条件相应的有效资格证明材料的，视为供应商不具备采购文件中规定的资格要求，其投标无效。</w:t>
      </w:r>
    </w:p>
    <w:p>
      <w:pPr>
        <w:pStyle w:val="11"/>
        <w:spacing w:line="500" w:lineRule="exact"/>
        <w:ind w:firstLine="360" w:firstLineChars="150"/>
        <w:rPr>
          <w:rFonts w:hAnsi="宋体" w:cs="宋体"/>
          <w:snapToGrid w:val="0"/>
          <w:kern w:val="0"/>
          <w:sz w:val="24"/>
          <w:szCs w:val="24"/>
          <w:highlight w:val="none"/>
        </w:rPr>
      </w:pPr>
      <w:r>
        <w:rPr>
          <w:rFonts w:hint="eastAsia" w:hAnsi="宋体" w:cs="宋体"/>
          <w:snapToGrid w:val="0"/>
          <w:kern w:val="0"/>
          <w:sz w:val="24"/>
          <w:szCs w:val="24"/>
          <w:highlight w:val="none"/>
        </w:rPr>
        <w:t>23.4对未通过资格审查的供应商，采购人或代理机构告知其未通过的原因。</w:t>
      </w:r>
    </w:p>
    <w:p>
      <w:pPr>
        <w:pStyle w:val="11"/>
        <w:spacing w:line="500" w:lineRule="exact"/>
        <w:ind w:firstLine="360" w:firstLineChars="150"/>
        <w:rPr>
          <w:rFonts w:hAnsi="宋体" w:cs="宋体"/>
          <w:snapToGrid w:val="0"/>
          <w:kern w:val="0"/>
          <w:sz w:val="24"/>
          <w:szCs w:val="24"/>
          <w:highlight w:val="none"/>
        </w:rPr>
      </w:pPr>
      <w:r>
        <w:rPr>
          <w:rFonts w:hint="eastAsia" w:hAnsi="宋体" w:cs="宋体"/>
          <w:snapToGrid w:val="0"/>
          <w:kern w:val="0"/>
          <w:sz w:val="24"/>
          <w:szCs w:val="24"/>
          <w:highlight w:val="none"/>
        </w:rPr>
        <w:t>23.5合格供应商不足3家的，不再评标。</w:t>
      </w:r>
    </w:p>
    <w:p>
      <w:pPr>
        <w:pStyle w:val="27"/>
        <w:spacing w:before="0" w:line="500" w:lineRule="exact"/>
        <w:ind w:firstLine="562"/>
        <w:rPr>
          <w:rFonts w:ascii="宋体" w:hAnsi="宋体" w:cs="宋体"/>
          <w:b/>
          <w:bCs/>
          <w:snapToGrid w:val="0"/>
          <w:kern w:val="0"/>
          <w:sz w:val="28"/>
          <w:szCs w:val="28"/>
          <w:highlight w:val="none"/>
        </w:rPr>
      </w:pPr>
      <w:r>
        <w:rPr>
          <w:rFonts w:hint="eastAsia" w:ascii="宋体" w:hAnsi="宋体" w:cs="宋体"/>
          <w:b/>
          <w:bCs/>
          <w:snapToGrid w:val="0"/>
          <w:kern w:val="0"/>
          <w:sz w:val="28"/>
          <w:szCs w:val="28"/>
          <w:highlight w:val="none"/>
        </w:rPr>
        <w:t>24.信用信息查询</w:t>
      </w:r>
    </w:p>
    <w:p>
      <w:pPr>
        <w:pStyle w:val="27"/>
        <w:spacing w:before="0" w:line="500" w:lineRule="exact"/>
        <w:ind w:firstLine="480"/>
        <w:rPr>
          <w:rFonts w:ascii="宋体" w:hAnsi="宋体" w:cs="宋体"/>
          <w:snapToGrid w:val="0"/>
          <w:kern w:val="0"/>
          <w:szCs w:val="24"/>
          <w:highlight w:val="none"/>
        </w:rPr>
      </w:pPr>
      <w:r>
        <w:rPr>
          <w:rFonts w:hint="eastAsia" w:ascii="宋体" w:hAnsi="宋体" w:cs="宋体"/>
          <w:snapToGrid w:val="0"/>
          <w:kern w:val="0"/>
          <w:szCs w:val="24"/>
          <w:highlight w:val="none"/>
        </w:rPr>
        <w:t>24.1信用信息查询渠道及截止时间：代理机构将通过“信用中国”网站(www.creditchina.gov.cn)、中国政府采购网(www.ccgp.gov.cn)、</w:t>
      </w:r>
      <w:r>
        <w:rPr>
          <w:rFonts w:hint="eastAsia" w:ascii="宋体" w:hAnsi="宋体" w:cs="宋体"/>
          <w:szCs w:val="24"/>
          <w:highlight w:val="none"/>
        </w:rPr>
        <w:t>浙江政府采购网（ccgp-zhejiang.gov.cn）</w:t>
      </w:r>
      <w:r>
        <w:rPr>
          <w:rFonts w:hint="eastAsia" w:ascii="宋体" w:hAnsi="宋体" w:cs="宋体"/>
          <w:snapToGrid w:val="0"/>
          <w:kern w:val="0"/>
          <w:szCs w:val="24"/>
          <w:highlight w:val="none"/>
        </w:rPr>
        <w:t>渠道查询</w:t>
      </w:r>
      <w:r>
        <w:rPr>
          <w:rFonts w:hint="eastAsia" w:ascii="宋体" w:hAnsi="宋体" w:cs="宋体"/>
          <w:szCs w:val="24"/>
          <w:highlight w:val="none"/>
        </w:rPr>
        <w:t>供应商</w:t>
      </w:r>
      <w:r>
        <w:rPr>
          <w:rFonts w:hint="eastAsia" w:ascii="宋体" w:hAnsi="宋体" w:cs="宋体"/>
          <w:snapToGrid w:val="0"/>
          <w:kern w:val="0"/>
          <w:szCs w:val="24"/>
          <w:highlight w:val="none"/>
        </w:rPr>
        <w:t>投标截止时间当天前三年内的信用记录。</w:t>
      </w:r>
    </w:p>
    <w:p>
      <w:pPr>
        <w:pStyle w:val="27"/>
        <w:spacing w:before="0" w:line="500" w:lineRule="exact"/>
        <w:ind w:firstLine="480"/>
        <w:rPr>
          <w:rFonts w:ascii="宋体" w:hAnsi="宋体" w:cs="宋体"/>
          <w:snapToGrid w:val="0"/>
          <w:kern w:val="0"/>
          <w:szCs w:val="24"/>
          <w:highlight w:val="none"/>
        </w:rPr>
      </w:pPr>
      <w:r>
        <w:rPr>
          <w:rFonts w:hint="eastAsia" w:ascii="宋体" w:hAnsi="宋体" w:cs="宋体"/>
          <w:snapToGrid w:val="0"/>
          <w:kern w:val="0"/>
          <w:szCs w:val="24"/>
          <w:highlight w:val="none"/>
        </w:rPr>
        <w:t>24.2信用信息查询记录和证据留存的具体方式：现场查询的</w:t>
      </w:r>
      <w:r>
        <w:rPr>
          <w:rFonts w:hint="eastAsia" w:ascii="宋体" w:hAnsi="宋体" w:cs="宋体"/>
          <w:szCs w:val="24"/>
          <w:highlight w:val="none"/>
        </w:rPr>
        <w:t>供应商</w:t>
      </w:r>
      <w:r>
        <w:rPr>
          <w:rFonts w:hint="eastAsia" w:ascii="宋体" w:hAnsi="宋体" w:cs="宋体"/>
          <w:snapToGrid w:val="0"/>
          <w:kern w:val="0"/>
          <w:szCs w:val="24"/>
          <w:highlight w:val="none"/>
        </w:rPr>
        <w:t>的信用记录、查询结果经确认后将与采购文件一起存档。</w:t>
      </w:r>
    </w:p>
    <w:p>
      <w:pPr>
        <w:pStyle w:val="27"/>
        <w:spacing w:before="0" w:line="500" w:lineRule="exact"/>
        <w:ind w:firstLine="480"/>
        <w:rPr>
          <w:rFonts w:ascii="宋体" w:hAnsi="宋体" w:cs="宋体"/>
          <w:snapToGrid w:val="0"/>
          <w:kern w:val="0"/>
          <w:szCs w:val="24"/>
          <w:highlight w:val="none"/>
        </w:rPr>
      </w:pPr>
      <w:r>
        <w:rPr>
          <w:rFonts w:hint="eastAsia" w:ascii="宋体" w:hAnsi="宋体" w:cs="宋体"/>
          <w:snapToGrid w:val="0"/>
          <w:kern w:val="0"/>
          <w:szCs w:val="24"/>
          <w:highlight w:val="none"/>
        </w:rPr>
        <w:t>24.3信用信息的使用规则：经查询列入</w:t>
      </w:r>
      <w:r>
        <w:rPr>
          <w:rFonts w:hint="eastAsia" w:ascii="宋体" w:hAnsi="宋体" w:cs="宋体"/>
          <w:szCs w:val="24"/>
          <w:highlight w:val="none"/>
        </w:rPr>
        <w:t>被列入失信被执行人、重大税收违法案件当事人名单、政府采购严重违法失信行为记录名单或浙江政府采购网曝光台中尚在行政处罚期内及其它不符合《中华人民共和国政府采购法》第二十二条规定条件的情形</w:t>
      </w:r>
      <w:r>
        <w:rPr>
          <w:rFonts w:hint="eastAsia" w:ascii="宋体" w:hAnsi="宋体" w:cs="宋体"/>
          <w:snapToGrid w:val="0"/>
          <w:kern w:val="0"/>
          <w:szCs w:val="24"/>
          <w:highlight w:val="none"/>
        </w:rPr>
        <w:t>的</w:t>
      </w:r>
      <w:r>
        <w:rPr>
          <w:rFonts w:hint="eastAsia" w:ascii="宋体" w:hAnsi="宋体" w:cs="宋体"/>
          <w:szCs w:val="24"/>
          <w:highlight w:val="none"/>
        </w:rPr>
        <w:t>供应商</w:t>
      </w:r>
      <w:r>
        <w:rPr>
          <w:rFonts w:hint="eastAsia" w:ascii="宋体" w:hAnsi="宋体" w:cs="宋体"/>
          <w:snapToGrid w:val="0"/>
          <w:kern w:val="0"/>
          <w:szCs w:val="24"/>
          <w:highlight w:val="none"/>
        </w:rPr>
        <w:t>将被拒绝参与政府采购活动。</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24.4联合体信用信息查询：两个以上的自然人、法人或者其他组织组成一个联合体，以一个</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的身份共同参加政府采购活动的，应当对所有联合体成员进行信用记录查询，联合体成员存在不良信用记录的，视同联合体存在不良信用记录。（本项目不适用）</w:t>
      </w:r>
    </w:p>
    <w:p>
      <w:pPr>
        <w:adjustRightInd w:val="0"/>
        <w:snapToGrid w:val="0"/>
        <w:spacing w:line="500" w:lineRule="exact"/>
        <w:ind w:firstLine="562" w:firstLineChars="200"/>
        <w:jc w:val="left"/>
        <w:rPr>
          <w:rFonts w:ascii="宋体" w:hAnsi="宋体" w:cs="宋体"/>
          <w:b/>
          <w:bCs/>
          <w:sz w:val="28"/>
          <w:szCs w:val="28"/>
          <w:highlight w:val="none"/>
        </w:rPr>
      </w:pPr>
      <w:r>
        <w:rPr>
          <w:rFonts w:hint="eastAsia" w:ascii="宋体" w:hAnsi="宋体" w:cs="宋体"/>
          <w:b/>
          <w:bCs/>
          <w:sz w:val="28"/>
          <w:szCs w:val="28"/>
          <w:highlight w:val="none"/>
        </w:rPr>
        <w:t>25.评标程序</w:t>
      </w:r>
    </w:p>
    <w:p>
      <w:pPr>
        <w:pStyle w:val="27"/>
        <w:spacing w:before="0" w:line="500" w:lineRule="exact"/>
        <w:ind w:firstLine="482"/>
        <w:rPr>
          <w:rFonts w:ascii="宋体" w:hAnsi="宋体" w:cs="宋体"/>
          <w:snapToGrid w:val="0"/>
          <w:kern w:val="0"/>
          <w:szCs w:val="24"/>
          <w:highlight w:val="none"/>
        </w:rPr>
      </w:pPr>
      <w:r>
        <w:rPr>
          <w:rFonts w:hint="eastAsia" w:ascii="宋体" w:hAnsi="宋体" w:cs="宋体"/>
          <w:b/>
          <w:bCs/>
          <w:snapToGrid w:val="0"/>
          <w:kern w:val="0"/>
          <w:szCs w:val="24"/>
          <w:highlight w:val="none"/>
        </w:rPr>
        <w:t>25.1符合性审查：</w:t>
      </w:r>
      <w:r>
        <w:rPr>
          <w:rFonts w:hint="eastAsia" w:ascii="宋体" w:hAnsi="宋体" w:cs="宋体"/>
          <w:snapToGrid w:val="0"/>
          <w:kern w:val="0"/>
          <w:szCs w:val="24"/>
          <w:highlight w:val="none"/>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w:t>
      </w:r>
      <w:r>
        <w:rPr>
          <w:rFonts w:hint="eastAsia" w:ascii="宋体" w:hAnsi="宋体" w:cs="宋体"/>
          <w:snapToGrid w:val="0"/>
          <w:kern w:val="0"/>
          <w:szCs w:val="24"/>
          <w:highlight w:val="none"/>
          <w:lang w:eastAsia="zh-CN"/>
        </w:rPr>
        <w:t>，</w:t>
      </w:r>
      <w:r>
        <w:rPr>
          <w:rFonts w:hint="eastAsia" w:ascii="宋体" w:hAnsi="宋体" w:cs="宋体"/>
          <w:snapToGrid w:val="0"/>
          <w:kern w:val="0"/>
          <w:szCs w:val="24"/>
          <w:highlight w:val="none"/>
        </w:rPr>
        <w:t>纠正这些显著差异或保留将会对其他实质上响应招标文件要求的投标文件的</w:t>
      </w:r>
      <w:r>
        <w:rPr>
          <w:rFonts w:hint="eastAsia" w:ascii="宋体" w:hAnsi="宋体" w:cs="宋体"/>
          <w:szCs w:val="24"/>
          <w:highlight w:val="none"/>
        </w:rPr>
        <w:t>供应商</w:t>
      </w:r>
      <w:r>
        <w:rPr>
          <w:rFonts w:hint="eastAsia" w:ascii="宋体" w:hAnsi="宋体" w:cs="宋体"/>
          <w:snapToGrid w:val="0"/>
          <w:kern w:val="0"/>
          <w:szCs w:val="24"/>
          <w:highlight w:val="none"/>
        </w:rPr>
        <w:t>的竞争地位产生不公正的影响。评标委员会决定投标文件的响应性只根据投标文件本身的内容，而不寻求外部证据。如果投标文件实质不响应招标文件的各项要求，评标委员会将予以拒绝，并且不允许</w:t>
      </w:r>
      <w:r>
        <w:rPr>
          <w:rFonts w:hint="eastAsia" w:ascii="宋体" w:hAnsi="宋体" w:cs="宋体"/>
          <w:szCs w:val="24"/>
          <w:highlight w:val="none"/>
        </w:rPr>
        <w:t>供应商</w:t>
      </w:r>
      <w:r>
        <w:rPr>
          <w:rFonts w:hint="eastAsia" w:ascii="宋体" w:hAnsi="宋体" w:cs="宋体"/>
          <w:snapToGrid w:val="0"/>
          <w:kern w:val="0"/>
          <w:szCs w:val="24"/>
          <w:highlight w:val="none"/>
        </w:rPr>
        <w:t>通过修改或撤销其不符合要求的差异或保留，使之成为具有实质性响应的投标。符合投标无效情形的，投标无效。</w:t>
      </w:r>
    </w:p>
    <w:p>
      <w:pPr>
        <w:widowControl/>
        <w:adjustRightInd w:val="0"/>
        <w:snapToGrid w:val="0"/>
        <w:spacing w:line="500" w:lineRule="exact"/>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如发现下列情形之一的，投标文件将被视为无效投标：</w:t>
      </w:r>
    </w:p>
    <w:p>
      <w:pPr>
        <w:widowControl/>
        <w:numPr>
          <w:ilvl w:val="0"/>
          <w:numId w:val="4"/>
        </w:num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单位负责人为同一人或者存在直接控股、管理关系的不同供应商参加同一合同项下的政府采购活动的（均无效）；</w:t>
      </w:r>
    </w:p>
    <w:p>
      <w:pPr>
        <w:widowControl/>
        <w:numPr>
          <w:ilvl w:val="0"/>
          <w:numId w:val="4"/>
        </w:num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napToGrid w:val="0"/>
          <w:kern w:val="0"/>
          <w:sz w:val="24"/>
          <w:szCs w:val="24"/>
          <w:highlight w:val="none"/>
        </w:rPr>
        <w:t>为采购项目提供整体设计、规范编制或者项目管理、监理、检测等服务的</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再参加该采购项目的其他采购活动的；</w:t>
      </w:r>
    </w:p>
    <w:p>
      <w:pPr>
        <w:widowControl/>
        <w:numPr>
          <w:ilvl w:val="0"/>
          <w:numId w:val="4"/>
        </w:num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napToGrid w:val="0"/>
          <w:kern w:val="0"/>
          <w:sz w:val="24"/>
          <w:szCs w:val="24"/>
          <w:highlight w:val="none"/>
        </w:rPr>
        <w:t>如以联合体形式参加政府采购活动的，联合体协议不符合采购文件规定的联合体协议要求的；；</w:t>
      </w:r>
    </w:p>
    <w:p>
      <w:pPr>
        <w:widowControl/>
        <w:numPr>
          <w:ilvl w:val="0"/>
          <w:numId w:val="4"/>
        </w:num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napToGrid w:val="0"/>
          <w:kern w:val="0"/>
          <w:sz w:val="24"/>
          <w:szCs w:val="24"/>
          <w:highlight w:val="none"/>
        </w:rPr>
        <w:t>投标文件未按规定的格式编制的；</w:t>
      </w:r>
    </w:p>
    <w:p>
      <w:pPr>
        <w:widowControl/>
        <w:numPr>
          <w:ilvl w:val="0"/>
          <w:numId w:val="4"/>
        </w:num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napToGrid w:val="0"/>
          <w:kern w:val="0"/>
          <w:sz w:val="24"/>
          <w:szCs w:val="24"/>
          <w:highlight w:val="none"/>
        </w:rPr>
        <w:t>投标文件未按采购文件的澄清、修改的内容编制，又不符合实质性要求的；</w:t>
      </w:r>
    </w:p>
    <w:p>
      <w:pPr>
        <w:widowControl/>
        <w:numPr>
          <w:ilvl w:val="0"/>
          <w:numId w:val="4"/>
        </w:num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napToGrid w:val="0"/>
          <w:kern w:val="0"/>
          <w:sz w:val="24"/>
          <w:szCs w:val="24"/>
          <w:highlight w:val="none"/>
        </w:rPr>
        <w:t>投标文件组成漏项，内容不全或内容字迹模糊辨认不清的；</w:t>
      </w:r>
    </w:p>
    <w:p>
      <w:pPr>
        <w:widowControl/>
        <w:numPr>
          <w:ilvl w:val="0"/>
          <w:numId w:val="4"/>
        </w:num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napToGrid w:val="0"/>
          <w:kern w:val="0"/>
          <w:sz w:val="24"/>
          <w:szCs w:val="24"/>
          <w:highlight w:val="none"/>
        </w:rPr>
        <w:t>《报价一览表》填写不完整或字迹不能辨认或有漏项的；</w:t>
      </w:r>
    </w:p>
    <w:p>
      <w:pPr>
        <w:widowControl/>
        <w:numPr>
          <w:ilvl w:val="0"/>
          <w:numId w:val="4"/>
        </w:num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投标文件未按照招标文件要求签署、盖章的；</w:t>
      </w:r>
    </w:p>
    <w:p>
      <w:pPr>
        <w:widowControl/>
        <w:numPr>
          <w:ilvl w:val="0"/>
          <w:numId w:val="4"/>
        </w:numPr>
        <w:adjustRightInd w:val="0"/>
        <w:snapToGrid w:val="0"/>
        <w:spacing w:line="500" w:lineRule="exact"/>
        <w:ind w:firstLine="480" w:firstLineChars="200"/>
        <w:rPr>
          <w:rFonts w:ascii="宋体" w:hAnsi="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不具备招标文件中规定的资格要求的；</w:t>
      </w:r>
    </w:p>
    <w:p>
      <w:pPr>
        <w:widowControl/>
        <w:numPr>
          <w:ilvl w:val="0"/>
          <w:numId w:val="4"/>
        </w:num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投标文件含有采购人不能接受的附加条件的；</w:t>
      </w:r>
    </w:p>
    <w:p>
      <w:pPr>
        <w:widowControl/>
        <w:numPr>
          <w:ilvl w:val="0"/>
          <w:numId w:val="4"/>
        </w:num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投标文件中承诺的投标有效期少于招标文件中载明的投标有效期的；</w:t>
      </w:r>
    </w:p>
    <w:p>
      <w:pPr>
        <w:widowControl/>
        <w:numPr>
          <w:ilvl w:val="0"/>
          <w:numId w:val="4"/>
        </w:num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投标文件出现不是唯一的、有选择性投标报价的；</w:t>
      </w:r>
    </w:p>
    <w:p>
      <w:pPr>
        <w:widowControl/>
        <w:numPr>
          <w:ilvl w:val="0"/>
          <w:numId w:val="4"/>
        </w:num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投标报价超过招标文件中规定的预算金额或者最高限价的</w:t>
      </w:r>
      <w:r>
        <w:rPr>
          <w:rFonts w:hint="eastAsia" w:ascii="宋体" w:hAnsi="宋体" w:cs="宋体"/>
          <w:sz w:val="24"/>
          <w:szCs w:val="24"/>
          <w:highlight w:val="none"/>
          <w:lang w:val="en-US" w:eastAsia="zh-CN"/>
        </w:rPr>
        <w:t>或者单项最高限价的</w:t>
      </w:r>
      <w:r>
        <w:rPr>
          <w:rFonts w:hint="eastAsia" w:ascii="宋体" w:hAnsi="宋体" w:cs="宋体"/>
          <w:sz w:val="24"/>
          <w:szCs w:val="24"/>
          <w:highlight w:val="none"/>
        </w:rPr>
        <w:t>；</w:t>
      </w:r>
    </w:p>
    <w:p>
      <w:pPr>
        <w:widowControl/>
        <w:numPr>
          <w:ilvl w:val="0"/>
          <w:numId w:val="4"/>
        </w:num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报价明显低于其他通过符合性审查投标人的报价，有可能影响产品质量或者不能诚信履约的，未能按要求提供书面说明或者提交相关证明材料，不能证明其报价合理性的；</w:t>
      </w:r>
    </w:p>
    <w:p>
      <w:pPr>
        <w:widowControl/>
        <w:numPr>
          <w:ilvl w:val="0"/>
          <w:numId w:val="4"/>
        </w:num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投标人对根据修正原则修正后的报价不确认的；</w:t>
      </w:r>
    </w:p>
    <w:p>
      <w:pPr>
        <w:widowControl/>
        <w:numPr>
          <w:ilvl w:val="0"/>
          <w:numId w:val="4"/>
        </w:num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投标人仅提交备份投标文件，未在电子交易平台传输递交投标文件的，投标无效；</w:t>
      </w:r>
    </w:p>
    <w:p>
      <w:pPr>
        <w:widowControl/>
        <w:numPr>
          <w:ilvl w:val="0"/>
          <w:numId w:val="4"/>
        </w:numPr>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对一个标项存在一个或一个以上备选（替代）投标方案的；</w:t>
      </w:r>
    </w:p>
    <w:p>
      <w:pPr>
        <w:widowControl/>
        <w:numPr>
          <w:ilvl w:val="0"/>
          <w:numId w:val="4"/>
        </w:numPr>
        <w:adjustRightInd w:val="0"/>
        <w:snapToGrid w:val="0"/>
        <w:spacing w:line="500" w:lineRule="exact"/>
        <w:ind w:firstLine="480" w:firstLineChars="200"/>
        <w:rPr>
          <w:rFonts w:ascii="宋体" w:hAnsi="宋体" w:cs="宋体"/>
          <w:sz w:val="24"/>
          <w:highlight w:val="none"/>
        </w:rPr>
      </w:pPr>
      <w:r>
        <w:rPr>
          <w:rFonts w:hint="eastAsia" w:ascii="宋体" w:hAnsi="宋体" w:cs="宋体"/>
          <w:sz w:val="24"/>
          <w:szCs w:val="24"/>
          <w:highlight w:val="none"/>
        </w:rPr>
        <w:t>未采用人民币报价或者未按照招标文件标明的币种报价的；</w:t>
      </w:r>
    </w:p>
    <w:p>
      <w:pPr>
        <w:widowControl/>
        <w:numPr>
          <w:ilvl w:val="0"/>
          <w:numId w:val="4"/>
        </w:numPr>
        <w:adjustRightInd w:val="0"/>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投标文件没有对本采购文件作出实质性响应的，或不满足（不响应）本采购文件中标注“▲”的实质性要求条款的，或存在采购文件中明确规定的其他无效响应文件情形的；</w:t>
      </w:r>
    </w:p>
    <w:p>
      <w:pPr>
        <w:widowControl/>
        <w:numPr>
          <w:ilvl w:val="0"/>
          <w:numId w:val="4"/>
        </w:numPr>
        <w:adjustRightInd w:val="0"/>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供应商提供虚假材料响应的（包括但不限于以下情节）；</w:t>
      </w:r>
    </w:p>
    <w:p>
      <w:pPr>
        <w:pStyle w:val="2"/>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使用伪造、变造的许可证件；</w:t>
      </w:r>
    </w:p>
    <w:p>
      <w:pPr>
        <w:pStyle w:val="2"/>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提供虚假的财务状况或者业绩；</w:t>
      </w:r>
    </w:p>
    <w:p>
      <w:pPr>
        <w:pStyle w:val="2"/>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提供虚假的项目负责人或者主要技术人员简历、劳动关系证明；</w:t>
      </w:r>
    </w:p>
    <w:p>
      <w:pPr>
        <w:pStyle w:val="2"/>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提供虚假的信用状况；</w:t>
      </w:r>
    </w:p>
    <w:p>
      <w:pPr>
        <w:pStyle w:val="2"/>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其他弄虚作假的行为。</w:t>
      </w:r>
    </w:p>
    <w:p>
      <w:pPr>
        <w:pStyle w:val="2"/>
        <w:spacing w:line="500" w:lineRule="exact"/>
        <w:ind w:firstLine="480"/>
        <w:rPr>
          <w:rFonts w:ascii="宋体" w:hAnsi="宋体" w:cs="宋体"/>
          <w:sz w:val="24"/>
          <w:highlight w:val="none"/>
        </w:rPr>
      </w:pPr>
      <w:r>
        <w:rPr>
          <w:rFonts w:hint="eastAsia" w:ascii="宋体" w:hAnsi="宋体" w:cs="宋体"/>
          <w:sz w:val="24"/>
          <w:highlight w:val="none"/>
        </w:rPr>
        <w:t>（21）供应商有恶意串通、妨碍其他供应商的竞争行为、损害采购人或者其他供应商的合法权益情形的，有下列情形之一的，属于或视为恶意串通，其响应无效：</w:t>
      </w:r>
    </w:p>
    <w:p>
      <w:pPr>
        <w:pStyle w:val="2"/>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供应商直接或者间接从采购人或者采购代理机构处获得其他供应商的相关情况并修改其投标文件；</w:t>
      </w:r>
    </w:p>
    <w:p>
      <w:pPr>
        <w:pStyle w:val="2"/>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供应商按照采购人或者采购代理机构的授意撤换、修改投标文件或者响应文件；</w:t>
      </w:r>
    </w:p>
    <w:p>
      <w:pPr>
        <w:pStyle w:val="2"/>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供应商之间协商报价、技术方案等投标文件或者响应文件的实质性内容；</w:t>
      </w:r>
    </w:p>
    <w:p>
      <w:pPr>
        <w:pStyle w:val="2"/>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属于同一集团、协会、商会等组织成员的供应商按照该组织要求协同参加政府采购活动；</w:t>
      </w:r>
    </w:p>
    <w:p>
      <w:pPr>
        <w:pStyle w:val="2"/>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供应商之间事先约定由某一特定供应商中标、成交；</w:t>
      </w:r>
    </w:p>
    <w:p>
      <w:pPr>
        <w:pStyle w:val="2"/>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供应商之间商定部分供应商放弃参加政府采购活动或者放弃中标、成交；</w:t>
      </w:r>
    </w:p>
    <w:p>
      <w:pPr>
        <w:pStyle w:val="2"/>
        <w:spacing w:line="500" w:lineRule="exact"/>
        <w:ind w:firstLine="720" w:firstLineChars="300"/>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供应商与采购人或者采购代理机构之间、供应商相互之间，为谋求特定供应商中标、成交或者排斥其他供应商的其他串通行为。</w:t>
      </w:r>
    </w:p>
    <w:p>
      <w:pPr>
        <w:pStyle w:val="2"/>
        <w:spacing w:line="500" w:lineRule="exact"/>
        <w:rPr>
          <w:rFonts w:hint="eastAsia" w:ascii="宋体" w:hAnsi="宋体" w:cs="宋体"/>
          <w:sz w:val="24"/>
          <w:highlight w:val="none"/>
        </w:rPr>
      </w:pP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lang w:val="en-US" w:eastAsia="zh-CN"/>
        </w:rPr>
        <w:t>22</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有下列情形之一的，视为投标人串通投标，其投标无效：</w:t>
      </w:r>
    </w:p>
    <w:p>
      <w:pPr>
        <w:pStyle w:val="2"/>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不同供应商的响应文件由同一单位或者个人编制；</w:t>
      </w:r>
    </w:p>
    <w:p>
      <w:pPr>
        <w:pStyle w:val="2"/>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不同供应商委托同一单位或者个人办理响应事宜；</w:t>
      </w:r>
    </w:p>
    <w:p>
      <w:pPr>
        <w:pStyle w:val="2"/>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不同供应商的响应文件载明的项目管理成员或者联系人员为同一人；</w:t>
      </w:r>
    </w:p>
    <w:p>
      <w:pPr>
        <w:pStyle w:val="2"/>
        <w:spacing w:line="500" w:lineRule="exact"/>
        <w:ind w:firstLine="720" w:firstLineChars="300"/>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不同供应商的响应文件异常一致或者最后报价呈规律性差异；</w:t>
      </w:r>
    </w:p>
    <w:p>
      <w:pPr>
        <w:pStyle w:val="2"/>
        <w:spacing w:line="500" w:lineRule="exact"/>
        <w:ind w:firstLine="720" w:firstLineChars="300"/>
        <w:rPr>
          <w:rFonts w:hint="eastAsia" w:ascii="宋体" w:hAnsi="宋体" w:cs="宋体"/>
          <w:sz w:val="24"/>
          <w:highlight w:val="none"/>
          <w:lang w:eastAsia="zh-CN"/>
        </w:rPr>
      </w:pPr>
      <w:r>
        <w:rPr>
          <w:rFonts w:hint="eastAsia" w:ascii="宋体" w:hAnsi="宋体" w:cs="宋体"/>
          <w:sz w:val="24"/>
          <w:highlight w:val="none"/>
          <w:lang w:val="en-US" w:eastAsia="zh-CN"/>
        </w:rPr>
        <w:t>5）</w:t>
      </w:r>
      <w:r>
        <w:rPr>
          <w:rFonts w:hint="eastAsia" w:ascii="宋体" w:hAnsi="宋体" w:cs="宋体"/>
          <w:sz w:val="24"/>
          <w:highlight w:val="none"/>
        </w:rPr>
        <w:t>不同供应商的响应文件相互混装</w:t>
      </w:r>
      <w:r>
        <w:rPr>
          <w:rFonts w:hint="eastAsia" w:ascii="宋体" w:hAnsi="宋体" w:cs="宋体"/>
          <w:sz w:val="24"/>
          <w:highlight w:val="none"/>
          <w:lang w:eastAsia="zh-CN"/>
        </w:rPr>
        <w:t>；</w:t>
      </w:r>
    </w:p>
    <w:p>
      <w:pPr>
        <w:pStyle w:val="2"/>
        <w:spacing w:line="500" w:lineRule="exact"/>
        <w:ind w:firstLine="720" w:firstLineChars="300"/>
        <w:rPr>
          <w:rFonts w:hint="eastAsia" w:ascii="宋体" w:hAnsi="宋体" w:cs="宋体"/>
          <w:sz w:val="24"/>
          <w:highlight w:val="none"/>
          <w:lang w:val="en-US" w:eastAsia="zh-CN"/>
        </w:rPr>
      </w:pPr>
      <w:r>
        <w:rPr>
          <w:rFonts w:hint="eastAsia" w:ascii="宋体" w:hAnsi="宋体" w:cs="宋体"/>
          <w:sz w:val="24"/>
          <w:highlight w:val="none"/>
          <w:lang w:val="en-US" w:eastAsia="zh-CN"/>
        </w:rPr>
        <w:t>6）</w:t>
      </w:r>
      <w:r>
        <w:rPr>
          <w:rFonts w:hint="eastAsia" w:ascii="宋体" w:hAnsi="宋体" w:cs="宋体"/>
          <w:sz w:val="24"/>
          <w:highlight w:val="none"/>
        </w:rPr>
        <w:t>不同供应商</w:t>
      </w:r>
      <w:r>
        <w:rPr>
          <w:rFonts w:hint="eastAsia" w:ascii="宋体" w:hAnsi="宋体" w:cs="宋体"/>
          <w:sz w:val="24"/>
          <w:highlight w:val="none"/>
          <w:lang w:val="en-US" w:eastAsia="zh-CN"/>
        </w:rPr>
        <w:t>出现</w:t>
      </w:r>
      <w:r>
        <w:rPr>
          <w:rFonts w:hint="eastAsia" w:ascii="宋体" w:hAnsi="宋体" w:cs="宋体"/>
          <w:sz w:val="24"/>
          <w:highlight w:val="none"/>
        </w:rPr>
        <w:t>MAC地址相同、计算机硬盘序列号相同、采购文件细节错误一致且无合理解释等情形</w:t>
      </w:r>
      <w:r>
        <w:rPr>
          <w:rFonts w:hint="eastAsia" w:ascii="宋体" w:hAnsi="宋体" w:cs="宋体"/>
          <w:sz w:val="24"/>
          <w:highlight w:val="none"/>
          <w:lang w:eastAsia="zh-CN"/>
        </w:rPr>
        <w:t>；</w:t>
      </w:r>
    </w:p>
    <w:p>
      <w:pPr>
        <w:widowControl/>
        <w:adjustRightInd w:val="0"/>
        <w:snapToGrid w:val="0"/>
        <w:spacing w:line="500" w:lineRule="exact"/>
        <w:ind w:firstLine="480" w:firstLineChars="200"/>
        <w:rPr>
          <w:rFonts w:ascii="宋体" w:hAnsi="宋体" w:cs="宋体"/>
          <w:sz w:val="24"/>
          <w:szCs w:val="24"/>
          <w:highlight w:val="none"/>
          <w:lang w:val="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3</w:t>
      </w:r>
      <w:r>
        <w:rPr>
          <w:rFonts w:hint="eastAsia" w:ascii="宋体" w:hAnsi="宋体" w:cs="宋体"/>
          <w:sz w:val="24"/>
          <w:szCs w:val="24"/>
          <w:highlight w:val="none"/>
        </w:rPr>
        <w:t>）法律、法规、规章（适用本市的）及省级以上规范性文件（适用本市的）规定的其他无效情形；</w:t>
      </w:r>
    </w:p>
    <w:p>
      <w:pPr>
        <w:pStyle w:val="27"/>
        <w:spacing w:before="0" w:line="500" w:lineRule="exact"/>
        <w:ind w:firstLine="549" w:firstLineChars="228"/>
        <w:rPr>
          <w:rFonts w:ascii="宋体" w:hAnsi="宋体" w:cs="宋体"/>
          <w:snapToGrid w:val="0"/>
          <w:kern w:val="0"/>
          <w:szCs w:val="24"/>
          <w:highlight w:val="none"/>
        </w:rPr>
      </w:pPr>
      <w:r>
        <w:rPr>
          <w:rFonts w:hint="eastAsia" w:ascii="宋体" w:hAnsi="宋体" w:cs="宋体"/>
          <w:b/>
          <w:bCs/>
          <w:snapToGrid w:val="0"/>
          <w:kern w:val="0"/>
          <w:szCs w:val="24"/>
          <w:highlight w:val="none"/>
        </w:rPr>
        <w:t>25.2投标人澄清、说明或者补正：</w:t>
      </w:r>
      <w:r>
        <w:rPr>
          <w:rFonts w:hint="eastAsia" w:ascii="宋体" w:hAnsi="宋体" w:cs="宋体"/>
          <w:snapToGrid w:val="0"/>
          <w:kern w:val="0"/>
          <w:szCs w:val="24"/>
          <w:highlight w:val="none"/>
        </w:rPr>
        <w:t>对于投标文件中含义不明确、同类问题表述不一致或者有明显文字和计算错误的内容需要投标人作出必要的澄清、说明或者补正的，评标委员会和</w:t>
      </w:r>
      <w:r>
        <w:rPr>
          <w:rFonts w:hint="eastAsia" w:ascii="宋体" w:hAnsi="宋体" w:cs="宋体"/>
          <w:szCs w:val="24"/>
          <w:highlight w:val="none"/>
        </w:rPr>
        <w:t>供应商</w:t>
      </w:r>
      <w:r>
        <w:rPr>
          <w:rFonts w:hint="eastAsia" w:ascii="宋体" w:hAnsi="宋体" w:cs="宋体"/>
          <w:snapToGrid w:val="0"/>
          <w:kern w:val="0"/>
          <w:szCs w:val="24"/>
          <w:highlight w:val="none"/>
        </w:rPr>
        <w:t>通过电子交易平台交换数据电文，</w:t>
      </w:r>
      <w:r>
        <w:rPr>
          <w:rFonts w:hint="eastAsia" w:ascii="宋体" w:hAnsi="宋体" w:cs="宋体"/>
          <w:szCs w:val="24"/>
          <w:highlight w:val="none"/>
        </w:rPr>
        <w:t>供应商</w:t>
      </w:r>
      <w:r>
        <w:rPr>
          <w:rFonts w:hint="eastAsia" w:ascii="宋体" w:hAnsi="宋体" w:cs="宋体"/>
          <w:snapToGrid w:val="0"/>
          <w:kern w:val="0"/>
          <w:szCs w:val="24"/>
          <w:highlight w:val="none"/>
        </w:rPr>
        <w:t>提交使用电子签名的相关数据电文或通过平台上传加盖公章的扫描件。给予</w:t>
      </w:r>
      <w:r>
        <w:rPr>
          <w:rFonts w:hint="eastAsia" w:ascii="宋体" w:hAnsi="宋体" w:cs="宋体"/>
          <w:szCs w:val="24"/>
          <w:highlight w:val="none"/>
        </w:rPr>
        <w:t>供应商</w:t>
      </w:r>
      <w:r>
        <w:rPr>
          <w:rFonts w:hint="eastAsia" w:ascii="宋体" w:hAnsi="宋体" w:cs="宋体"/>
          <w:snapToGrid w:val="0"/>
          <w:kern w:val="0"/>
          <w:szCs w:val="24"/>
          <w:highlight w:val="none"/>
        </w:rPr>
        <w:t>提交澄清、说明或补正的时间不得</w:t>
      </w:r>
      <w:r>
        <w:rPr>
          <w:rFonts w:hint="eastAsia" w:ascii="宋体" w:hAnsi="宋体" w:cs="宋体"/>
          <w:snapToGrid w:val="0"/>
          <w:kern w:val="0"/>
          <w:szCs w:val="24"/>
          <w:highlight w:val="none"/>
          <w:u w:val="single"/>
        </w:rPr>
        <w:t>少于</w:t>
      </w:r>
      <w:r>
        <w:rPr>
          <w:rFonts w:hint="eastAsia" w:ascii="宋体" w:hAnsi="宋体" w:cs="宋体"/>
          <w:snapToGrid w:val="0"/>
          <w:kern w:val="0"/>
          <w:szCs w:val="24"/>
          <w:highlight w:val="none"/>
          <w:u w:val="single"/>
          <w:lang w:val="en-US" w:eastAsia="zh-CN"/>
        </w:rPr>
        <w:t>30分钟</w:t>
      </w:r>
      <w:r>
        <w:rPr>
          <w:rFonts w:hint="eastAsia" w:ascii="宋体" w:hAnsi="宋体" w:cs="宋体"/>
          <w:snapToGrid w:val="0"/>
          <w:kern w:val="0"/>
          <w:szCs w:val="24"/>
          <w:highlight w:val="none"/>
        </w:rPr>
        <w:t>，</w:t>
      </w:r>
      <w:r>
        <w:rPr>
          <w:rFonts w:hint="eastAsia" w:ascii="宋体" w:hAnsi="宋体" w:cs="宋体"/>
          <w:szCs w:val="24"/>
          <w:highlight w:val="none"/>
        </w:rPr>
        <w:t>供应商</w:t>
      </w:r>
      <w:r>
        <w:rPr>
          <w:rFonts w:hint="eastAsia" w:ascii="宋体" w:hAnsi="宋体" w:cs="宋体"/>
          <w:snapToGrid w:val="0"/>
          <w:kern w:val="0"/>
          <w:szCs w:val="24"/>
          <w:highlight w:val="none"/>
        </w:rPr>
        <w:t>已经明确表示澄清说明或补正完毕的除外。</w:t>
      </w:r>
      <w:r>
        <w:rPr>
          <w:rFonts w:hint="eastAsia" w:ascii="宋体" w:hAnsi="宋体" w:cs="宋体"/>
          <w:szCs w:val="24"/>
          <w:highlight w:val="none"/>
        </w:rPr>
        <w:t>供应商</w:t>
      </w:r>
      <w:r>
        <w:rPr>
          <w:rFonts w:hint="eastAsia" w:ascii="宋体" w:hAnsi="宋体" w:cs="宋体"/>
          <w:snapToGrid w:val="0"/>
          <w:kern w:val="0"/>
          <w:szCs w:val="24"/>
          <w:highlight w:val="none"/>
        </w:rPr>
        <w:t>的澄清、说明或者补正不得超出投标文件的范围或者改变投标文件的实质性内容。</w:t>
      </w:r>
    </w:p>
    <w:p>
      <w:pPr>
        <w:pStyle w:val="27"/>
        <w:spacing w:before="0" w:line="500" w:lineRule="exact"/>
        <w:ind w:firstLine="602" w:firstLineChars="250"/>
        <w:rPr>
          <w:rFonts w:ascii="宋体" w:hAnsi="宋体" w:cs="宋体"/>
          <w:kern w:val="0"/>
          <w:sz w:val="22"/>
          <w:szCs w:val="22"/>
          <w:highlight w:val="none"/>
        </w:rPr>
      </w:pPr>
      <w:r>
        <w:rPr>
          <w:rFonts w:hint="eastAsia" w:ascii="宋体" w:hAnsi="宋体" w:cs="宋体"/>
          <w:b/>
          <w:bCs/>
          <w:snapToGrid w:val="0"/>
          <w:kern w:val="0"/>
          <w:szCs w:val="24"/>
          <w:highlight w:val="none"/>
        </w:rPr>
        <w:t>25.3比较与评价：</w:t>
      </w:r>
      <w:r>
        <w:rPr>
          <w:rFonts w:hint="eastAsia" w:ascii="宋体" w:hAnsi="宋体" w:cs="宋体"/>
          <w:snapToGrid w:val="0"/>
          <w:kern w:val="0"/>
          <w:szCs w:val="24"/>
          <w:highlight w:val="none"/>
        </w:rPr>
        <w:t>评标委员会应当按照评标标准，对符合性审查合格的投标文件进行商务和技术评估，综合比较与评价。</w:t>
      </w:r>
    </w:p>
    <w:p>
      <w:pPr>
        <w:pStyle w:val="27"/>
        <w:spacing w:before="0" w:line="500" w:lineRule="exact"/>
        <w:ind w:firstLine="602" w:firstLineChars="250"/>
        <w:rPr>
          <w:rFonts w:ascii="宋体" w:hAnsi="宋体" w:cs="宋体"/>
          <w:kern w:val="0"/>
          <w:sz w:val="22"/>
          <w:szCs w:val="22"/>
          <w:highlight w:val="none"/>
        </w:rPr>
      </w:pPr>
      <w:r>
        <w:rPr>
          <w:rFonts w:hint="eastAsia" w:ascii="宋体" w:hAnsi="宋体" w:cs="宋体"/>
          <w:b/>
          <w:bCs/>
          <w:snapToGrid w:val="0"/>
          <w:kern w:val="0"/>
          <w:szCs w:val="24"/>
          <w:highlight w:val="none"/>
        </w:rPr>
        <w:t>25.4汇总（商务技术得分情况）：</w:t>
      </w:r>
      <w:r>
        <w:rPr>
          <w:rFonts w:hint="eastAsia" w:ascii="宋体" w:hAnsi="宋体" w:cs="宋体"/>
          <w:snapToGrid w:val="0"/>
          <w:kern w:val="0"/>
          <w:szCs w:val="24"/>
          <w:highlight w:val="none"/>
        </w:rPr>
        <w:t>评标委员会各成员应当独立对每个</w:t>
      </w:r>
      <w:r>
        <w:rPr>
          <w:rFonts w:hint="eastAsia" w:ascii="宋体" w:hAnsi="宋体" w:cs="宋体"/>
          <w:szCs w:val="24"/>
          <w:highlight w:val="none"/>
        </w:rPr>
        <w:t>供应商</w:t>
      </w:r>
      <w:r>
        <w:rPr>
          <w:rFonts w:hint="eastAsia" w:ascii="宋体" w:hAnsi="宋体" w:cs="宋体"/>
          <w:snapToGrid w:val="0"/>
          <w:kern w:val="0"/>
          <w:szCs w:val="24"/>
          <w:highlight w:val="none"/>
        </w:rPr>
        <w:t>的商务和技术文件进行评价，并汇总商务技术得分情况。</w:t>
      </w:r>
    </w:p>
    <w:p>
      <w:pPr>
        <w:pStyle w:val="27"/>
        <w:spacing w:before="0" w:line="500" w:lineRule="exact"/>
        <w:ind w:firstLine="602" w:firstLineChars="250"/>
        <w:rPr>
          <w:rFonts w:ascii="宋体" w:hAnsi="宋体" w:cs="宋体"/>
          <w:b/>
          <w:bCs/>
          <w:snapToGrid w:val="0"/>
          <w:kern w:val="0"/>
          <w:szCs w:val="24"/>
          <w:highlight w:val="none"/>
        </w:rPr>
      </w:pPr>
      <w:r>
        <w:rPr>
          <w:rFonts w:hint="eastAsia" w:ascii="宋体" w:hAnsi="宋体" w:cs="宋体"/>
          <w:b/>
          <w:bCs/>
          <w:snapToGrid w:val="0"/>
          <w:kern w:val="0"/>
          <w:szCs w:val="24"/>
          <w:highlight w:val="none"/>
        </w:rPr>
        <w:t>25.5报价审核：</w:t>
      </w:r>
      <w:r>
        <w:rPr>
          <w:rFonts w:hint="eastAsia" w:ascii="宋体" w:hAnsi="宋体" w:cs="宋体"/>
          <w:snapToGrid w:val="0"/>
          <w:kern w:val="0"/>
          <w:szCs w:val="24"/>
          <w:highlight w:val="none"/>
        </w:rPr>
        <w:t>对经商务和技术评审符合采购需求的</w:t>
      </w:r>
      <w:r>
        <w:rPr>
          <w:rFonts w:hint="eastAsia" w:ascii="宋体" w:hAnsi="宋体" w:cs="宋体"/>
          <w:szCs w:val="24"/>
          <w:highlight w:val="none"/>
        </w:rPr>
        <w:t>供应商</w:t>
      </w:r>
      <w:r>
        <w:rPr>
          <w:rFonts w:hint="eastAsia" w:ascii="宋体" w:hAnsi="宋体" w:cs="宋体"/>
          <w:snapToGrid w:val="0"/>
          <w:kern w:val="0"/>
          <w:szCs w:val="24"/>
          <w:highlight w:val="none"/>
        </w:rPr>
        <w:t>的报价的合理性、准确性等进行审查核实。</w:t>
      </w:r>
    </w:p>
    <w:p>
      <w:pPr>
        <w:pStyle w:val="27"/>
        <w:spacing w:before="0" w:line="500" w:lineRule="exact"/>
        <w:ind w:firstLine="547" w:firstLineChars="228"/>
        <w:rPr>
          <w:rFonts w:ascii="宋体" w:hAnsi="宋体" w:cs="宋体"/>
          <w:snapToGrid w:val="0"/>
          <w:kern w:val="0"/>
          <w:szCs w:val="24"/>
          <w:highlight w:val="none"/>
        </w:rPr>
      </w:pPr>
      <w:r>
        <w:rPr>
          <w:rFonts w:hint="eastAsia" w:ascii="宋体" w:hAnsi="宋体" w:cs="宋体"/>
          <w:snapToGrid w:val="0"/>
          <w:kern w:val="0"/>
          <w:szCs w:val="24"/>
          <w:highlight w:val="none"/>
        </w:rPr>
        <w:t>25.5.1评标委员会认为</w:t>
      </w:r>
      <w:r>
        <w:rPr>
          <w:rFonts w:hint="eastAsia" w:ascii="宋体" w:hAnsi="宋体" w:cs="宋体"/>
          <w:szCs w:val="24"/>
          <w:highlight w:val="none"/>
        </w:rPr>
        <w:t>供应商</w:t>
      </w:r>
      <w:r>
        <w:rPr>
          <w:rFonts w:hint="eastAsia" w:ascii="宋体" w:hAnsi="宋体" w:cs="宋体"/>
          <w:snapToGrid w:val="0"/>
          <w:kern w:val="0"/>
          <w:szCs w:val="24"/>
          <w:highlight w:val="none"/>
        </w:rPr>
        <w:t>的报价明显低于其他通过符合性审查</w:t>
      </w:r>
      <w:r>
        <w:rPr>
          <w:rFonts w:hint="eastAsia" w:ascii="宋体" w:hAnsi="宋体" w:cs="宋体"/>
          <w:szCs w:val="24"/>
          <w:highlight w:val="none"/>
        </w:rPr>
        <w:t>供应商</w:t>
      </w:r>
      <w:r>
        <w:rPr>
          <w:rFonts w:hint="eastAsia" w:ascii="宋体" w:hAnsi="宋体" w:cs="宋体"/>
          <w:snapToGrid w:val="0"/>
          <w:kern w:val="0"/>
          <w:szCs w:val="24"/>
          <w:highlight w:val="none"/>
        </w:rPr>
        <w:t>的报价，有可能影响产品质量或者不能诚信履约的，应当要求其在合理的时间内提供书面说明，必要时提交相关证明材料。</w:t>
      </w:r>
    </w:p>
    <w:p>
      <w:pPr>
        <w:pStyle w:val="27"/>
        <w:spacing w:before="0" w:line="500" w:lineRule="exact"/>
        <w:ind w:firstLine="547" w:firstLineChars="228"/>
        <w:rPr>
          <w:rFonts w:ascii="宋体" w:hAnsi="宋体" w:cs="宋体"/>
          <w:snapToGrid w:val="0"/>
          <w:kern w:val="0"/>
          <w:szCs w:val="24"/>
          <w:highlight w:val="none"/>
        </w:rPr>
      </w:pPr>
      <w:r>
        <w:rPr>
          <w:rFonts w:hint="eastAsia" w:ascii="宋体" w:hAnsi="宋体" w:cs="宋体"/>
          <w:snapToGrid w:val="0"/>
          <w:kern w:val="0"/>
          <w:szCs w:val="24"/>
          <w:highlight w:val="none"/>
        </w:rPr>
        <w:t>25.5.2投标价格的修正原则。投标文件报价出现前后不一致的，按照下列规定修正：</w:t>
      </w:r>
    </w:p>
    <w:p>
      <w:pPr>
        <w:pStyle w:val="27"/>
        <w:spacing w:before="0" w:line="500" w:lineRule="exact"/>
        <w:ind w:firstLine="547" w:firstLineChars="228"/>
        <w:rPr>
          <w:rFonts w:hint="eastAsia" w:ascii="宋体" w:hAnsi="宋体" w:eastAsia="宋体" w:cs="宋体"/>
          <w:snapToGrid w:val="0"/>
          <w:kern w:val="0"/>
          <w:szCs w:val="24"/>
          <w:highlight w:val="none"/>
          <w:lang w:eastAsia="zh-CN"/>
        </w:rPr>
      </w:pPr>
      <w:r>
        <w:rPr>
          <w:rFonts w:hint="eastAsia" w:ascii="宋体" w:hAnsi="宋体" w:cs="宋体"/>
          <w:snapToGrid w:val="0"/>
          <w:kern w:val="0"/>
          <w:szCs w:val="24"/>
          <w:highlight w:val="none"/>
        </w:rPr>
        <w:t>25.5.2.1投标文件中报价一览表内容与投标文件中相应内容不一致的，以报价一览表为准</w:t>
      </w:r>
      <w:r>
        <w:rPr>
          <w:rFonts w:hint="eastAsia" w:ascii="宋体" w:hAnsi="宋体" w:cs="宋体"/>
          <w:snapToGrid w:val="0"/>
          <w:kern w:val="0"/>
          <w:szCs w:val="24"/>
          <w:highlight w:val="none"/>
          <w:lang w:eastAsia="zh-CN"/>
        </w:rPr>
        <w:t>；</w:t>
      </w:r>
    </w:p>
    <w:p>
      <w:pPr>
        <w:pStyle w:val="27"/>
        <w:spacing w:before="0" w:line="500" w:lineRule="exact"/>
        <w:ind w:firstLine="547" w:firstLineChars="228"/>
        <w:rPr>
          <w:rFonts w:hint="eastAsia" w:ascii="宋体" w:hAnsi="宋体" w:eastAsia="宋体" w:cs="宋体"/>
          <w:snapToGrid w:val="0"/>
          <w:kern w:val="0"/>
          <w:szCs w:val="24"/>
          <w:highlight w:val="none"/>
          <w:lang w:eastAsia="zh-CN"/>
        </w:rPr>
      </w:pPr>
      <w:r>
        <w:rPr>
          <w:rFonts w:hint="eastAsia" w:ascii="宋体" w:hAnsi="宋体" w:cs="宋体"/>
          <w:snapToGrid w:val="0"/>
          <w:kern w:val="0"/>
          <w:szCs w:val="24"/>
          <w:highlight w:val="none"/>
        </w:rPr>
        <w:t>25.5.2.2大写金额和小写金额不一致的，以大写金额为准</w:t>
      </w:r>
      <w:r>
        <w:rPr>
          <w:rFonts w:hint="eastAsia" w:ascii="宋体" w:hAnsi="宋体" w:cs="宋体"/>
          <w:snapToGrid w:val="0"/>
          <w:kern w:val="0"/>
          <w:szCs w:val="24"/>
          <w:highlight w:val="none"/>
          <w:lang w:eastAsia="zh-CN"/>
        </w:rPr>
        <w:t>；</w:t>
      </w:r>
    </w:p>
    <w:p>
      <w:pPr>
        <w:pStyle w:val="27"/>
        <w:spacing w:before="0" w:line="500" w:lineRule="exact"/>
        <w:ind w:firstLine="547" w:firstLineChars="228"/>
        <w:rPr>
          <w:rFonts w:hint="eastAsia" w:ascii="宋体" w:hAnsi="宋体" w:eastAsia="宋体" w:cs="宋体"/>
          <w:snapToGrid w:val="0"/>
          <w:kern w:val="0"/>
          <w:szCs w:val="24"/>
          <w:highlight w:val="none"/>
          <w:lang w:eastAsia="zh-CN"/>
        </w:rPr>
      </w:pPr>
      <w:r>
        <w:rPr>
          <w:rFonts w:hint="eastAsia" w:ascii="宋体" w:hAnsi="宋体" w:cs="宋体"/>
          <w:snapToGrid w:val="0"/>
          <w:kern w:val="0"/>
          <w:szCs w:val="24"/>
          <w:highlight w:val="none"/>
        </w:rPr>
        <w:t>25.5.2.3单价金额小数点或者百分比有明显错位的，以报价一览表的总价为准，并修改单价</w:t>
      </w:r>
      <w:r>
        <w:rPr>
          <w:rFonts w:hint="eastAsia" w:ascii="宋体" w:hAnsi="宋体" w:cs="宋体"/>
          <w:snapToGrid w:val="0"/>
          <w:kern w:val="0"/>
          <w:szCs w:val="24"/>
          <w:highlight w:val="none"/>
          <w:lang w:eastAsia="zh-CN"/>
        </w:rPr>
        <w:t>；</w:t>
      </w:r>
    </w:p>
    <w:p>
      <w:pPr>
        <w:pStyle w:val="27"/>
        <w:spacing w:before="0" w:line="500" w:lineRule="exact"/>
        <w:ind w:firstLine="547" w:firstLineChars="228"/>
        <w:rPr>
          <w:rFonts w:ascii="宋体" w:hAnsi="宋体" w:cs="宋体"/>
          <w:snapToGrid w:val="0"/>
          <w:kern w:val="0"/>
          <w:szCs w:val="24"/>
          <w:highlight w:val="none"/>
        </w:rPr>
      </w:pPr>
      <w:r>
        <w:rPr>
          <w:rFonts w:hint="eastAsia" w:ascii="宋体" w:hAnsi="宋体" w:cs="宋体"/>
          <w:snapToGrid w:val="0"/>
          <w:kern w:val="0"/>
          <w:szCs w:val="24"/>
          <w:highlight w:val="none"/>
        </w:rPr>
        <w:t>25.5.2.4总价金额与按单价汇总金额不一致的，以单价金额计算结果为准。</w:t>
      </w:r>
    </w:p>
    <w:p>
      <w:pPr>
        <w:pStyle w:val="27"/>
        <w:spacing w:before="0" w:line="500" w:lineRule="exact"/>
        <w:ind w:firstLine="547" w:firstLineChars="228"/>
        <w:rPr>
          <w:rFonts w:ascii="宋体" w:hAnsi="宋体" w:cs="宋体"/>
          <w:snapToGrid w:val="0"/>
          <w:kern w:val="0"/>
          <w:szCs w:val="24"/>
          <w:highlight w:val="none"/>
        </w:rPr>
      </w:pPr>
      <w:r>
        <w:rPr>
          <w:rFonts w:hint="eastAsia" w:ascii="宋体" w:hAnsi="宋体" w:cs="宋体"/>
          <w:snapToGrid w:val="0"/>
          <w:kern w:val="0"/>
          <w:szCs w:val="24"/>
          <w:highlight w:val="none"/>
        </w:rPr>
        <w:t>25.5.3同时出现两种以上不一致的，按照前款规定的顺序修正。修正后的报价按照财政部第87号令《政府采购货物和服务招标投标管理办法》第五十一条第二款的规定经</w:t>
      </w:r>
      <w:r>
        <w:rPr>
          <w:rFonts w:hint="eastAsia" w:ascii="宋体" w:hAnsi="宋体" w:cs="宋体"/>
          <w:szCs w:val="24"/>
          <w:highlight w:val="none"/>
        </w:rPr>
        <w:t>供应商</w:t>
      </w:r>
      <w:r>
        <w:rPr>
          <w:rFonts w:hint="eastAsia" w:ascii="宋体" w:hAnsi="宋体" w:cs="宋体"/>
          <w:snapToGrid w:val="0"/>
          <w:kern w:val="0"/>
          <w:szCs w:val="24"/>
          <w:highlight w:val="none"/>
        </w:rPr>
        <w:t>确认后产生约束力。</w:t>
      </w:r>
    </w:p>
    <w:p>
      <w:pPr>
        <w:spacing w:line="500" w:lineRule="exact"/>
        <w:ind w:firstLine="480" w:firstLineChars="200"/>
        <w:rPr>
          <w:rFonts w:ascii="宋体" w:hAnsi="宋体" w:cs="宋体"/>
          <w:b/>
          <w:bCs/>
          <w:snapToGrid w:val="0"/>
          <w:kern w:val="0"/>
          <w:sz w:val="24"/>
          <w:szCs w:val="24"/>
          <w:highlight w:val="none"/>
        </w:rPr>
      </w:pPr>
      <w:r>
        <w:rPr>
          <w:rFonts w:hint="eastAsia" w:ascii="宋体" w:hAnsi="宋体" w:cs="宋体"/>
          <w:snapToGrid w:val="0"/>
          <w:kern w:val="0"/>
          <w:sz w:val="24"/>
          <w:szCs w:val="24"/>
          <w:highlight w:val="none"/>
        </w:rPr>
        <w:t>▲</w:t>
      </w:r>
      <w:r>
        <w:rPr>
          <w:rFonts w:hint="eastAsia" w:ascii="宋体" w:hAnsi="宋体" w:cs="宋体"/>
          <w:b/>
          <w:bCs/>
          <w:snapToGrid w:val="0"/>
          <w:kern w:val="0"/>
          <w:sz w:val="24"/>
          <w:szCs w:val="24"/>
          <w:highlight w:val="none"/>
        </w:rPr>
        <w:t>供应商对根据修正原则修正后的报价不确认的，投标无效。采购人将以合同形式有偿取得货物或服务，不接受供应商给予的赠品、回扣或者与采购无关的其他商品、服务。</w:t>
      </w:r>
    </w:p>
    <w:p>
      <w:pPr>
        <w:spacing w:line="50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25.6汇总得分：评标委员会各成员应当独立对每个</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的投标文件进行评价，并汇总每个</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的得分。</w:t>
      </w:r>
    </w:p>
    <w:p>
      <w:pPr>
        <w:adjustRightInd w:val="0"/>
        <w:snapToGrid w:val="0"/>
        <w:spacing w:line="500" w:lineRule="exact"/>
        <w:ind w:firstLine="562" w:firstLineChars="200"/>
        <w:jc w:val="left"/>
        <w:rPr>
          <w:rFonts w:hint="eastAsia" w:ascii="宋体" w:hAnsi="宋体" w:cs="宋体"/>
          <w:b/>
          <w:bCs/>
          <w:sz w:val="28"/>
          <w:szCs w:val="28"/>
          <w:highlight w:val="none"/>
        </w:rPr>
      </w:pPr>
      <w:r>
        <w:rPr>
          <w:rFonts w:hint="eastAsia" w:ascii="宋体" w:hAnsi="宋体" w:cs="宋体"/>
          <w:b/>
          <w:bCs/>
          <w:sz w:val="28"/>
          <w:szCs w:val="28"/>
          <w:highlight w:val="none"/>
        </w:rPr>
        <w:t>26.顺序排列与中标候选推荐</w:t>
      </w:r>
    </w:p>
    <w:p>
      <w:pPr>
        <w:snapToGrid w:val="0"/>
        <w:spacing w:line="500" w:lineRule="exact"/>
        <w:ind w:firstLine="480" w:firstLineChars="200"/>
        <w:rPr>
          <w:rFonts w:hint="eastAsia" w:ascii="宋体" w:hAnsi="宋体" w:cs="宋体"/>
          <w:snapToGrid w:val="0"/>
          <w:color w:val="FF0000"/>
          <w:kern w:val="0"/>
          <w:sz w:val="24"/>
          <w:szCs w:val="24"/>
          <w:highlight w:val="none"/>
        </w:rPr>
      </w:pPr>
      <w:r>
        <w:rPr>
          <w:rFonts w:hint="eastAsia" w:ascii="宋体" w:hAnsi="宋体" w:cs="宋体"/>
          <w:snapToGrid w:val="0"/>
          <w:kern w:val="0"/>
          <w:sz w:val="24"/>
          <w:szCs w:val="24"/>
          <w:highlight w:val="none"/>
        </w:rPr>
        <w:t>26.1评标结果按评审后得分由高到低顺序排列，确定综合得分最高的供应商为中标</w:t>
      </w:r>
      <w:r>
        <w:rPr>
          <w:rFonts w:hint="eastAsia" w:ascii="宋体" w:hAnsi="宋体" w:cs="宋体"/>
          <w:snapToGrid w:val="0"/>
          <w:kern w:val="0"/>
          <w:sz w:val="24"/>
          <w:szCs w:val="24"/>
          <w:highlight w:val="none"/>
          <w:lang w:val="en-US" w:eastAsia="zh-CN"/>
        </w:rPr>
        <w:t>候选</w:t>
      </w:r>
      <w:r>
        <w:rPr>
          <w:rFonts w:hint="eastAsia" w:ascii="宋体" w:hAnsi="宋体" w:cs="宋体"/>
          <w:snapToGrid w:val="0"/>
          <w:kern w:val="0"/>
          <w:sz w:val="24"/>
          <w:szCs w:val="24"/>
          <w:highlight w:val="none"/>
        </w:rPr>
        <w:t>人。如出现综合得分相同时，投标报价低的优先；如综合得分和投标报价均相同，则现场抽签确定。</w:t>
      </w:r>
    </w:p>
    <w:p>
      <w:pPr>
        <w:adjustRightInd w:val="0"/>
        <w:snapToGrid w:val="0"/>
        <w:spacing w:line="500" w:lineRule="exact"/>
        <w:ind w:firstLine="562" w:firstLineChars="200"/>
        <w:jc w:val="left"/>
        <w:rPr>
          <w:rFonts w:hint="eastAsia" w:ascii="宋体" w:hAnsi="宋体" w:cs="宋体"/>
          <w:b/>
          <w:bCs/>
          <w:sz w:val="28"/>
          <w:szCs w:val="28"/>
          <w:highlight w:val="none"/>
        </w:rPr>
      </w:pPr>
      <w:r>
        <w:rPr>
          <w:rFonts w:hint="eastAsia" w:ascii="宋体" w:hAnsi="宋体" w:cs="宋体"/>
          <w:b/>
          <w:bCs/>
          <w:sz w:val="28"/>
          <w:szCs w:val="28"/>
          <w:highlight w:val="none"/>
        </w:rPr>
        <w:t>27.在招标采购中，出现下列情形之一的，应予废标：</w:t>
      </w:r>
    </w:p>
    <w:p>
      <w:pPr>
        <w:pStyle w:val="11"/>
        <w:spacing w:line="500" w:lineRule="exact"/>
        <w:ind w:firstLine="360" w:firstLineChars="150"/>
        <w:rPr>
          <w:rFonts w:hAnsi="宋体" w:cs="宋体"/>
          <w:snapToGrid w:val="0"/>
          <w:kern w:val="0"/>
          <w:sz w:val="24"/>
          <w:szCs w:val="24"/>
          <w:highlight w:val="none"/>
        </w:rPr>
      </w:pPr>
      <w:r>
        <w:rPr>
          <w:rFonts w:hint="eastAsia" w:hAnsi="宋体" w:cs="宋体"/>
          <w:snapToGrid w:val="0"/>
          <w:kern w:val="0"/>
          <w:sz w:val="24"/>
          <w:szCs w:val="24"/>
          <w:highlight w:val="none"/>
        </w:rPr>
        <w:t>根据《中华人民共和国政府采购法》第三十六条之规定，在采购中，出现下列情形之一的，应予废标：</w:t>
      </w:r>
    </w:p>
    <w:p>
      <w:pPr>
        <w:pStyle w:val="11"/>
        <w:spacing w:line="500" w:lineRule="exact"/>
        <w:ind w:firstLine="360" w:firstLineChars="150"/>
        <w:rPr>
          <w:rFonts w:hAnsi="宋体" w:cs="宋体"/>
          <w:snapToGrid w:val="0"/>
          <w:kern w:val="0"/>
          <w:sz w:val="24"/>
          <w:szCs w:val="24"/>
          <w:highlight w:val="none"/>
        </w:rPr>
      </w:pPr>
      <w:r>
        <w:rPr>
          <w:rFonts w:hint="eastAsia" w:hAnsi="宋体" w:cs="宋体"/>
          <w:snapToGrid w:val="0"/>
          <w:kern w:val="0"/>
          <w:sz w:val="24"/>
          <w:szCs w:val="24"/>
          <w:highlight w:val="none"/>
        </w:rPr>
        <w:t>27.1符合专业条件的供应商或者对招标文件作实质响应的供应商不足3家的；</w:t>
      </w:r>
    </w:p>
    <w:p>
      <w:pPr>
        <w:pStyle w:val="11"/>
        <w:spacing w:line="500" w:lineRule="exact"/>
        <w:ind w:firstLine="360" w:firstLineChars="150"/>
        <w:rPr>
          <w:rFonts w:hAnsi="宋体" w:cs="宋体"/>
          <w:snapToGrid w:val="0"/>
          <w:kern w:val="0"/>
          <w:sz w:val="24"/>
          <w:szCs w:val="24"/>
          <w:highlight w:val="none"/>
        </w:rPr>
      </w:pPr>
      <w:r>
        <w:rPr>
          <w:rFonts w:hint="eastAsia" w:hAnsi="宋体" w:cs="宋体"/>
          <w:snapToGrid w:val="0"/>
          <w:kern w:val="0"/>
          <w:sz w:val="24"/>
          <w:szCs w:val="24"/>
          <w:highlight w:val="none"/>
        </w:rPr>
        <w:t>27.2出现影响采购公正的违法、违规行为的；</w:t>
      </w:r>
    </w:p>
    <w:p>
      <w:pPr>
        <w:pStyle w:val="11"/>
        <w:spacing w:line="500" w:lineRule="exact"/>
        <w:ind w:firstLine="360" w:firstLineChars="150"/>
        <w:rPr>
          <w:rFonts w:hAnsi="宋体" w:cs="宋体"/>
          <w:snapToGrid w:val="0"/>
          <w:kern w:val="0"/>
          <w:sz w:val="24"/>
          <w:szCs w:val="24"/>
          <w:highlight w:val="none"/>
        </w:rPr>
      </w:pPr>
      <w:r>
        <w:rPr>
          <w:rFonts w:hint="eastAsia" w:hAnsi="宋体" w:cs="宋体"/>
          <w:snapToGrid w:val="0"/>
          <w:kern w:val="0"/>
          <w:sz w:val="24"/>
          <w:szCs w:val="24"/>
          <w:highlight w:val="none"/>
        </w:rPr>
        <w:t>27.3供应商的报价均超过了采购预算，采购人不能支付的；</w:t>
      </w:r>
    </w:p>
    <w:p>
      <w:pPr>
        <w:pStyle w:val="11"/>
        <w:spacing w:line="500" w:lineRule="exact"/>
        <w:ind w:firstLine="360" w:firstLineChars="150"/>
        <w:rPr>
          <w:rFonts w:hAnsi="宋体" w:cs="宋体"/>
          <w:snapToGrid w:val="0"/>
          <w:kern w:val="0"/>
          <w:sz w:val="24"/>
          <w:szCs w:val="24"/>
          <w:highlight w:val="none"/>
        </w:rPr>
      </w:pPr>
      <w:r>
        <w:rPr>
          <w:rFonts w:hint="eastAsia" w:hAnsi="宋体" w:cs="宋体"/>
          <w:snapToGrid w:val="0"/>
          <w:kern w:val="0"/>
          <w:sz w:val="24"/>
          <w:szCs w:val="24"/>
          <w:highlight w:val="none"/>
        </w:rPr>
        <w:t>27.4因重大变故，采购任务取消的。</w:t>
      </w:r>
    </w:p>
    <w:p>
      <w:pPr>
        <w:pStyle w:val="11"/>
        <w:spacing w:line="500" w:lineRule="exact"/>
        <w:ind w:firstLine="360" w:firstLineChars="150"/>
        <w:rPr>
          <w:rFonts w:hAnsi="宋体" w:cs="宋体"/>
          <w:snapToGrid w:val="0"/>
          <w:kern w:val="0"/>
          <w:sz w:val="24"/>
          <w:szCs w:val="24"/>
          <w:highlight w:val="none"/>
        </w:rPr>
      </w:pPr>
      <w:r>
        <w:rPr>
          <w:rFonts w:hint="eastAsia" w:hAnsi="宋体" w:cs="宋体"/>
          <w:snapToGrid w:val="0"/>
          <w:kern w:val="0"/>
          <w:sz w:val="24"/>
          <w:szCs w:val="24"/>
          <w:highlight w:val="none"/>
        </w:rPr>
        <w:t>废标后，代理机构应当将废标理由通知所有供应商。</w:t>
      </w:r>
    </w:p>
    <w:p>
      <w:pPr>
        <w:snapToGrid w:val="0"/>
        <w:spacing w:line="500" w:lineRule="exact"/>
        <w:ind w:firstLine="562" w:firstLineChars="200"/>
        <w:rPr>
          <w:rFonts w:ascii="宋体" w:hAnsi="宋体" w:cs="宋体"/>
          <w:b/>
          <w:sz w:val="32"/>
          <w:highlight w:val="none"/>
        </w:rPr>
      </w:pPr>
      <w:r>
        <w:rPr>
          <w:rFonts w:hint="eastAsia" w:ascii="宋体" w:hAnsi="宋体" w:cs="宋体"/>
          <w:b/>
          <w:bCs/>
          <w:sz w:val="28"/>
          <w:szCs w:val="24"/>
          <w:highlight w:val="none"/>
        </w:rPr>
        <w:t>28.</w:t>
      </w:r>
      <w:r>
        <w:rPr>
          <w:rFonts w:hint="eastAsia" w:ascii="宋体" w:hAnsi="宋体" w:cs="宋体"/>
          <w:b/>
          <w:sz w:val="28"/>
          <w:szCs w:val="24"/>
          <w:highlight w:val="none"/>
        </w:rPr>
        <w:t>重新组织采购</w:t>
      </w:r>
    </w:p>
    <w:p>
      <w:pPr>
        <w:pStyle w:val="3"/>
        <w:snapToGrid w:val="0"/>
        <w:spacing w:line="500" w:lineRule="exact"/>
        <w:ind w:firstLine="482" w:firstLineChars="200"/>
        <w:rPr>
          <w:rFonts w:ascii="宋体" w:hAnsi="宋体" w:cs="宋体"/>
          <w:sz w:val="24"/>
          <w:szCs w:val="22"/>
          <w:highlight w:val="none"/>
        </w:rPr>
      </w:pPr>
      <w:r>
        <w:rPr>
          <w:rFonts w:hint="eastAsia" w:ascii="宋体" w:hAnsi="宋体" w:cs="宋体"/>
          <w:b/>
          <w:sz w:val="24"/>
          <w:szCs w:val="22"/>
          <w:highlight w:val="none"/>
        </w:rPr>
        <w:t>28.1修改招标文件，重新组织采购活动。</w:t>
      </w:r>
      <w:r>
        <w:rPr>
          <w:rFonts w:hint="eastAsia" w:ascii="宋体" w:hAnsi="宋体" w:cs="宋体"/>
          <w:sz w:val="24"/>
          <w:szCs w:val="22"/>
          <w:highlight w:val="none"/>
        </w:rPr>
        <w:t>评标委员会发现采购文件存在歧义、重大缺陷导致评标工作无法进行，或者采购文件内容违反国家有关强制性规定的，将停止评标工作，并与采购人、代理机构沟通并作书面记录。采购人、代理机构确认后，将修改采购文件，重新组织采购活动。</w:t>
      </w:r>
    </w:p>
    <w:p>
      <w:pPr>
        <w:pStyle w:val="3"/>
        <w:snapToGrid w:val="0"/>
        <w:spacing w:line="500" w:lineRule="exact"/>
        <w:ind w:firstLine="482" w:firstLineChars="200"/>
        <w:rPr>
          <w:rFonts w:ascii="宋体" w:hAnsi="宋体" w:cs="宋体"/>
          <w:sz w:val="24"/>
          <w:szCs w:val="22"/>
          <w:highlight w:val="none"/>
        </w:rPr>
      </w:pPr>
      <w:r>
        <w:rPr>
          <w:rFonts w:hint="eastAsia" w:ascii="宋体" w:hAnsi="宋体" w:cs="宋体"/>
          <w:b/>
          <w:kern w:val="0"/>
          <w:sz w:val="24"/>
          <w:szCs w:val="22"/>
          <w:highlight w:val="none"/>
        </w:rPr>
        <w:t>28.2重新开展采购。</w:t>
      </w:r>
      <w:r>
        <w:rPr>
          <w:rFonts w:hint="eastAsia" w:ascii="宋体" w:hAnsi="宋体" w:cs="宋体"/>
          <w:sz w:val="24"/>
          <w:szCs w:val="22"/>
          <w:highlight w:val="none"/>
        </w:rPr>
        <w:t>有政府采购法第七十一条、第七十二条规定的违法行为之一，影响或者可能影响中标结果的，依照下列规定处理：</w:t>
      </w:r>
    </w:p>
    <w:p>
      <w:pPr>
        <w:pStyle w:val="3"/>
        <w:snapToGrid w:val="0"/>
        <w:spacing w:line="500" w:lineRule="exact"/>
        <w:ind w:firstLine="480" w:firstLineChars="200"/>
        <w:rPr>
          <w:rFonts w:ascii="宋体" w:hAnsi="宋体" w:cs="宋体"/>
          <w:sz w:val="24"/>
          <w:szCs w:val="22"/>
          <w:highlight w:val="none"/>
        </w:rPr>
      </w:pPr>
      <w:r>
        <w:rPr>
          <w:rFonts w:hint="eastAsia" w:ascii="宋体" w:hAnsi="宋体" w:cs="宋体"/>
          <w:sz w:val="24"/>
          <w:szCs w:val="22"/>
          <w:highlight w:val="none"/>
        </w:rPr>
        <w:t>28.2.1未确定中标或者中标供应商的，终止本次政府采购活动，重新开展政府采购活动。</w:t>
      </w:r>
    </w:p>
    <w:p>
      <w:pPr>
        <w:pStyle w:val="3"/>
        <w:snapToGrid w:val="0"/>
        <w:spacing w:line="500" w:lineRule="exact"/>
        <w:ind w:firstLine="480" w:firstLineChars="200"/>
        <w:rPr>
          <w:rFonts w:ascii="宋体" w:hAnsi="宋体" w:cs="宋体"/>
          <w:sz w:val="24"/>
          <w:szCs w:val="22"/>
          <w:highlight w:val="none"/>
        </w:rPr>
      </w:pPr>
      <w:r>
        <w:rPr>
          <w:rFonts w:hint="eastAsia" w:ascii="宋体" w:hAnsi="宋体" w:cs="宋体"/>
          <w:sz w:val="24"/>
          <w:szCs w:val="22"/>
          <w:highlight w:val="none"/>
        </w:rPr>
        <w:t>28.2.2已确定中标或者中标供应商但尚未签订政府采购合同的，中标结果无效，从合格的中标或者成交候选人中另行确定中标或者中标供应商；没有合格的中标或者成交候选人的，重新开展政府采购活动。</w:t>
      </w:r>
    </w:p>
    <w:p>
      <w:pPr>
        <w:pStyle w:val="3"/>
        <w:snapToGrid w:val="0"/>
        <w:spacing w:line="500" w:lineRule="exact"/>
        <w:ind w:firstLine="480" w:firstLineChars="200"/>
        <w:rPr>
          <w:rFonts w:ascii="宋体" w:hAnsi="宋体" w:cs="宋体"/>
          <w:sz w:val="24"/>
          <w:szCs w:val="22"/>
          <w:highlight w:val="none"/>
        </w:rPr>
      </w:pPr>
      <w:r>
        <w:rPr>
          <w:rFonts w:hint="eastAsia" w:ascii="宋体" w:hAnsi="宋体" w:cs="宋体"/>
          <w:sz w:val="24"/>
          <w:szCs w:val="22"/>
          <w:highlight w:val="none"/>
        </w:rPr>
        <w:t>28.2.3政府采购合同已签订但尚未履行的，撤销合同，从合格的中标候选人中另行确定中标或者中标供应商；没有合格的中标交候选人的，重新开展政府采购活动。</w:t>
      </w:r>
    </w:p>
    <w:p>
      <w:pPr>
        <w:pStyle w:val="3"/>
        <w:snapToGrid w:val="0"/>
        <w:spacing w:line="500" w:lineRule="exact"/>
        <w:ind w:firstLine="480" w:firstLineChars="200"/>
        <w:rPr>
          <w:rFonts w:ascii="宋体" w:hAnsi="宋体" w:cs="宋体"/>
          <w:sz w:val="24"/>
          <w:szCs w:val="22"/>
          <w:highlight w:val="none"/>
        </w:rPr>
      </w:pPr>
      <w:r>
        <w:rPr>
          <w:rFonts w:hint="eastAsia" w:ascii="宋体" w:hAnsi="宋体" w:cs="宋体"/>
          <w:sz w:val="24"/>
          <w:szCs w:val="22"/>
          <w:highlight w:val="none"/>
        </w:rPr>
        <w:t>28.2.4政府采购合同已经履行，给采购人、供应商造成损失的，由责任人承担赔偿责任。</w:t>
      </w:r>
    </w:p>
    <w:p>
      <w:pPr>
        <w:pStyle w:val="3"/>
        <w:snapToGrid w:val="0"/>
        <w:spacing w:line="5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28.2.5政府采购当事人有其他违反政府采购法或者本条例规定的行为，经改正后仍然影响或者可能影响中标结果或者依法被认定为中标无效的，依照2</w:t>
      </w:r>
      <w:r>
        <w:rPr>
          <w:rFonts w:hint="eastAsia" w:ascii="宋体" w:hAnsi="宋体" w:cs="宋体"/>
          <w:sz w:val="24"/>
          <w:szCs w:val="22"/>
          <w:highlight w:val="none"/>
          <w:lang w:val="en-US" w:eastAsia="zh-CN"/>
        </w:rPr>
        <w:t>8</w:t>
      </w:r>
      <w:r>
        <w:rPr>
          <w:rFonts w:hint="eastAsia" w:ascii="宋体" w:hAnsi="宋体" w:cs="宋体"/>
          <w:sz w:val="24"/>
          <w:szCs w:val="22"/>
          <w:highlight w:val="none"/>
        </w:rPr>
        <w:t>.2.1-2</w:t>
      </w:r>
      <w:r>
        <w:rPr>
          <w:rFonts w:hint="eastAsia" w:ascii="宋体" w:hAnsi="宋体" w:cs="宋体"/>
          <w:sz w:val="24"/>
          <w:szCs w:val="22"/>
          <w:highlight w:val="none"/>
          <w:lang w:val="en-US" w:eastAsia="zh-CN"/>
        </w:rPr>
        <w:t>8</w:t>
      </w:r>
      <w:r>
        <w:rPr>
          <w:rFonts w:hint="eastAsia" w:ascii="宋体" w:hAnsi="宋体" w:cs="宋体"/>
          <w:sz w:val="24"/>
          <w:szCs w:val="22"/>
          <w:highlight w:val="none"/>
        </w:rPr>
        <w:t>.2.4规定处理。</w:t>
      </w:r>
    </w:p>
    <w:p>
      <w:pPr>
        <w:pStyle w:val="3"/>
        <w:snapToGrid w:val="0"/>
        <w:spacing w:line="500" w:lineRule="exact"/>
        <w:ind w:firstLine="480" w:firstLineChars="200"/>
        <w:rPr>
          <w:rFonts w:hint="eastAsia" w:ascii="宋体" w:hAnsi="宋体" w:cs="宋体"/>
          <w:sz w:val="24"/>
          <w:szCs w:val="22"/>
          <w:highlight w:val="none"/>
        </w:rPr>
      </w:pPr>
    </w:p>
    <w:p>
      <w:pPr>
        <w:spacing w:line="500" w:lineRule="exact"/>
        <w:jc w:val="center"/>
        <w:rPr>
          <w:rFonts w:ascii="宋体" w:hAnsi="宋体" w:cs="宋体"/>
          <w:b/>
          <w:bCs/>
          <w:sz w:val="28"/>
          <w:szCs w:val="24"/>
          <w:highlight w:val="none"/>
        </w:rPr>
      </w:pPr>
      <w:bookmarkStart w:id="38" w:name="_Toc240450082"/>
      <w:bookmarkStart w:id="39" w:name="_Toc26186"/>
      <w:bookmarkStart w:id="40" w:name="_Toc16847"/>
      <w:bookmarkStart w:id="41" w:name="_Toc25029"/>
      <w:bookmarkStart w:id="42" w:name="_Toc251566655"/>
      <w:r>
        <w:rPr>
          <w:rFonts w:hint="eastAsia" w:ascii="宋体" w:hAnsi="宋体" w:cs="宋体"/>
          <w:b/>
          <w:bCs/>
          <w:sz w:val="28"/>
          <w:szCs w:val="24"/>
          <w:highlight w:val="none"/>
        </w:rPr>
        <w:t>六、确定中标供应商及授予合同</w:t>
      </w:r>
      <w:bookmarkEnd w:id="38"/>
      <w:bookmarkEnd w:id="39"/>
      <w:bookmarkEnd w:id="40"/>
      <w:bookmarkEnd w:id="41"/>
      <w:bookmarkEnd w:id="42"/>
    </w:p>
    <w:p>
      <w:pPr>
        <w:adjustRightInd w:val="0"/>
        <w:snapToGrid w:val="0"/>
        <w:spacing w:before="156" w:beforeLines="50" w:line="50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29.中标供应商的确定</w:t>
      </w:r>
    </w:p>
    <w:p>
      <w:pPr>
        <w:pStyle w:val="3"/>
        <w:snapToGrid w:val="0"/>
        <w:spacing w:line="5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29.1采购代理机构应当自评审结束之日起2个工作日内将评审报告送交采购人。</w:t>
      </w:r>
    </w:p>
    <w:p>
      <w:pPr>
        <w:pStyle w:val="3"/>
        <w:snapToGrid w:val="0"/>
        <w:spacing w:line="5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采购人应当自收到评标报告之日起</w:t>
      </w:r>
      <w:r>
        <w:rPr>
          <w:rFonts w:hint="eastAsia" w:ascii="宋体" w:hAnsi="宋体" w:cs="宋体"/>
          <w:sz w:val="24"/>
          <w:szCs w:val="22"/>
          <w:highlight w:val="none"/>
          <w:lang w:val="en-US" w:eastAsia="zh-CN"/>
        </w:rPr>
        <w:t>5</w:t>
      </w:r>
      <w:r>
        <w:rPr>
          <w:rFonts w:hint="eastAsia" w:ascii="宋体" w:hAnsi="宋体" w:cs="宋体"/>
          <w:sz w:val="24"/>
          <w:szCs w:val="22"/>
          <w:highlight w:val="none"/>
        </w:rPr>
        <w:t>个工作日内，在评标报告确定的中标候选人名单中按顺序确定中标供应商。中标候选人并列的，由采购人或者采购人委托评标委员会按照采购文件规定的方式确定中标供应商；采购文件未规定的，采取随机抽取的方式确定。</w:t>
      </w:r>
    </w:p>
    <w:p>
      <w:pPr>
        <w:pStyle w:val="3"/>
        <w:snapToGrid w:val="0"/>
        <w:spacing w:line="5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采购人在收到评标报告5个工作日内未按评标报告推荐的中标候选人顺序确定中标供应商，又不能说明合法理由的，视同按评标报告推荐的顺序确定排名第一的中标候选人为中标供应商。</w:t>
      </w:r>
    </w:p>
    <w:p>
      <w:pPr>
        <w:pStyle w:val="3"/>
        <w:snapToGrid w:val="0"/>
        <w:spacing w:line="5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采购人或者采购代理机构应当自中标人确定之日起2个工作日内，在原招标公告发布媒体上公告中标结果，采购文件应当随中标结果同时公告。</w:t>
      </w:r>
    </w:p>
    <w:p>
      <w:pPr>
        <w:pStyle w:val="3"/>
        <w:snapToGrid w:val="0"/>
        <w:spacing w:line="5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lang w:val="en-US" w:eastAsia="zh-CN"/>
        </w:rPr>
        <w:t>中标</w:t>
      </w:r>
      <w:r>
        <w:rPr>
          <w:rFonts w:hint="eastAsia" w:ascii="宋体" w:hAnsi="宋体" w:cs="宋体"/>
          <w:sz w:val="24"/>
          <w:szCs w:val="22"/>
          <w:highlight w:val="none"/>
        </w:rPr>
        <w:t>公告期限为1个工作日。</w:t>
      </w:r>
    </w:p>
    <w:p>
      <w:pPr>
        <w:pStyle w:val="3"/>
        <w:snapToGrid w:val="0"/>
        <w:spacing w:line="5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29.2除国务院财政部门规定的情形外，采购人、采购代理机构不得以任何理由组织重新评审。采购人、采购代理机构按照国务院财政部门的规定组织重新评审的，应当书面报告本级人民政府财政部门。</w:t>
      </w:r>
    </w:p>
    <w:p>
      <w:pPr>
        <w:pStyle w:val="3"/>
        <w:snapToGrid w:val="0"/>
        <w:spacing w:line="5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29.3中标通知书发出后，采购人不得违法改变中标结果，中标供应商无正当理由不得放弃中标。</w:t>
      </w:r>
    </w:p>
    <w:p>
      <w:pPr>
        <w:adjustRightInd w:val="0"/>
        <w:snapToGrid w:val="0"/>
        <w:spacing w:before="156" w:beforeLines="50" w:line="50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30.合同授予</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30.1本项目的合同将授予按本须知第</w:t>
      </w:r>
      <w:r>
        <w:rPr>
          <w:rFonts w:hint="eastAsia" w:ascii="宋体" w:hAnsi="宋体" w:cs="宋体"/>
          <w:snapToGrid w:val="0"/>
          <w:kern w:val="0"/>
          <w:sz w:val="24"/>
          <w:szCs w:val="24"/>
          <w:highlight w:val="none"/>
          <w:lang w:val="en-US" w:eastAsia="zh-CN"/>
        </w:rPr>
        <w:t>29</w:t>
      </w:r>
      <w:r>
        <w:rPr>
          <w:rFonts w:hint="eastAsia" w:ascii="宋体" w:hAnsi="宋体" w:cs="宋体"/>
          <w:snapToGrid w:val="0"/>
          <w:kern w:val="0"/>
          <w:sz w:val="24"/>
          <w:szCs w:val="24"/>
          <w:highlight w:val="none"/>
        </w:rPr>
        <w:t>.1款所确定的中标</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30.2中标或者中标供应商拒绝与采购人签订合同的，采购人可以重新开展政府采购活动。</w:t>
      </w:r>
    </w:p>
    <w:p>
      <w:pPr>
        <w:adjustRightInd w:val="0"/>
        <w:snapToGrid w:val="0"/>
        <w:spacing w:before="156" w:beforeLines="50" w:line="50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31.签订合同</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31.1中标</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应按中标通知书规定的时间与采购人签订合同。中标</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在领取中标通知书时须向采购人提供一份关于本项目在实施过程中的相关人员的通讯录作为合同附件。</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31.2中标</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如不遵守采购文件或投标文件各项条款的邀约与要约，或在接到中标通知书后借故拖延，拒签合同的，采购人将依据国家和采购文件有关规定要求中标</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予以赔偿，同时采购人可根据2</w:t>
      </w:r>
      <w:r>
        <w:rPr>
          <w:rFonts w:hint="eastAsia" w:ascii="宋体" w:hAnsi="宋体" w:cs="宋体"/>
          <w:snapToGrid w:val="0"/>
          <w:kern w:val="0"/>
          <w:sz w:val="24"/>
          <w:szCs w:val="24"/>
          <w:highlight w:val="none"/>
          <w:lang w:val="en-US" w:eastAsia="zh-CN"/>
        </w:rPr>
        <w:t>8</w:t>
      </w:r>
      <w:r>
        <w:rPr>
          <w:rFonts w:hint="eastAsia" w:ascii="宋体" w:hAnsi="宋体" w:cs="宋体"/>
          <w:snapToGrid w:val="0"/>
          <w:kern w:val="0"/>
          <w:sz w:val="24"/>
          <w:szCs w:val="24"/>
          <w:highlight w:val="none"/>
        </w:rPr>
        <w:t>.2的原则重新开展政府采购活动；</w:t>
      </w:r>
    </w:p>
    <w:p>
      <w:pPr>
        <w:adjustRightInd w:val="0"/>
        <w:snapToGrid w:val="0"/>
        <w:spacing w:line="500" w:lineRule="exact"/>
        <w:ind w:firstLine="480" w:firstLineChars="200"/>
        <w:jc w:val="left"/>
        <w:rPr>
          <w:rFonts w:ascii="宋体" w:hAnsi="宋体" w:cs="宋体"/>
          <w:snapToGrid w:val="0"/>
          <w:kern w:val="0"/>
          <w:sz w:val="28"/>
          <w:szCs w:val="28"/>
          <w:highlight w:val="none"/>
        </w:rPr>
      </w:pPr>
      <w:r>
        <w:rPr>
          <w:rFonts w:hint="eastAsia" w:ascii="宋体" w:hAnsi="宋体" w:cs="宋体"/>
          <w:snapToGrid w:val="0"/>
          <w:kern w:val="0"/>
          <w:sz w:val="24"/>
          <w:szCs w:val="24"/>
          <w:highlight w:val="none"/>
        </w:rPr>
        <w:t>31.3采购文件、中标</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的投标文件及投标修改文件、评标过程中有关澄清文件及经投标人法定代表人或授权代表签字确认的询标回复和承诺及中标通知书均作为合同组成部分。</w:t>
      </w:r>
    </w:p>
    <w:p>
      <w:pPr>
        <w:adjustRightInd w:val="0"/>
        <w:snapToGrid w:val="0"/>
        <w:spacing w:line="52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32.履约保证金</w:t>
      </w:r>
    </w:p>
    <w:p>
      <w:pPr>
        <w:adjustRightInd w:val="0"/>
        <w:snapToGrid w:val="0"/>
        <w:spacing w:line="520" w:lineRule="exact"/>
        <w:ind w:firstLine="480" w:firstLineChars="200"/>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本项目不需交纳履约保证金</w:t>
      </w:r>
    </w:p>
    <w:p>
      <w:pPr>
        <w:adjustRightInd w:val="0"/>
        <w:snapToGrid w:val="0"/>
        <w:spacing w:line="52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33.采购代理服务费</w:t>
      </w:r>
    </w:p>
    <w:p>
      <w:pPr>
        <w:snapToGrid w:val="0"/>
        <w:spacing w:line="500" w:lineRule="exact"/>
        <w:ind w:firstLine="482" w:firstLineChars="200"/>
        <w:rPr>
          <w:rFonts w:ascii="宋体" w:hAnsi="宋体" w:cs="宋体"/>
          <w:sz w:val="24"/>
          <w:szCs w:val="24"/>
          <w:highlight w:val="none"/>
        </w:rPr>
      </w:pPr>
      <w:r>
        <w:rPr>
          <w:rFonts w:hint="eastAsia" w:ascii="宋体" w:hAnsi="宋体" w:cs="宋体"/>
          <w:b/>
          <w:bCs/>
          <w:sz w:val="24"/>
          <w:szCs w:val="24"/>
          <w:highlight w:val="none"/>
        </w:rPr>
        <w:t>详见投标须知前附表。</w:t>
      </w:r>
    </w:p>
    <w:p>
      <w:pPr>
        <w:adjustRightInd w:val="0"/>
        <w:snapToGrid w:val="0"/>
        <w:spacing w:line="500" w:lineRule="exact"/>
        <w:ind w:firstLine="562" w:firstLineChars="200"/>
        <w:rPr>
          <w:rFonts w:ascii="宋体" w:hAnsi="宋体" w:cs="宋体"/>
          <w:b/>
          <w:snapToGrid w:val="0"/>
          <w:kern w:val="0"/>
          <w:sz w:val="28"/>
          <w:szCs w:val="28"/>
          <w:highlight w:val="none"/>
        </w:rPr>
      </w:pPr>
      <w:r>
        <w:rPr>
          <w:rFonts w:hint="eastAsia" w:ascii="宋体" w:hAnsi="宋体" w:cs="宋体"/>
          <w:b/>
          <w:snapToGrid w:val="0"/>
          <w:kern w:val="0"/>
          <w:sz w:val="28"/>
          <w:szCs w:val="28"/>
          <w:highlight w:val="none"/>
        </w:rPr>
        <w:t>34.质疑与投诉</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质疑函范本、投诉书范本请到浙江政府采购网下载专区下载。</w:t>
      </w:r>
    </w:p>
    <w:p>
      <w:pPr>
        <w:adjustRightInd w:val="0"/>
        <w:snapToGrid w:val="0"/>
        <w:spacing w:line="500" w:lineRule="exact"/>
        <w:ind w:firstLine="482" w:firstLineChars="200"/>
        <w:rPr>
          <w:rFonts w:ascii="宋体" w:hAnsi="宋体" w:cs="宋体"/>
          <w:b/>
          <w:snapToGrid w:val="0"/>
          <w:kern w:val="0"/>
          <w:sz w:val="24"/>
          <w:szCs w:val="24"/>
          <w:highlight w:val="none"/>
        </w:rPr>
      </w:pPr>
      <w:r>
        <w:rPr>
          <w:rFonts w:hint="eastAsia" w:ascii="宋体" w:hAnsi="宋体" w:cs="宋体"/>
          <w:b/>
          <w:snapToGrid w:val="0"/>
          <w:kern w:val="0"/>
          <w:sz w:val="24"/>
          <w:szCs w:val="24"/>
          <w:highlight w:val="none"/>
        </w:rPr>
        <w:t>34.1投标人询问</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对政府采购活动事项有疑问的，可以向采购机构提出询问，采购人或者采购代理机构应当在3个工作日内对</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依法提出的询问作出答复，但答复的内容不得涉及商业秘密。</w:t>
      </w:r>
    </w:p>
    <w:p>
      <w:pPr>
        <w:adjustRightInd w:val="0"/>
        <w:snapToGrid w:val="0"/>
        <w:spacing w:line="500" w:lineRule="exact"/>
        <w:ind w:firstLine="482" w:firstLineChars="200"/>
        <w:rPr>
          <w:rFonts w:ascii="宋体" w:hAnsi="宋体" w:cs="宋体"/>
          <w:b/>
          <w:snapToGrid w:val="0"/>
          <w:kern w:val="0"/>
          <w:sz w:val="24"/>
          <w:szCs w:val="24"/>
          <w:highlight w:val="none"/>
        </w:rPr>
      </w:pPr>
      <w:r>
        <w:rPr>
          <w:rFonts w:hint="eastAsia" w:ascii="宋体" w:hAnsi="宋体" w:cs="宋体"/>
          <w:b/>
          <w:snapToGrid w:val="0"/>
          <w:kern w:val="0"/>
          <w:sz w:val="24"/>
          <w:szCs w:val="24"/>
          <w:highlight w:val="none"/>
        </w:rPr>
        <w:t>34.2投标人质疑</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34.2.1</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认为采购文件、采购过程、中标结果使自己的权益受到损害的，可以在知道或者应知其权益受到损害之日起7个工作日内，以书面形式向采购人、采购代理机构提出质疑。</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本项目要求</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在法定质疑期内一次性提出针对同一采购程序环节的质疑。</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34.2.2提出质疑的</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（以下简称质疑人）应当是参与所质疑项目采购活动的</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潜在</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已依法获取其可质疑的采购文件的，可以对该文件提出质疑。对采购文件提出质疑的，应当在获取采购文件或者采购文件公告期限届满之日起7个工作日内提出。</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34.2.3</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提出质疑应当提交质疑函和必要的证明材料。质疑函应当包括下列内容：</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（一）</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的姓名或者名称、地址、邮编、联系人及联系电话；</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（二）质疑项目的名称、编号；</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（三）具体、明确的质疑事项和与质疑事项相关的请求；</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（四）事实依据；</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（五）必要的法律依据；</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（六）提出质疑的日期。</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为自然人的，应当由本人签字；</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为法人或者其他组织的，应当由法定代表人、主要负责人，或者其授权代表签字或者盖章，并加盖公章。</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34.2.4采购人、采购代理机构在收到法定质疑期内发出的质疑函后7个工作日内作出答复，并以书面形式通知质疑人和其他有关</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。质疑答复的内容不得涉及商业秘密。</w:t>
      </w:r>
    </w:p>
    <w:p>
      <w:pPr>
        <w:adjustRightInd w:val="0"/>
        <w:snapToGrid w:val="0"/>
        <w:spacing w:line="500" w:lineRule="exact"/>
        <w:ind w:firstLine="482" w:firstLineChars="200"/>
        <w:rPr>
          <w:rFonts w:ascii="宋体" w:hAnsi="宋体" w:cs="宋体"/>
          <w:b/>
          <w:snapToGrid w:val="0"/>
          <w:kern w:val="0"/>
          <w:sz w:val="24"/>
          <w:szCs w:val="24"/>
          <w:highlight w:val="none"/>
        </w:rPr>
      </w:pPr>
      <w:r>
        <w:rPr>
          <w:rFonts w:hint="eastAsia" w:ascii="宋体" w:hAnsi="宋体" w:cs="宋体"/>
          <w:b/>
          <w:snapToGrid w:val="0"/>
          <w:kern w:val="0"/>
          <w:sz w:val="24"/>
          <w:szCs w:val="24"/>
          <w:highlight w:val="none"/>
        </w:rPr>
        <w:t>34.3投标人投诉</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质疑人对采购机构的答复不满意或者采购机构未在规定的时间内作出答复的，可以在答复期满后十五个工作日内向同级政府采购监督管理部门提出投诉。</w:t>
      </w:r>
    </w:p>
    <w:p>
      <w:pPr>
        <w:adjustRightInd w:val="0"/>
        <w:snapToGrid w:val="0"/>
        <w:spacing w:line="500" w:lineRule="exact"/>
        <w:ind w:firstLine="482" w:firstLineChars="200"/>
        <w:rPr>
          <w:rFonts w:ascii="宋体" w:hAnsi="宋体" w:cs="宋体"/>
          <w:b/>
          <w:snapToGrid w:val="0"/>
          <w:kern w:val="0"/>
          <w:sz w:val="24"/>
          <w:szCs w:val="24"/>
          <w:highlight w:val="none"/>
        </w:rPr>
      </w:pPr>
      <w:r>
        <w:rPr>
          <w:rFonts w:hint="eastAsia" w:ascii="宋体" w:hAnsi="宋体" w:cs="宋体"/>
          <w:b/>
          <w:snapToGrid w:val="0"/>
          <w:kern w:val="0"/>
          <w:sz w:val="24"/>
          <w:szCs w:val="24"/>
          <w:highlight w:val="none"/>
        </w:rPr>
        <w:t>35.采购结束</w:t>
      </w:r>
    </w:p>
    <w:p>
      <w:pPr>
        <w:adjustRightInd w:val="0"/>
        <w:snapToGrid w:val="0"/>
        <w:spacing w:line="500" w:lineRule="exact"/>
        <w:ind w:firstLine="480" w:firstLineChars="200"/>
        <w:jc w:val="left"/>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35.1中标</w:t>
      </w:r>
      <w:r>
        <w:rPr>
          <w:rFonts w:hint="eastAsia" w:ascii="宋体" w:hAnsi="宋体" w:cs="宋体"/>
          <w:sz w:val="24"/>
          <w:szCs w:val="24"/>
          <w:highlight w:val="none"/>
        </w:rPr>
        <w:t>供应商</w:t>
      </w:r>
      <w:r>
        <w:rPr>
          <w:rFonts w:hint="eastAsia" w:ascii="宋体" w:hAnsi="宋体" w:cs="宋体"/>
          <w:snapToGrid w:val="0"/>
          <w:kern w:val="0"/>
          <w:sz w:val="24"/>
          <w:szCs w:val="24"/>
          <w:highlight w:val="none"/>
        </w:rPr>
        <w:t>与采购人签订合同生效后即为采购结束。</w:t>
      </w:r>
    </w:p>
    <w:p>
      <w:pPr>
        <w:adjustRightInd w:val="0"/>
        <w:snapToGrid w:val="0"/>
        <w:spacing w:line="500" w:lineRule="exact"/>
        <w:ind w:firstLine="480" w:firstLineChars="200"/>
        <w:rPr>
          <w:rFonts w:ascii="宋体" w:hAnsi="宋体" w:cs="宋体"/>
          <w:snapToGrid w:val="0"/>
          <w:kern w:val="0"/>
          <w:sz w:val="28"/>
          <w:szCs w:val="28"/>
          <w:highlight w:val="none"/>
        </w:rPr>
      </w:pPr>
      <w:r>
        <w:rPr>
          <w:rFonts w:hint="eastAsia" w:ascii="宋体" w:hAnsi="宋体" w:cs="宋体"/>
          <w:snapToGrid w:val="0"/>
          <w:kern w:val="0"/>
          <w:sz w:val="24"/>
          <w:szCs w:val="24"/>
          <w:highlight w:val="none"/>
        </w:rPr>
        <w:t>35.2本项目的投标文件（包括“备份投标文件”）不予退回。</w:t>
      </w:r>
    </w:p>
    <w:p>
      <w:pPr>
        <w:spacing w:line="500" w:lineRule="exact"/>
        <w:jc w:val="center"/>
        <w:rPr>
          <w:rFonts w:hint="eastAsia" w:ascii="宋体" w:hAnsi="宋体" w:cs="宋体"/>
          <w:b/>
          <w:bCs/>
          <w:sz w:val="28"/>
          <w:szCs w:val="24"/>
          <w:highlight w:val="none"/>
        </w:rPr>
      </w:pPr>
      <w:bookmarkStart w:id="43" w:name="_Toc21366"/>
    </w:p>
    <w:p>
      <w:pPr>
        <w:spacing w:line="500" w:lineRule="exact"/>
        <w:jc w:val="center"/>
        <w:rPr>
          <w:rFonts w:ascii="宋体" w:hAnsi="宋体" w:cs="宋体"/>
          <w:b/>
          <w:bCs/>
          <w:sz w:val="28"/>
          <w:szCs w:val="24"/>
          <w:highlight w:val="none"/>
        </w:rPr>
      </w:pPr>
      <w:r>
        <w:rPr>
          <w:rFonts w:hint="eastAsia" w:ascii="宋体" w:hAnsi="宋体" w:cs="宋体"/>
          <w:b/>
          <w:bCs/>
          <w:sz w:val="28"/>
          <w:szCs w:val="24"/>
          <w:highlight w:val="none"/>
        </w:rPr>
        <w:t>七、其他</w:t>
      </w:r>
      <w:bookmarkEnd w:id="43"/>
    </w:p>
    <w:p>
      <w:pPr>
        <w:pStyle w:val="8"/>
        <w:spacing w:line="500" w:lineRule="exact"/>
        <w:ind w:firstLine="482"/>
        <w:rPr>
          <w:rFonts w:ascii="宋体" w:hAnsi="宋体" w:cs="宋体"/>
          <w:sz w:val="24"/>
          <w:szCs w:val="24"/>
          <w:highlight w:val="none"/>
        </w:rPr>
      </w:pPr>
      <w:r>
        <w:rPr>
          <w:rFonts w:hint="eastAsia" w:ascii="宋体" w:hAnsi="宋体" w:cs="宋体"/>
          <w:b/>
          <w:bCs/>
          <w:sz w:val="24"/>
          <w:szCs w:val="24"/>
          <w:highlight w:val="none"/>
        </w:rPr>
        <w:t>36.解释权：</w:t>
      </w:r>
      <w:r>
        <w:rPr>
          <w:rFonts w:hint="eastAsia" w:ascii="宋体" w:hAnsi="宋体" w:cs="宋体"/>
          <w:sz w:val="24"/>
          <w:szCs w:val="24"/>
          <w:highlight w:val="none"/>
        </w:rPr>
        <w:t>本招标文件是参照《中华人民共和国政府采购法》、《中华人民共和国政府采购法实施条例》（中华人民共和国国务院令第658号）、《政府采购货物和服务招标投标管理办法》（中华人民共和国财政部令第87号）及有关规定编制的，解释权属采购人。</w:t>
      </w:r>
    </w:p>
    <w:p>
      <w:pPr>
        <w:pStyle w:val="8"/>
        <w:spacing w:line="500" w:lineRule="exact"/>
        <w:ind w:firstLine="482"/>
        <w:rPr>
          <w:rFonts w:ascii="宋体" w:hAnsi="宋体" w:cs="宋体"/>
          <w:snapToGrid w:val="0"/>
          <w:kern w:val="28"/>
          <w:sz w:val="24"/>
          <w:szCs w:val="24"/>
          <w:highlight w:val="none"/>
        </w:rPr>
      </w:pPr>
      <w:r>
        <w:rPr>
          <w:rFonts w:hint="eastAsia" w:ascii="宋体" w:hAnsi="宋体" w:cs="宋体"/>
          <w:b/>
          <w:bCs/>
          <w:sz w:val="24"/>
          <w:szCs w:val="24"/>
          <w:highlight w:val="none"/>
        </w:rPr>
        <w:t>37.可中止电子交易活动的情形：</w:t>
      </w:r>
      <w:r>
        <w:rPr>
          <w:rFonts w:hint="eastAsia" w:ascii="宋体" w:hAnsi="宋体" w:cs="宋体"/>
          <w:snapToGrid w:val="0"/>
          <w:kern w:val="28"/>
          <w:sz w:val="24"/>
          <w:szCs w:val="24"/>
          <w:highlight w:val="none"/>
        </w:rPr>
        <w:t>采购过程中出现以下情形，导致电子交易平台无法正常运行，或者无法保证电子交易的公平、公正和安全时，采购代理机构可中止电子交易活动：</w:t>
      </w:r>
    </w:p>
    <w:p>
      <w:pPr>
        <w:pStyle w:val="3"/>
        <w:rPr>
          <w:rFonts w:ascii="宋体" w:hAnsi="宋体" w:cs="宋体"/>
          <w:snapToGrid w:val="0"/>
          <w:kern w:val="28"/>
          <w:sz w:val="24"/>
          <w:highlight w:val="none"/>
        </w:rPr>
      </w:pPr>
      <w:r>
        <w:rPr>
          <w:rFonts w:hint="eastAsia" w:ascii="宋体" w:hAnsi="宋体" w:cs="宋体"/>
          <w:snapToGrid w:val="0"/>
          <w:kern w:val="28"/>
          <w:sz w:val="24"/>
          <w:highlight w:val="none"/>
        </w:rPr>
        <w:t>37.1电子交易平台发生故障而无法登录访问的；</w:t>
      </w:r>
    </w:p>
    <w:p>
      <w:pPr>
        <w:pStyle w:val="3"/>
        <w:rPr>
          <w:rFonts w:ascii="宋体" w:hAnsi="宋体" w:cs="宋体"/>
          <w:snapToGrid w:val="0"/>
          <w:kern w:val="28"/>
          <w:sz w:val="24"/>
          <w:highlight w:val="none"/>
        </w:rPr>
      </w:pPr>
      <w:r>
        <w:rPr>
          <w:rFonts w:hint="eastAsia" w:ascii="宋体" w:hAnsi="宋体" w:cs="宋体"/>
          <w:snapToGrid w:val="0"/>
          <w:kern w:val="28"/>
          <w:sz w:val="24"/>
          <w:highlight w:val="none"/>
        </w:rPr>
        <w:t>37.2电子交易平台应用或数据库出现错误，不能进行正常操作的；</w:t>
      </w:r>
    </w:p>
    <w:p>
      <w:pPr>
        <w:pStyle w:val="3"/>
        <w:rPr>
          <w:rFonts w:ascii="宋体" w:hAnsi="宋体" w:cs="宋体"/>
          <w:snapToGrid w:val="0"/>
          <w:kern w:val="28"/>
          <w:sz w:val="24"/>
          <w:highlight w:val="none"/>
        </w:rPr>
      </w:pPr>
      <w:r>
        <w:rPr>
          <w:rFonts w:hint="eastAsia" w:ascii="宋体" w:hAnsi="宋体" w:cs="宋体"/>
          <w:snapToGrid w:val="0"/>
          <w:kern w:val="28"/>
          <w:sz w:val="24"/>
          <w:highlight w:val="none"/>
        </w:rPr>
        <w:t>37.3电子交易平台发现严重安全漏洞，有潜在泄密危险的；</w:t>
      </w:r>
    </w:p>
    <w:p>
      <w:pPr>
        <w:pStyle w:val="3"/>
        <w:rPr>
          <w:rFonts w:ascii="宋体" w:hAnsi="宋体" w:cs="宋体"/>
          <w:snapToGrid w:val="0"/>
          <w:kern w:val="28"/>
          <w:sz w:val="24"/>
          <w:highlight w:val="none"/>
        </w:rPr>
      </w:pPr>
      <w:r>
        <w:rPr>
          <w:rFonts w:hint="eastAsia" w:ascii="宋体" w:hAnsi="宋体" w:cs="宋体"/>
          <w:snapToGrid w:val="0"/>
          <w:kern w:val="28"/>
          <w:sz w:val="24"/>
          <w:highlight w:val="none"/>
        </w:rPr>
        <w:t>37.4病毒发作导致不能进行正常操作的；</w:t>
      </w:r>
    </w:p>
    <w:p>
      <w:pPr>
        <w:pStyle w:val="3"/>
        <w:rPr>
          <w:rFonts w:ascii="宋体" w:hAnsi="宋体" w:cs="宋体"/>
          <w:snapToGrid w:val="0"/>
          <w:kern w:val="28"/>
          <w:sz w:val="24"/>
          <w:highlight w:val="none"/>
        </w:rPr>
      </w:pPr>
      <w:r>
        <w:rPr>
          <w:rFonts w:hint="eastAsia" w:ascii="宋体" w:hAnsi="宋体" w:cs="宋体"/>
          <w:snapToGrid w:val="0"/>
          <w:kern w:val="28"/>
          <w:sz w:val="24"/>
          <w:highlight w:val="none"/>
        </w:rPr>
        <w:t>37.5其他无法保证电子交易的公平、公正和安全的情况。</w:t>
      </w:r>
    </w:p>
    <w:p>
      <w:pPr>
        <w:pStyle w:val="3"/>
        <w:rPr>
          <w:rFonts w:hint="eastAsia" w:ascii="宋体" w:hAnsi="宋体" w:cs="宋体"/>
          <w:snapToGrid w:val="0"/>
          <w:kern w:val="28"/>
          <w:sz w:val="24"/>
          <w:highlight w:val="none"/>
        </w:rPr>
      </w:pPr>
      <w:r>
        <w:rPr>
          <w:rFonts w:hint="eastAsia" w:ascii="宋体" w:hAnsi="宋体" w:cs="宋体"/>
          <w:snapToGrid w:val="0"/>
          <w:kern w:val="28"/>
          <w:sz w:val="24"/>
          <w:highlight w:val="none"/>
        </w:rPr>
        <w:t>出现前款规定情形，不影响采购公平、公正性的，采购代理机构可以待上述情形消除后继续组织电子交易活动；影响或可能影响采购公平、公正性的，应当重新采购。</w:t>
      </w:r>
    </w:p>
    <w:p>
      <w:pPr>
        <w:pStyle w:val="3"/>
        <w:rPr>
          <w:rFonts w:hint="default" w:ascii="宋体" w:hAnsi="宋体" w:cs="宋体"/>
          <w:snapToGrid w:val="0"/>
          <w:kern w:val="28"/>
          <w:sz w:val="24"/>
          <w:highlight w:val="none"/>
        </w:rPr>
      </w:pPr>
      <w:r>
        <w:rPr>
          <w:rFonts w:hint="eastAsia" w:ascii="宋体" w:hAnsi="宋体" w:cs="宋体"/>
          <w:snapToGrid w:val="0"/>
          <w:kern w:val="28"/>
          <w:sz w:val="24"/>
          <w:highlight w:val="none"/>
          <w:lang w:val="en-US" w:eastAsia="zh-CN"/>
        </w:rPr>
        <w:t>38.不同供应商出现</w:t>
      </w:r>
      <w:r>
        <w:rPr>
          <w:rFonts w:hint="eastAsia" w:ascii="宋体" w:hAnsi="宋体" w:cs="宋体"/>
          <w:snapToGrid w:val="0"/>
          <w:kern w:val="28"/>
          <w:sz w:val="24"/>
          <w:highlight w:val="none"/>
        </w:rPr>
        <w:t>MAC地址相同、计算机硬盘序列号相同、采购文件细节错误一致且无合理解释等情形，可以认定为串标围标</w:t>
      </w:r>
      <w:r>
        <w:rPr>
          <w:rFonts w:hint="eastAsia" w:ascii="宋体" w:hAnsi="宋体" w:cs="宋体"/>
          <w:snapToGrid w:val="0"/>
          <w:kern w:val="28"/>
          <w:sz w:val="24"/>
          <w:highlight w:val="none"/>
          <w:lang w:eastAsia="zh-CN"/>
        </w:rPr>
        <w:t>。</w:t>
      </w:r>
      <w:r>
        <w:rPr>
          <w:rFonts w:hint="eastAsia" w:ascii="宋体" w:hAnsi="宋体" w:cs="宋体"/>
          <w:snapToGrid w:val="0"/>
          <w:kern w:val="28"/>
          <w:sz w:val="24"/>
          <w:highlight w:val="none"/>
          <w:lang w:val="en-US" w:eastAsia="zh-CN"/>
        </w:rPr>
        <w:t>因</w:t>
      </w:r>
      <w:r>
        <w:rPr>
          <w:rFonts w:hint="eastAsia" w:ascii="宋体" w:hAnsi="宋体" w:cs="宋体"/>
          <w:snapToGrid w:val="0"/>
          <w:kern w:val="28"/>
          <w:sz w:val="24"/>
          <w:highlight w:val="none"/>
        </w:rPr>
        <w:t>政采云平台项目采购系统获取并展示投标供应商的 IP、MAC、设备硬件等信息获取会存在误差</w:t>
      </w:r>
      <w:r>
        <w:rPr>
          <w:rFonts w:hint="eastAsia" w:ascii="宋体" w:hAnsi="宋体" w:cs="宋体"/>
          <w:snapToGrid w:val="0"/>
          <w:kern w:val="28"/>
          <w:sz w:val="24"/>
          <w:highlight w:val="none"/>
          <w:lang w:eastAsia="zh-CN"/>
        </w:rPr>
        <w:t>，</w:t>
      </w:r>
      <w:r>
        <w:rPr>
          <w:rFonts w:hint="eastAsia" w:ascii="宋体" w:hAnsi="宋体" w:cs="宋体"/>
          <w:snapToGrid w:val="0"/>
          <w:kern w:val="28"/>
          <w:sz w:val="24"/>
          <w:highlight w:val="none"/>
        </w:rPr>
        <w:t>无法精准兼顾特殊情况</w:t>
      </w:r>
      <w:r>
        <w:rPr>
          <w:rFonts w:hint="eastAsia" w:ascii="宋体" w:hAnsi="宋体" w:cs="宋体"/>
          <w:snapToGrid w:val="0"/>
          <w:kern w:val="28"/>
          <w:sz w:val="24"/>
          <w:highlight w:val="none"/>
          <w:lang w:eastAsia="zh-CN"/>
        </w:rPr>
        <w:t>，</w:t>
      </w:r>
      <w:r>
        <w:rPr>
          <w:rFonts w:hint="eastAsia" w:ascii="宋体" w:hAnsi="宋体" w:cs="宋体"/>
          <w:snapToGrid w:val="0"/>
          <w:kern w:val="28"/>
          <w:sz w:val="24"/>
          <w:highlight w:val="none"/>
        </w:rPr>
        <w:t>最终供应商投标信息是否重复、是否存在串围标行为需代理机构和评审人员进一步判断</w:t>
      </w:r>
      <w:r>
        <w:rPr>
          <w:rFonts w:hint="eastAsia" w:ascii="宋体" w:hAnsi="宋体" w:cs="宋体"/>
          <w:snapToGrid w:val="0"/>
          <w:kern w:val="28"/>
          <w:sz w:val="24"/>
          <w:highlight w:val="none"/>
          <w:lang w:val="en-US" w:eastAsia="zh-CN"/>
        </w:rPr>
        <w:t>。</w:t>
      </w:r>
    </w:p>
    <w:p>
      <w:pPr>
        <w:pStyle w:val="3"/>
        <w:rPr>
          <w:rFonts w:hint="default" w:ascii="宋体" w:hAnsi="宋体" w:eastAsia="宋体" w:cs="宋体"/>
          <w:snapToGrid w:val="0"/>
          <w:kern w:val="28"/>
          <w:sz w:val="24"/>
          <w:highlight w:val="none"/>
          <w:lang w:val="en-US" w:eastAsia="zh-CN"/>
        </w:rPr>
      </w:pPr>
    </w:p>
    <w:p>
      <w:pPr>
        <w:pStyle w:val="4"/>
        <w:pageBreakBefore/>
        <w:numPr>
          <w:ilvl w:val="0"/>
          <w:numId w:val="5"/>
        </w:numPr>
        <w:spacing w:line="400" w:lineRule="exact"/>
        <w:jc w:val="center"/>
        <w:rPr>
          <w:rFonts w:ascii="宋体" w:hAnsi="宋体" w:cs="宋体"/>
          <w:sz w:val="28"/>
          <w:szCs w:val="28"/>
          <w:highlight w:val="none"/>
        </w:rPr>
      </w:pPr>
      <w:bookmarkStart w:id="44" w:name="_Toc24091"/>
      <w:bookmarkStart w:id="45" w:name="_Toc27298"/>
      <w:r>
        <w:rPr>
          <w:rFonts w:hint="eastAsia" w:ascii="宋体" w:hAnsi="宋体" w:cs="宋体"/>
          <w:sz w:val="28"/>
          <w:szCs w:val="28"/>
          <w:highlight w:val="none"/>
        </w:rPr>
        <w:t>采购内容及要求</w:t>
      </w:r>
      <w:bookmarkEnd w:id="44"/>
      <w:bookmarkEnd w:id="45"/>
    </w:p>
    <w:p>
      <w:pPr>
        <w:spacing w:line="500" w:lineRule="exact"/>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1.项目概况</w:t>
      </w:r>
    </w:p>
    <w:p>
      <w:pPr>
        <w:spacing w:line="500" w:lineRule="exact"/>
        <w:ind w:firstLine="480" w:firstLineChars="200"/>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为了解决城市发展建设中的各种问题，精准服务招商项目落地需要，完成市委市政府相关的各项任务，在项目前期需要对现状存在问题、用地范围、主要规划指标等方面进行重新深化细化研究，从而满足项目落地建设需要，并解决智慧新城规划编制、管理过程中存在的相关问题。因此开展《衢州智慧新城2024-2025年度规划类项目技术服务》采购。年度预算金额200万元，服务期1年。</w:t>
      </w:r>
    </w:p>
    <w:p>
      <w:pPr>
        <w:spacing w:line="500" w:lineRule="exact"/>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2.技术服务范围</w:t>
      </w:r>
    </w:p>
    <w:p>
      <w:pPr>
        <w:spacing w:line="50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智慧新城41.5平方公里，东至23省道，南至320国道，西至莫家村、下河东村西侧村界，北至杭金衢高速，包括智慧新城一期、高铁新城、百家塘片区、浮石片区、姜家山片区、莫家片区六个片区。</w:t>
      </w:r>
    </w:p>
    <w:p>
      <w:pPr>
        <w:numPr>
          <w:ilvl w:val="0"/>
          <w:numId w:val="6"/>
        </w:numPr>
        <w:spacing w:line="500" w:lineRule="exact"/>
        <w:ind w:left="361" w:firstLine="0" w:firstLineChars="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服务内容包括（不限于）：</w:t>
      </w:r>
    </w:p>
    <w:p>
      <w:pPr>
        <w:numPr>
          <w:ilvl w:val="0"/>
          <w:numId w:val="0"/>
        </w:numPr>
        <w:spacing w:line="50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bidi="ar-SA"/>
        </w:rPr>
        <w:t>（一）</w:t>
      </w:r>
      <w:r>
        <w:rPr>
          <w:rFonts w:hint="eastAsia" w:ascii="宋体" w:hAnsi="宋体" w:eastAsia="宋体" w:cs="宋体"/>
          <w:b w:val="0"/>
          <w:bCs w:val="0"/>
          <w:color w:val="auto"/>
          <w:kern w:val="0"/>
          <w:sz w:val="24"/>
          <w:szCs w:val="24"/>
          <w:highlight w:val="none"/>
          <w:lang w:val="en-US" w:eastAsia="zh-CN"/>
        </w:rPr>
        <w:t>重要课题研究</w:t>
      </w:r>
    </w:p>
    <w:p>
      <w:pPr>
        <w:spacing w:line="500" w:lineRule="exact"/>
        <w:ind w:firstLine="480" w:firstLineChars="200"/>
        <w:rPr>
          <w:rFonts w:hint="default"/>
          <w:highlight w:val="none"/>
          <w:lang w:val="en-US" w:eastAsia="zh-CN"/>
        </w:rPr>
      </w:pPr>
      <w:r>
        <w:rPr>
          <w:rFonts w:hint="eastAsia" w:ascii="宋体" w:hAnsi="宋体" w:eastAsia="宋体" w:cs="宋体"/>
          <w:b w:val="0"/>
          <w:bCs w:val="0"/>
          <w:color w:val="auto"/>
          <w:kern w:val="0"/>
          <w:sz w:val="24"/>
          <w:szCs w:val="24"/>
          <w:highlight w:val="none"/>
          <w:lang w:val="en-US" w:eastAsia="zh-CN"/>
        </w:rPr>
        <w:t>针对片区发展或项目建设需要，解决规划或项目建设存在问题，梳理相关规划要求，开展相关规划研究。</w:t>
      </w:r>
    </w:p>
    <w:p>
      <w:pPr>
        <w:spacing w:line="50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（二）项目选址研究</w:t>
      </w:r>
    </w:p>
    <w:p>
      <w:pPr>
        <w:spacing w:line="50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结合《衢州市国土空间总体规划（2021-2035）》和城市设计、各片区控规、相关专项规划，针对实际项目建设需要，结合项目规模及用地性质，开展建设项目规划选址方案研究。</w:t>
      </w:r>
    </w:p>
    <w:p>
      <w:pPr>
        <w:numPr>
          <w:ilvl w:val="0"/>
          <w:numId w:val="0"/>
        </w:numPr>
        <w:spacing w:line="500" w:lineRule="exact"/>
        <w:ind w:left="361" w:firstLine="0" w:firstLine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（三）总图管理</w:t>
      </w:r>
    </w:p>
    <w:p>
      <w:pPr>
        <w:spacing w:line="50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要负责核对智慧新城范围内各类用地红线，包括但不限于项目选址红线、项目用地红线、项目供地红线、项目实施范围线、地块污染调查范围图、绿化易地补偿图等，以及红线总图汇总，并每月更新，确保出具红线的准确性。</w:t>
      </w:r>
    </w:p>
    <w:p>
      <w:pPr>
        <w:spacing w:line="50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（四）规划服务技术咨询</w:t>
      </w:r>
    </w:p>
    <w:p>
      <w:pPr>
        <w:spacing w:line="50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主要负责涉及智慧新城范围内各类规划及专题研究的技术咨询，提出意见建议，为片区发展或项目决策提供技术支撑。</w:t>
      </w:r>
    </w:p>
    <w:p>
      <w:pPr>
        <w:numPr>
          <w:ilvl w:val="0"/>
          <w:numId w:val="0"/>
        </w:numPr>
        <w:spacing w:line="50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（五）控规调整论证</w:t>
      </w:r>
    </w:p>
    <w:p>
      <w:pPr>
        <w:spacing w:line="50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主要包括智慧新城范围内出让及划拨地块控规图则编制，对控规调整主要规划指标进行测算及论证，编制控规调整论证报告。</w:t>
      </w:r>
    </w:p>
    <w:p>
      <w:pPr>
        <w:numPr>
          <w:ilvl w:val="0"/>
          <w:numId w:val="0"/>
        </w:numPr>
        <w:spacing w:line="50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（六）</w:t>
      </w:r>
      <w:r>
        <w:rPr>
          <w:rFonts w:hint="eastAsia" w:ascii="宋体" w:hAnsi="宋体" w:eastAsia="宋体" w:cs="宋体"/>
          <w:b w:val="0"/>
          <w:bCs w:val="0"/>
          <w:color w:val="auto"/>
          <w:kern w:val="0"/>
          <w:sz w:val="24"/>
          <w:szCs w:val="24"/>
          <w:highlight w:val="none"/>
          <w:lang w:val="en-US" w:eastAsia="zh-CN"/>
        </w:rPr>
        <w:t>地块方案试排</w:t>
      </w:r>
    </w:p>
    <w:p>
      <w:pPr>
        <w:spacing w:line="50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针对拟出让或划拨的重点地块，</w:t>
      </w:r>
      <w:r>
        <w:rPr>
          <w:rFonts w:hint="eastAsia" w:ascii="宋体" w:hAnsi="宋体" w:eastAsia="宋体" w:cs="宋体"/>
          <w:i w:val="0"/>
          <w:iCs w:val="0"/>
          <w:caps w:val="0"/>
          <w:color w:val="auto"/>
          <w:spacing w:val="0"/>
          <w:kern w:val="0"/>
          <w:sz w:val="24"/>
          <w:szCs w:val="24"/>
          <w:highlight w:val="none"/>
          <w:shd w:val="clear" w:color="auto" w:fill="auto"/>
        </w:rPr>
        <w:t>进行模拟方案设计，根据需要进行了指标论证，‌包括建筑布局、‌日照、‌消防、‌交通组织等方面的考量，‌以确保规划方案能够满足相关法规和规范的要求。‌通过试排方案，‌确定了总建筑面积、‌容积率、‌建筑密度、‌绿地率和建筑高度等关键指标</w:t>
      </w:r>
      <w:r>
        <w:rPr>
          <w:rFonts w:hint="eastAsia" w:ascii="宋体" w:hAnsi="宋体" w:eastAsia="宋体" w:cs="宋体"/>
          <w:i w:val="0"/>
          <w:iCs w:val="0"/>
          <w:caps w:val="0"/>
          <w:color w:val="auto"/>
          <w:spacing w:val="0"/>
          <w:kern w:val="0"/>
          <w:sz w:val="24"/>
          <w:szCs w:val="24"/>
          <w:highlight w:val="none"/>
          <w:shd w:val="clear" w:color="auto" w:fill="auto"/>
          <w:lang w:eastAsia="zh-CN"/>
        </w:rPr>
        <w:t>。</w:t>
      </w:r>
    </w:p>
    <w:p>
      <w:pPr>
        <w:spacing w:line="500" w:lineRule="exact"/>
        <w:ind w:firstLine="482" w:firstLineChars="200"/>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4.单个项目费用参照计费标准，年度结算费用不超200万元，数量按实结算。</w:t>
      </w:r>
    </w:p>
    <w:p>
      <w:pPr>
        <w:spacing w:line="500" w:lineRule="exact"/>
        <w:ind w:firstLine="482" w:firstLineChars="20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5.常驻人员要求：投标人必须派3名常驻人员，其中1名具有规划类中级技术职称，1名具有园林或市政专业中级技术职称；常驻地点为衢州市智慧新城管委会办公室。常驻人员交通费、餐费等一切费用由投标人自行承担。常驻人员工作日在岗时间不少于7小时，工作日的上下班时间为：8:30-12:00,14:30-18:00（夏令）、14:00-17:30（冬令）。</w:t>
      </w:r>
    </w:p>
    <w:p>
      <w:pPr>
        <w:numPr>
          <w:ilvl w:val="0"/>
          <w:numId w:val="0"/>
        </w:numPr>
        <w:spacing w:line="50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6.项目</w:t>
      </w:r>
      <w:r>
        <w:rPr>
          <w:rFonts w:hint="eastAsia" w:ascii="宋体" w:hAnsi="宋体" w:eastAsia="宋体" w:cs="宋体"/>
          <w:b/>
          <w:bCs/>
          <w:color w:val="auto"/>
          <w:kern w:val="0"/>
          <w:sz w:val="24"/>
          <w:szCs w:val="24"/>
          <w:highlight w:val="none"/>
        </w:rPr>
        <w:t>成果形式及内容</w:t>
      </w:r>
    </w:p>
    <w:p>
      <w:pPr>
        <w:spacing w:line="50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最终规划成果包含研究报告（PPT、DOC文件或可编辑的PDF文件）、图集（JPG文件）、附件（PPT、DOC文件）、汇报文件（PPT文件），以及项目相关的CAD文件（DWG格式）、三维数字化模型文件（Sketchup或3Dmax文件格式）等。</w:t>
      </w:r>
    </w:p>
    <w:p>
      <w:pPr>
        <w:spacing w:line="500" w:lineRule="exact"/>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7.进度要求</w:t>
      </w:r>
    </w:p>
    <w:p>
      <w:pPr>
        <w:spacing w:line="50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根据采购人实际需求，及时开展项目编制研究，具体以各项目要求完成时间为准。</w:t>
      </w:r>
    </w:p>
    <w:p>
      <w:pPr>
        <w:numPr>
          <w:ilvl w:val="0"/>
          <w:numId w:val="0"/>
        </w:numPr>
        <w:tabs>
          <w:tab w:val="left" w:pos="0"/>
        </w:tabs>
        <w:spacing w:line="500" w:lineRule="exact"/>
        <w:ind w:firstLine="480" w:firstLineChars="200"/>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rPr>
        <w:t>8</w:t>
      </w:r>
      <w:r>
        <w:rPr>
          <w:rFonts w:hint="eastAsia" w:ascii="宋体" w:hAnsi="宋体" w:cs="宋体"/>
          <w:b/>
          <w:bCs/>
          <w:color w:val="auto"/>
          <w:kern w:val="0"/>
          <w:sz w:val="24"/>
          <w:highlight w:val="none"/>
          <w:lang w:val="en-US" w:eastAsia="zh-CN"/>
        </w:rPr>
        <w:t>.</w:t>
      </w:r>
      <w:r>
        <w:rPr>
          <w:rFonts w:hint="eastAsia" w:ascii="宋体" w:hAnsi="宋体" w:eastAsia="宋体" w:cs="宋体"/>
          <w:b/>
          <w:bCs/>
          <w:color w:val="auto"/>
          <w:kern w:val="0"/>
          <w:sz w:val="24"/>
          <w:highlight w:val="none"/>
          <w:lang w:val="en-US" w:eastAsia="zh-CN"/>
        </w:rPr>
        <w:t xml:space="preserve">付款方式 </w:t>
      </w:r>
    </w:p>
    <w:p>
      <w:pPr>
        <w:spacing w:line="50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（1）预付款支付：合同生效且具备实施条件后7个工作日内支付人民币20万元。</w:t>
      </w:r>
    </w:p>
    <w:p>
      <w:pPr>
        <w:spacing w:line="50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（2）按满6个月结算，合同签订后满6个月的结算清单经相关部门审核通过并提供发票后20个工作日内支付。第一次结算需扣除预付款后支付。</w:t>
      </w:r>
    </w:p>
    <w:p>
      <w:pPr>
        <w:spacing w:line="50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如</w:t>
      </w:r>
      <w:r>
        <w:rPr>
          <w:rFonts w:hint="eastAsia" w:ascii="宋体" w:hAnsi="宋体" w:eastAsia="宋体" w:cs="宋体"/>
          <w:color w:val="auto"/>
          <w:kern w:val="0"/>
          <w:sz w:val="24"/>
          <w:highlight w:val="none"/>
          <w:lang w:val="en-US" w:eastAsia="zh-CN"/>
        </w:rPr>
        <w:t>中标人为中小企业的，对中小企业合同预付款比例调整至合同金额的40％</w:t>
      </w:r>
      <w:r>
        <w:rPr>
          <w:rFonts w:hint="eastAsia" w:ascii="宋体" w:hAnsi="宋体" w:cs="宋体"/>
          <w:color w:val="auto"/>
          <w:kern w:val="0"/>
          <w:sz w:val="24"/>
          <w:highlight w:val="none"/>
          <w:lang w:val="en-US" w:eastAsia="zh-CN"/>
        </w:rPr>
        <w:t>。</w:t>
      </w:r>
    </w:p>
    <w:p>
      <w:pPr>
        <w:spacing w:line="500" w:lineRule="exact"/>
        <w:ind w:firstLine="482" w:firstLineChars="200"/>
        <w:rPr>
          <w:rFonts w:hint="default" w:ascii="宋体" w:hAnsi="宋体" w:eastAsia="宋体" w:cs="宋体"/>
          <w:b/>
          <w:bCs/>
          <w:color w:val="auto"/>
          <w:kern w:val="0"/>
          <w:sz w:val="24"/>
          <w:highlight w:val="none"/>
          <w:lang w:val="en-US" w:eastAsia="zh-CN"/>
        </w:rPr>
      </w:pPr>
      <w:r>
        <w:rPr>
          <w:rFonts w:hint="default" w:ascii="宋体" w:hAnsi="宋体" w:eastAsia="宋体" w:cs="宋体"/>
          <w:b/>
          <w:bCs/>
          <w:color w:val="auto"/>
          <w:kern w:val="0"/>
          <w:sz w:val="24"/>
          <w:highlight w:val="none"/>
          <w:lang w:val="en-US" w:eastAsia="zh-CN"/>
        </w:rPr>
        <w:t>9</w:t>
      </w:r>
      <w:r>
        <w:rPr>
          <w:rFonts w:hint="eastAsia" w:ascii="宋体" w:hAnsi="宋体" w:eastAsia="宋体" w:cs="宋体"/>
          <w:b/>
          <w:bCs/>
          <w:color w:val="auto"/>
          <w:kern w:val="0"/>
          <w:sz w:val="24"/>
          <w:highlight w:val="none"/>
          <w:lang w:val="en-US" w:eastAsia="zh-CN"/>
        </w:rPr>
        <w:t>.</w:t>
      </w:r>
      <w:r>
        <w:rPr>
          <w:rFonts w:hint="default" w:ascii="宋体" w:hAnsi="宋体" w:eastAsia="宋体" w:cs="宋体"/>
          <w:b/>
          <w:bCs/>
          <w:color w:val="auto"/>
          <w:kern w:val="0"/>
          <w:sz w:val="24"/>
          <w:highlight w:val="none"/>
          <w:lang w:val="en-US" w:eastAsia="zh-CN"/>
        </w:rPr>
        <w:t>计费标准</w:t>
      </w:r>
    </w:p>
    <w:p>
      <w:pPr>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9.1</w:t>
      </w:r>
      <w:r>
        <w:rPr>
          <w:rFonts w:hint="eastAsia" w:ascii="宋体" w:hAnsi="宋体" w:eastAsia="宋体" w:cs="宋体"/>
          <w:b w:val="0"/>
          <w:bCs w:val="0"/>
          <w:color w:val="auto"/>
          <w:kern w:val="0"/>
          <w:sz w:val="24"/>
          <w:szCs w:val="24"/>
          <w:highlight w:val="none"/>
          <w:lang w:val="en-US"/>
        </w:rPr>
        <w:t>地块控制性详细规划</w:t>
      </w:r>
      <w:r>
        <w:rPr>
          <w:rFonts w:hint="eastAsia" w:ascii="宋体" w:hAnsi="宋体" w:eastAsia="宋体" w:cs="宋体"/>
          <w:b w:val="0"/>
          <w:bCs w:val="0"/>
          <w:color w:val="auto"/>
          <w:kern w:val="0"/>
          <w:sz w:val="24"/>
          <w:szCs w:val="24"/>
          <w:highlight w:val="none"/>
          <w:lang w:val="en-US" w:eastAsia="zh-CN"/>
        </w:rPr>
        <w:t>图则及方案试排</w:t>
      </w:r>
    </w:p>
    <w:tbl>
      <w:tblPr>
        <w:tblStyle w:val="22"/>
        <w:tblW w:w="8156"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4117"/>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noWrap w:val="0"/>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1"/>
                <w:highlight w:val="none"/>
                <w:vertAlign w:val="baseline"/>
                <w:lang w:val="en-US" w:eastAsia="zh-CN"/>
              </w:rPr>
            </w:pPr>
            <w:r>
              <w:rPr>
                <w:rFonts w:hint="eastAsia" w:ascii="宋体" w:hAnsi="宋体" w:eastAsia="宋体" w:cs="宋体"/>
                <w:color w:val="auto"/>
                <w:kern w:val="0"/>
                <w:sz w:val="24"/>
                <w:szCs w:val="24"/>
                <w:highlight w:val="none"/>
                <w:lang w:val="en-US"/>
              </w:rPr>
              <w:t>序号</w:t>
            </w:r>
          </w:p>
        </w:tc>
        <w:tc>
          <w:tcPr>
            <w:tcW w:w="4117" w:type="dxa"/>
            <w:noWrap w:val="0"/>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1"/>
                <w:highlight w:val="none"/>
                <w:vertAlign w:val="baseline"/>
                <w:lang w:val="en-US" w:eastAsia="zh-CN"/>
              </w:rPr>
            </w:pPr>
            <w:r>
              <w:rPr>
                <w:rFonts w:hint="eastAsia" w:ascii="宋体" w:hAnsi="宋体" w:eastAsia="宋体" w:cs="宋体"/>
                <w:color w:val="auto"/>
                <w:kern w:val="0"/>
                <w:sz w:val="24"/>
                <w:szCs w:val="24"/>
                <w:highlight w:val="none"/>
                <w:lang w:val="en-US"/>
              </w:rPr>
              <w:t>用地规模（公顷)</w:t>
            </w:r>
          </w:p>
        </w:tc>
        <w:tc>
          <w:tcPr>
            <w:tcW w:w="2839" w:type="dxa"/>
            <w:noWrap w:val="0"/>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1"/>
                <w:highlight w:val="none"/>
                <w:vertAlign w:val="baseline"/>
                <w:lang w:val="en-US" w:eastAsia="zh-CN"/>
              </w:rPr>
            </w:pPr>
            <w:r>
              <w:rPr>
                <w:rFonts w:hint="eastAsia" w:ascii="宋体" w:hAnsi="宋体" w:eastAsia="宋体" w:cs="宋体"/>
                <w:color w:val="auto"/>
                <w:kern w:val="0"/>
                <w:sz w:val="24"/>
                <w:szCs w:val="24"/>
                <w:highlight w:val="none"/>
                <w:lang w:val="en-US"/>
              </w:rPr>
              <w:t>计费单价（</w:t>
            </w:r>
            <w:r>
              <w:rPr>
                <w:rFonts w:hint="eastAsia" w:ascii="宋体" w:hAnsi="宋体" w:eastAsia="宋体" w:cs="宋体"/>
                <w:b w:val="0"/>
                <w:bCs w:val="0"/>
                <w:color w:val="auto"/>
                <w:kern w:val="0"/>
                <w:sz w:val="24"/>
                <w:szCs w:val="24"/>
                <w:highlight w:val="none"/>
                <w:lang w:val="en-US" w:eastAsia="zh-CN"/>
              </w:rPr>
              <w:t>万</w:t>
            </w:r>
            <w:r>
              <w:rPr>
                <w:rFonts w:hint="eastAsia" w:ascii="宋体" w:hAnsi="宋体" w:eastAsia="宋体" w:cs="宋体"/>
                <w:color w:val="auto"/>
                <w:kern w:val="0"/>
                <w:sz w:val="24"/>
                <w:szCs w:val="24"/>
                <w:highlight w:val="none"/>
                <w:lang w:val="en-US"/>
              </w:rPr>
              <w:t>元</w:t>
            </w:r>
            <w:r>
              <w:rPr>
                <w:rFonts w:hint="eastAsia" w:ascii="宋体" w:hAnsi="宋体" w:eastAsia="宋体" w:cs="宋体"/>
                <w:color w:val="auto"/>
                <w:kern w:val="0"/>
                <w:sz w:val="24"/>
                <w:szCs w:val="24"/>
                <w:highlight w:val="none"/>
                <w:lang w:val="en-US" w:eastAsia="zh-CN"/>
              </w:rPr>
              <w:t>/公顷</w:t>
            </w:r>
            <w:r>
              <w:rPr>
                <w:rFonts w:hint="eastAsia" w:ascii="宋体" w:hAnsi="宋体" w:eastAsia="宋体" w:cs="宋体"/>
                <w:color w:val="auto"/>
                <w:kern w:val="0"/>
                <w:sz w:val="24"/>
                <w:szCs w:val="24"/>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rPr>
              <w:t>1</w:t>
            </w:r>
          </w:p>
        </w:tc>
        <w:tc>
          <w:tcPr>
            <w:tcW w:w="4117"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rPr>
              <w:t>S≤</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rPr>
              <w:t>.0</w:t>
            </w:r>
          </w:p>
        </w:tc>
        <w:tc>
          <w:tcPr>
            <w:tcW w:w="2839"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rPr>
              <w:t>2.</w:t>
            </w:r>
            <w:r>
              <w:rPr>
                <w:rFonts w:hint="eastAsia" w:ascii="宋体" w:hAnsi="宋体" w:cs="宋体"/>
                <w:color w:val="auto"/>
                <w:kern w:val="0"/>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rPr>
              <w:t>2</w:t>
            </w:r>
          </w:p>
        </w:tc>
        <w:tc>
          <w:tcPr>
            <w:tcW w:w="4117"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rPr>
              <w:t>.0＞S≤</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rPr>
              <w:t>.0</w:t>
            </w:r>
          </w:p>
        </w:tc>
        <w:tc>
          <w:tcPr>
            <w:tcW w:w="2839"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default" w:ascii="宋体" w:hAnsi="宋体" w:eastAsia="宋体" w:cs="宋体"/>
                <w:b w:val="0"/>
                <w:bCs w:val="0"/>
                <w:color w:val="auto"/>
                <w:kern w:val="0"/>
                <w:sz w:val="24"/>
                <w:szCs w:val="24"/>
                <w:highlight w:val="none"/>
                <w:vertAlign w:val="baseline"/>
                <w:lang w:val="en-US" w:eastAsia="zh-CN"/>
              </w:rPr>
            </w:pPr>
            <w:r>
              <w:rPr>
                <w:rFonts w:hint="eastAsia" w:ascii="宋体" w:hAnsi="宋体" w:cs="宋体"/>
                <w:color w:val="auto"/>
                <w:kern w:val="0"/>
                <w:sz w:val="24"/>
                <w:szCs w:val="24"/>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rPr>
              <w:t>3</w:t>
            </w:r>
          </w:p>
        </w:tc>
        <w:tc>
          <w:tcPr>
            <w:tcW w:w="4117"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default" w:ascii="宋体" w:hAnsi="宋体" w:eastAsia="宋体" w:cs="宋体"/>
                <w:b w:val="0"/>
                <w:bCs w:val="0"/>
                <w:color w:val="auto"/>
                <w:kern w:val="0"/>
                <w:sz w:val="24"/>
                <w:szCs w:val="24"/>
                <w:highlight w:val="none"/>
                <w:vertAlign w:val="baseline"/>
                <w:lang w:val="en-US" w:eastAsia="zh-CN"/>
              </w:rPr>
            </w:pPr>
            <w:r>
              <w:rPr>
                <w:rFonts w:hint="eastAsia" w:ascii="宋体" w:hAnsi="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lang w:val="en-US"/>
              </w:rPr>
              <w:t>＞S≤</w:t>
            </w:r>
            <w:r>
              <w:rPr>
                <w:rFonts w:hint="eastAsia" w:ascii="宋体" w:hAnsi="宋体" w:cs="宋体"/>
                <w:color w:val="auto"/>
                <w:kern w:val="0"/>
                <w:sz w:val="24"/>
                <w:szCs w:val="24"/>
                <w:highlight w:val="none"/>
                <w:lang w:val="en-US" w:eastAsia="zh-CN"/>
              </w:rPr>
              <w:t>10.0</w:t>
            </w:r>
          </w:p>
        </w:tc>
        <w:tc>
          <w:tcPr>
            <w:tcW w:w="2839"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cs="宋体"/>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rPr>
              <w:t>4</w:t>
            </w:r>
          </w:p>
        </w:tc>
        <w:tc>
          <w:tcPr>
            <w:tcW w:w="4117"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default" w:ascii="宋体" w:hAnsi="宋体" w:eastAsia="宋体" w:cs="宋体"/>
                <w:b w:val="0"/>
                <w:bCs w:val="0"/>
                <w:color w:val="auto"/>
                <w:kern w:val="0"/>
                <w:sz w:val="24"/>
                <w:szCs w:val="24"/>
                <w:highlight w:val="none"/>
                <w:vertAlign w:val="baseline"/>
                <w:lang w:val="en-US" w:eastAsia="zh-CN"/>
              </w:rPr>
            </w:pPr>
            <w:r>
              <w:rPr>
                <w:rFonts w:hint="eastAsia" w:ascii="宋体" w:hAnsi="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lang w:val="en-US"/>
              </w:rPr>
              <w:t>＞S≤</w:t>
            </w:r>
            <w:r>
              <w:rPr>
                <w:rFonts w:hint="eastAsia" w:ascii="宋体" w:hAnsi="宋体" w:cs="宋体"/>
                <w:color w:val="auto"/>
                <w:kern w:val="0"/>
                <w:sz w:val="24"/>
                <w:szCs w:val="24"/>
                <w:highlight w:val="none"/>
                <w:lang w:val="en-US" w:eastAsia="zh-CN"/>
              </w:rPr>
              <w:t>20.0</w:t>
            </w:r>
          </w:p>
        </w:tc>
        <w:tc>
          <w:tcPr>
            <w:tcW w:w="2839"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rPr>
              <w:t>1.</w:t>
            </w:r>
            <w:r>
              <w:rPr>
                <w:rFonts w:hint="eastAsia" w:ascii="宋体" w:hAnsi="宋体" w:cs="宋体"/>
                <w:color w:val="auto"/>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rPr>
              <w:t>5</w:t>
            </w:r>
          </w:p>
        </w:tc>
        <w:tc>
          <w:tcPr>
            <w:tcW w:w="4117"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en-US"/>
              </w:rPr>
              <w:t>.0＞S≤</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en-US"/>
              </w:rPr>
              <w:t>.0</w:t>
            </w:r>
          </w:p>
        </w:tc>
        <w:tc>
          <w:tcPr>
            <w:tcW w:w="2839"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rPr>
              <w:t>1.</w:t>
            </w:r>
            <w:r>
              <w:rPr>
                <w:rFonts w:hint="eastAsia" w:ascii="宋体" w:hAnsi="宋体"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rPr>
              <w:t>6</w:t>
            </w:r>
          </w:p>
        </w:tc>
        <w:tc>
          <w:tcPr>
            <w:tcW w:w="4117"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en-US"/>
              </w:rPr>
              <w:t>.0＞S≤</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rPr>
              <w:t>0.0</w:t>
            </w:r>
          </w:p>
        </w:tc>
        <w:tc>
          <w:tcPr>
            <w:tcW w:w="2839" w:type="dxa"/>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default" w:ascii="宋体" w:hAnsi="宋体" w:eastAsia="宋体" w:cs="宋体"/>
                <w:b w:val="0"/>
                <w:bCs w:val="0"/>
                <w:color w:val="auto"/>
                <w:kern w:val="0"/>
                <w:sz w:val="24"/>
                <w:szCs w:val="24"/>
                <w:highlight w:val="none"/>
                <w:vertAlign w:val="baseline"/>
                <w:lang w:val="en-US" w:eastAsia="zh-CN"/>
              </w:rPr>
            </w:pPr>
            <w:r>
              <w:rPr>
                <w:rFonts w:hint="eastAsia" w:ascii="宋体" w:hAnsi="宋体" w:cs="宋体"/>
                <w:color w:val="auto"/>
                <w:kern w:val="0"/>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bidi="ar-SA"/>
              </w:rPr>
            </w:pPr>
            <w:r>
              <w:rPr>
                <w:rFonts w:hint="eastAsia" w:ascii="宋体" w:hAnsi="宋体" w:cs="宋体"/>
                <w:color w:val="auto"/>
                <w:kern w:val="0"/>
                <w:sz w:val="24"/>
                <w:szCs w:val="24"/>
                <w:highlight w:val="none"/>
                <w:lang w:val="en-US" w:eastAsia="zh-CN"/>
              </w:rPr>
              <w:t>7</w:t>
            </w:r>
          </w:p>
        </w:tc>
        <w:tc>
          <w:tcPr>
            <w:tcW w:w="4117" w:type="dxa"/>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lang w:val="en-US"/>
              </w:rPr>
              <w:t>S</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rPr>
              <w:t>0.0</w:t>
            </w:r>
          </w:p>
        </w:tc>
        <w:tc>
          <w:tcPr>
            <w:tcW w:w="2839" w:type="dxa"/>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bidi="ar-SA"/>
              </w:rPr>
            </w:pPr>
            <w:r>
              <w:rPr>
                <w:rFonts w:hint="eastAsia" w:ascii="宋体" w:hAnsi="宋体" w:cs="宋体"/>
                <w:color w:val="auto"/>
                <w:kern w:val="0"/>
                <w:sz w:val="24"/>
                <w:szCs w:val="24"/>
                <w:highlight w:val="none"/>
                <w:lang w:val="en-US" w:eastAsia="zh-CN"/>
              </w:rPr>
              <w:t>1.0</w:t>
            </w:r>
          </w:p>
        </w:tc>
      </w:tr>
    </w:tbl>
    <w:p>
      <w:pPr>
        <w:pageBreakBefore w:val="0"/>
        <w:kinsoku/>
        <w:overflowPunct/>
        <w:topLinePunct w:val="0"/>
        <w:autoSpaceDE/>
        <w:autoSpaceDN/>
        <w:bidi w:val="0"/>
        <w:adjustRightInd/>
        <w:snapToGrid/>
        <w:spacing w:line="500" w:lineRule="exact"/>
        <w:ind w:firstLine="480" w:firstLineChars="200"/>
        <w:textAlignment w:val="auto"/>
        <w:outlineLvl w:val="9"/>
        <w:rPr>
          <w:rFonts w:hint="default" w:ascii="宋体" w:hAnsi="宋体" w:eastAsia="宋体" w:cs="宋体"/>
          <w:b w:val="0"/>
          <w:bCs w:val="0"/>
          <w:color w:val="auto"/>
          <w:kern w:val="0"/>
          <w:sz w:val="24"/>
          <w:szCs w:val="24"/>
          <w:highlight w:val="none"/>
          <w:lang w:val="en-US"/>
        </w:rPr>
      </w:pPr>
      <w:r>
        <w:rPr>
          <w:rFonts w:hint="default" w:ascii="宋体" w:hAnsi="宋体" w:eastAsia="宋体" w:cs="宋体"/>
          <w:b w:val="0"/>
          <w:bCs w:val="0"/>
          <w:color w:val="auto"/>
          <w:kern w:val="0"/>
          <w:sz w:val="24"/>
          <w:szCs w:val="24"/>
          <w:highlight w:val="none"/>
          <w:lang w:val="en-US" w:eastAsia="zh-CN"/>
        </w:rPr>
        <w:t>9.2</w:t>
      </w:r>
      <w:r>
        <w:rPr>
          <w:rFonts w:hint="default" w:ascii="宋体" w:hAnsi="宋体" w:eastAsia="宋体" w:cs="宋体"/>
          <w:b w:val="0"/>
          <w:bCs w:val="0"/>
          <w:color w:val="auto"/>
          <w:kern w:val="0"/>
          <w:sz w:val="24"/>
          <w:szCs w:val="24"/>
          <w:highlight w:val="none"/>
          <w:lang w:val="en-US"/>
        </w:rPr>
        <w:t>选址论证</w:t>
      </w:r>
      <w:r>
        <w:rPr>
          <w:rFonts w:hint="default" w:ascii="宋体" w:hAnsi="宋体" w:eastAsia="宋体" w:cs="宋体"/>
          <w:b w:val="0"/>
          <w:bCs w:val="0"/>
          <w:color w:val="auto"/>
          <w:kern w:val="0"/>
          <w:sz w:val="24"/>
          <w:szCs w:val="24"/>
          <w:highlight w:val="none"/>
          <w:lang w:val="en-US" w:eastAsia="zh-CN"/>
        </w:rPr>
        <w:t>及控规调整</w:t>
      </w:r>
      <w:r>
        <w:rPr>
          <w:rFonts w:hint="default" w:ascii="宋体" w:hAnsi="宋体" w:eastAsia="宋体" w:cs="宋体"/>
          <w:b w:val="0"/>
          <w:bCs w:val="0"/>
          <w:color w:val="auto"/>
          <w:kern w:val="0"/>
          <w:sz w:val="24"/>
          <w:szCs w:val="24"/>
          <w:highlight w:val="none"/>
          <w:lang w:val="en-US"/>
        </w:rPr>
        <w:t>报告</w:t>
      </w:r>
    </w:p>
    <w:p>
      <w:pPr>
        <w:pageBreakBefore w:val="0"/>
        <w:kinsoku/>
        <w:overflowPunct/>
        <w:topLinePunct w:val="0"/>
        <w:autoSpaceDE/>
        <w:autoSpaceDN/>
        <w:bidi w:val="0"/>
        <w:adjustRightInd/>
        <w:snapToGrid/>
        <w:spacing w:line="500" w:lineRule="exact"/>
        <w:ind w:firstLine="480" w:firstLineChars="200"/>
        <w:textAlignment w:val="auto"/>
        <w:outlineLvl w:val="9"/>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default" w:ascii="宋体" w:hAnsi="宋体" w:eastAsia="宋体" w:cs="宋体"/>
          <w:b w:val="0"/>
          <w:bCs w:val="0"/>
          <w:color w:val="auto"/>
          <w:kern w:val="0"/>
          <w:sz w:val="24"/>
          <w:szCs w:val="24"/>
          <w:highlight w:val="none"/>
          <w:lang w:val="en-US" w:eastAsia="zh-CN"/>
        </w:rPr>
        <w:t>不含建筑概念方案的选址论证报告：</w:t>
      </w:r>
      <w:r>
        <w:rPr>
          <w:rFonts w:hint="default" w:ascii="宋体" w:hAnsi="宋体" w:eastAsia="宋体" w:cs="宋体"/>
          <w:color w:val="auto"/>
          <w:kern w:val="0"/>
          <w:sz w:val="24"/>
          <w:szCs w:val="24"/>
          <w:highlight w:val="none"/>
          <w:lang w:val="en-US"/>
        </w:rPr>
        <w:t>按照</w:t>
      </w:r>
      <w:r>
        <w:rPr>
          <w:rFonts w:hint="eastAsia" w:ascii="宋体" w:hAnsi="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rPr>
        <w:t>万元</w:t>
      </w:r>
      <w:r>
        <w:rPr>
          <w:rFonts w:hint="eastAsia" w:ascii="宋体" w:hAnsi="宋体" w:cs="宋体"/>
          <w:color w:val="auto"/>
          <w:kern w:val="0"/>
          <w:sz w:val="24"/>
          <w:szCs w:val="24"/>
          <w:highlight w:val="none"/>
          <w:lang w:val="en-US" w:eastAsia="zh-CN"/>
        </w:rPr>
        <w:t>每个</w:t>
      </w:r>
      <w:r>
        <w:rPr>
          <w:rFonts w:hint="default" w:ascii="宋体" w:hAnsi="宋体" w:eastAsia="宋体" w:cs="宋体"/>
          <w:color w:val="auto"/>
          <w:kern w:val="0"/>
          <w:sz w:val="24"/>
          <w:szCs w:val="24"/>
          <w:highlight w:val="none"/>
          <w:lang w:val="en-US" w:eastAsia="zh-CN"/>
        </w:rPr>
        <w:t>。</w:t>
      </w:r>
    </w:p>
    <w:p>
      <w:pPr>
        <w:pageBreakBefore w:val="0"/>
        <w:kinsoku/>
        <w:overflowPunct/>
        <w:topLinePunct w:val="0"/>
        <w:autoSpaceDE/>
        <w:autoSpaceDN/>
        <w:bidi w:val="0"/>
        <w:adjustRightInd/>
        <w:snapToGrid/>
        <w:spacing w:line="500" w:lineRule="exact"/>
        <w:ind w:firstLine="480" w:firstLineChars="200"/>
        <w:textAlignment w:val="auto"/>
        <w:outlineLvl w:val="9"/>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r>
        <w:rPr>
          <w:rFonts w:hint="default" w:ascii="宋体" w:hAnsi="宋体" w:eastAsia="宋体" w:cs="宋体"/>
          <w:b w:val="0"/>
          <w:bCs w:val="0"/>
          <w:color w:val="auto"/>
          <w:kern w:val="0"/>
          <w:sz w:val="24"/>
          <w:szCs w:val="24"/>
          <w:highlight w:val="none"/>
          <w:lang w:val="en-US" w:eastAsia="zh-CN"/>
        </w:rPr>
        <w:t>控规调整报告：</w:t>
      </w:r>
      <w:r>
        <w:rPr>
          <w:rFonts w:hint="eastAsia" w:ascii="宋体" w:hAnsi="宋体" w:cs="宋体"/>
          <w:b w:val="0"/>
          <w:bCs w:val="0"/>
          <w:color w:val="auto"/>
          <w:kern w:val="0"/>
          <w:sz w:val="24"/>
          <w:szCs w:val="24"/>
          <w:highlight w:val="none"/>
          <w:lang w:val="en-US" w:eastAsia="zh-CN"/>
        </w:rPr>
        <w:t>参考规划选址收费标准，</w:t>
      </w:r>
      <w:r>
        <w:rPr>
          <w:rFonts w:hint="default" w:ascii="宋体" w:hAnsi="宋体" w:eastAsia="宋体" w:cs="宋体"/>
          <w:color w:val="auto"/>
          <w:kern w:val="0"/>
          <w:sz w:val="24"/>
          <w:szCs w:val="24"/>
          <w:highlight w:val="none"/>
          <w:lang w:val="en-US"/>
        </w:rPr>
        <w:t>按照</w:t>
      </w:r>
      <w:r>
        <w:rPr>
          <w:rFonts w:hint="eastAsia" w:ascii="宋体" w:hAnsi="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rPr>
        <w:t>万元</w:t>
      </w:r>
      <w:r>
        <w:rPr>
          <w:rFonts w:hint="eastAsia" w:ascii="宋体" w:hAnsi="宋体" w:cs="宋体"/>
          <w:color w:val="auto"/>
          <w:kern w:val="0"/>
          <w:sz w:val="24"/>
          <w:szCs w:val="24"/>
          <w:highlight w:val="none"/>
          <w:lang w:val="en-US" w:eastAsia="zh-CN"/>
        </w:rPr>
        <w:t>每个</w:t>
      </w:r>
      <w:r>
        <w:rPr>
          <w:rFonts w:hint="default" w:ascii="宋体" w:hAnsi="宋体" w:eastAsia="宋体" w:cs="宋体"/>
          <w:b w:val="0"/>
          <w:bCs w:val="0"/>
          <w:color w:val="auto"/>
          <w:kern w:val="0"/>
          <w:sz w:val="24"/>
          <w:szCs w:val="24"/>
          <w:highlight w:val="none"/>
          <w:lang w:val="en-US" w:eastAsia="zh-CN"/>
        </w:rPr>
        <w:t>。</w:t>
      </w:r>
    </w:p>
    <w:p>
      <w:pPr>
        <w:pageBreakBefore w:val="0"/>
        <w:kinsoku/>
        <w:overflowPunct/>
        <w:topLinePunct w:val="0"/>
        <w:autoSpaceDE/>
        <w:autoSpaceDN/>
        <w:bidi w:val="0"/>
        <w:adjustRightInd/>
        <w:snapToGrid/>
        <w:spacing w:line="500" w:lineRule="exact"/>
        <w:ind w:firstLine="480" w:firstLineChars="200"/>
        <w:textAlignment w:val="auto"/>
        <w:outlineLvl w:val="9"/>
        <w:rPr>
          <w:rFonts w:hint="default" w:ascii="宋体" w:hAnsi="宋体" w:eastAsia="宋体" w:cs="宋体"/>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9.3</w:t>
      </w:r>
      <w:r>
        <w:rPr>
          <w:rFonts w:hint="default" w:ascii="宋体" w:hAnsi="宋体" w:eastAsia="宋体" w:cs="宋体"/>
          <w:color w:val="auto"/>
          <w:kern w:val="0"/>
          <w:sz w:val="24"/>
          <w:szCs w:val="24"/>
          <w:highlight w:val="none"/>
          <w:lang w:val="en-US" w:eastAsia="zh-CN"/>
        </w:rPr>
        <w:t>规划研究</w:t>
      </w:r>
    </w:p>
    <w:p>
      <w:pPr>
        <w:pageBreakBefore w:val="0"/>
        <w:kinsoku/>
        <w:overflowPunct/>
        <w:topLinePunct w:val="0"/>
        <w:autoSpaceDE/>
        <w:autoSpaceDN/>
        <w:bidi w:val="0"/>
        <w:adjustRightInd/>
        <w:snapToGrid/>
        <w:spacing w:line="500" w:lineRule="exact"/>
        <w:ind w:firstLine="480" w:firstLineChars="200"/>
        <w:textAlignment w:val="auto"/>
        <w:outlineLvl w:val="9"/>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智慧新城范围（41.5平方公里）的30万元/个，片区范围（一期、高铁新城、百家塘、浮石、姜家山、莫家）的2</w:t>
      </w:r>
      <w:r>
        <w:rPr>
          <w:rFonts w:hint="eastAsia" w:ascii="宋体" w:hAnsi="宋体" w:cs="宋体"/>
          <w:color w:val="auto"/>
          <w:kern w:val="0"/>
          <w:sz w:val="24"/>
          <w:szCs w:val="24"/>
          <w:highlight w:val="none"/>
          <w:lang w:val="en-US" w:eastAsia="zh-CN"/>
        </w:rPr>
        <w:t>0</w:t>
      </w:r>
      <w:r>
        <w:rPr>
          <w:rFonts w:hint="default" w:ascii="宋体" w:hAnsi="宋体" w:eastAsia="宋体" w:cs="宋体"/>
          <w:color w:val="auto"/>
          <w:kern w:val="0"/>
          <w:sz w:val="24"/>
          <w:szCs w:val="24"/>
          <w:highlight w:val="none"/>
          <w:lang w:val="en-US" w:eastAsia="zh-CN"/>
        </w:rPr>
        <w:t>万元/个，单元范围的1</w:t>
      </w:r>
      <w:r>
        <w:rPr>
          <w:rFonts w:hint="eastAsia" w:ascii="宋体" w:hAnsi="宋体" w:cs="宋体"/>
          <w:color w:val="auto"/>
          <w:kern w:val="0"/>
          <w:sz w:val="24"/>
          <w:szCs w:val="24"/>
          <w:highlight w:val="none"/>
          <w:lang w:val="en-US" w:eastAsia="zh-CN"/>
        </w:rPr>
        <w:t>0</w:t>
      </w:r>
      <w:r>
        <w:rPr>
          <w:rFonts w:hint="default" w:ascii="宋体" w:hAnsi="宋体" w:eastAsia="宋体" w:cs="宋体"/>
          <w:color w:val="auto"/>
          <w:kern w:val="0"/>
          <w:sz w:val="24"/>
          <w:szCs w:val="24"/>
          <w:highlight w:val="none"/>
          <w:lang w:val="en-US" w:eastAsia="zh-CN"/>
        </w:rPr>
        <w:t>万元/个。</w:t>
      </w:r>
    </w:p>
    <w:p>
      <w:pPr>
        <w:spacing w:line="500" w:lineRule="exact"/>
        <w:ind w:left="1" w:firstLine="480" w:firstLineChars="200"/>
        <w:outlineLvl w:val="9"/>
        <w:rPr>
          <w:rFonts w:hint="default" w:ascii="宋体" w:hAnsi="宋体" w:eastAsia="宋体" w:cs="宋体"/>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9.4总图管理</w:t>
      </w:r>
      <w:r>
        <w:rPr>
          <w:rFonts w:hint="eastAsia" w:ascii="宋体" w:hAnsi="宋体" w:cs="宋体"/>
          <w:b w:val="0"/>
          <w:bCs w:val="0"/>
          <w:color w:val="auto"/>
          <w:kern w:val="0"/>
          <w:sz w:val="24"/>
          <w:szCs w:val="24"/>
          <w:highlight w:val="none"/>
          <w:lang w:val="en-US" w:eastAsia="zh-CN"/>
        </w:rPr>
        <w:t>及技术服务</w:t>
      </w:r>
      <w:r>
        <w:rPr>
          <w:rFonts w:hint="default" w:ascii="宋体" w:hAnsi="宋体" w:eastAsia="宋体" w:cs="宋体"/>
          <w:b w:val="0"/>
          <w:bCs w:val="0"/>
          <w:color w:val="auto"/>
          <w:kern w:val="0"/>
          <w:sz w:val="24"/>
          <w:szCs w:val="24"/>
          <w:highlight w:val="none"/>
          <w:lang w:val="en-US" w:eastAsia="zh-CN"/>
        </w:rPr>
        <w:t>：</w:t>
      </w:r>
      <w:r>
        <w:rPr>
          <w:rFonts w:hint="default" w:ascii="宋体" w:hAnsi="宋体" w:eastAsia="宋体" w:cs="宋体"/>
          <w:color w:val="auto"/>
          <w:kern w:val="0"/>
          <w:sz w:val="24"/>
          <w:szCs w:val="24"/>
          <w:highlight w:val="none"/>
          <w:lang w:val="en-US" w:eastAsia="zh-CN"/>
        </w:rPr>
        <w:t>按每年</w:t>
      </w:r>
      <w:r>
        <w:rPr>
          <w:rFonts w:hint="eastAsia" w:ascii="宋体" w:hAnsi="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lang w:val="en-US" w:eastAsia="zh-CN"/>
        </w:rPr>
        <w:t>0万元整体打包</w:t>
      </w:r>
      <w:r>
        <w:rPr>
          <w:rFonts w:hint="default" w:ascii="宋体" w:hAnsi="宋体" w:eastAsia="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t>在服务期间包括但不限于</w:t>
      </w:r>
      <w:r>
        <w:rPr>
          <w:rFonts w:hint="default" w:ascii="宋体" w:hAnsi="宋体" w:eastAsia="宋体" w:cs="宋体"/>
          <w:color w:val="auto"/>
          <w:kern w:val="0"/>
          <w:sz w:val="24"/>
          <w:szCs w:val="24"/>
          <w:highlight w:val="none"/>
          <w:lang w:val="en-US" w:eastAsia="zh-CN"/>
        </w:rPr>
        <w:t>负责核对智慧新城范围内各类用地红线，并负责红线总图汇总更新，确保出具红线的准确性</w:t>
      </w:r>
      <w:r>
        <w:rPr>
          <w:rFonts w:hint="eastAsia" w:ascii="宋体" w:hAnsi="宋体" w:cs="宋体"/>
          <w:color w:val="auto"/>
          <w:kern w:val="0"/>
          <w:sz w:val="24"/>
          <w:szCs w:val="24"/>
          <w:highlight w:val="none"/>
          <w:lang w:val="en-US" w:eastAsia="zh-CN"/>
        </w:rPr>
        <w:t>，以及日常其他规划类项目咨询、规划服务、规划审批支撑等内容</w:t>
      </w:r>
      <w:r>
        <w:rPr>
          <w:rFonts w:hint="default" w:ascii="宋体" w:hAnsi="宋体" w:eastAsia="宋体" w:cs="宋体"/>
          <w:color w:val="auto"/>
          <w:kern w:val="0"/>
          <w:sz w:val="24"/>
          <w:szCs w:val="24"/>
          <w:highlight w:val="none"/>
          <w:lang w:val="en-US" w:eastAsia="zh-CN"/>
        </w:rPr>
        <w:t>。</w:t>
      </w:r>
    </w:p>
    <w:p>
      <w:pPr>
        <w:keepNext w:val="0"/>
        <w:keepLines w:val="0"/>
        <w:widowControl/>
        <w:suppressLineNumbers w:val="0"/>
        <w:spacing w:line="500" w:lineRule="exact"/>
        <w:ind w:firstLine="480" w:firstLineChars="200"/>
        <w:jc w:val="left"/>
        <w:outlineLvl w:val="9"/>
        <w:rPr>
          <w:rFonts w:hint="default" w:ascii="宋体" w:hAnsi="宋体" w:eastAsia="宋体" w:cs="宋体"/>
          <w:color w:val="auto"/>
          <w:kern w:val="0"/>
          <w:sz w:val="24"/>
          <w:szCs w:val="24"/>
          <w:highlight w:val="none"/>
        </w:rPr>
      </w:pPr>
      <w:r>
        <w:rPr>
          <w:rFonts w:hint="default" w:ascii="宋体" w:hAnsi="宋体" w:eastAsia="宋体" w:cs="宋体"/>
          <w:b w:val="0"/>
          <w:bCs w:val="0"/>
          <w:color w:val="auto"/>
          <w:kern w:val="0"/>
          <w:sz w:val="24"/>
          <w:szCs w:val="24"/>
          <w:highlight w:val="none"/>
          <w:lang w:val="en-US" w:eastAsia="zh-CN"/>
        </w:rPr>
        <w:t>9.5未尽事项可参照</w:t>
      </w:r>
      <w:r>
        <w:rPr>
          <w:rFonts w:hint="eastAsia" w:ascii="宋体" w:hAnsi="宋体" w:eastAsia="宋体" w:cs="宋体"/>
          <w:color w:val="auto"/>
          <w:kern w:val="0"/>
          <w:sz w:val="24"/>
          <w:szCs w:val="24"/>
          <w:highlight w:val="none"/>
          <w:lang w:val="en-US" w:eastAsia="zh-CN" w:bidi="ar"/>
        </w:rPr>
        <w:t>《城市规划设计计费指导意见》</w:t>
      </w:r>
      <w:r>
        <w:rPr>
          <w:rFonts w:hint="default" w:ascii="宋体" w:hAnsi="宋体" w:eastAsia="宋体" w:cs="宋体"/>
          <w:color w:val="auto"/>
          <w:kern w:val="0"/>
          <w:sz w:val="24"/>
          <w:szCs w:val="24"/>
          <w:highlight w:val="none"/>
          <w:lang w:val="en-US" w:eastAsia="zh-CN" w:bidi="ar"/>
        </w:rPr>
        <w:t>（2017）相关标准执行。</w:t>
      </w:r>
    </w:p>
    <w:p>
      <w:pPr>
        <w:spacing w:line="500" w:lineRule="exact"/>
        <w:ind w:left="1" w:firstLine="480" w:firstLineChars="200"/>
        <w:outlineLvl w:val="9"/>
        <w:rPr>
          <w:rFonts w:hint="default" w:ascii="宋体" w:hAnsi="宋体" w:eastAsia="宋体" w:cs="宋体"/>
          <w:color w:val="auto"/>
          <w:kern w:val="0"/>
          <w:sz w:val="24"/>
          <w:szCs w:val="24"/>
          <w:highlight w:val="none"/>
          <w:lang w:val="en-US" w:eastAsia="zh-CN"/>
        </w:rPr>
      </w:pPr>
    </w:p>
    <w:p>
      <w:pPr>
        <w:spacing w:line="500" w:lineRule="exact"/>
        <w:ind w:firstLine="480" w:firstLineChars="200"/>
        <w:outlineLvl w:val="9"/>
        <w:rPr>
          <w:rFonts w:hint="default" w:ascii="宋体" w:hAnsi="宋体" w:eastAsia="宋体" w:cs="宋体"/>
          <w:color w:val="auto"/>
          <w:kern w:val="0"/>
          <w:sz w:val="24"/>
          <w:highlight w:val="none"/>
          <w:lang w:val="en-US" w:eastAsia="zh-CN"/>
        </w:rPr>
      </w:pPr>
    </w:p>
    <w:p>
      <w:pPr>
        <w:pStyle w:val="2"/>
        <w:ind w:firstLine="480"/>
        <w:rPr>
          <w:rFonts w:ascii="宋体" w:hAnsi="宋体" w:cs="宋体"/>
          <w:kern w:val="0"/>
          <w:sz w:val="24"/>
          <w:highlight w:val="none"/>
        </w:rPr>
      </w:pPr>
    </w:p>
    <w:p>
      <w:pPr>
        <w:pStyle w:val="2"/>
        <w:ind w:firstLine="480"/>
        <w:rPr>
          <w:rFonts w:ascii="宋体" w:hAnsi="宋体" w:cs="宋体"/>
          <w:kern w:val="0"/>
          <w:sz w:val="24"/>
          <w:highlight w:val="none"/>
        </w:rPr>
      </w:pPr>
    </w:p>
    <w:p>
      <w:pPr>
        <w:pStyle w:val="4"/>
        <w:spacing w:line="400" w:lineRule="exact"/>
        <w:jc w:val="center"/>
        <w:rPr>
          <w:rFonts w:ascii="宋体" w:hAnsi="宋体" w:cs="宋体"/>
          <w:sz w:val="28"/>
          <w:szCs w:val="28"/>
          <w:highlight w:val="none"/>
        </w:rPr>
      </w:pPr>
      <w:bookmarkStart w:id="46" w:name="_Toc9656"/>
      <w:bookmarkStart w:id="47" w:name="_Toc17072"/>
      <w:r>
        <w:rPr>
          <w:rFonts w:hint="eastAsia" w:ascii="宋体" w:hAnsi="宋体" w:cs="宋体"/>
          <w:sz w:val="28"/>
          <w:szCs w:val="28"/>
          <w:highlight w:val="none"/>
        </w:rPr>
        <w:t>第四章 合同主要条款</w:t>
      </w:r>
      <w:bookmarkEnd w:id="46"/>
      <w:bookmarkEnd w:id="47"/>
    </w:p>
    <w:p>
      <w:pPr>
        <w:rPr>
          <w:rFonts w:ascii="宋体" w:hAnsi="宋体" w:cs="宋体"/>
          <w:highlight w:val="none"/>
        </w:rPr>
      </w:pPr>
    </w:p>
    <w:p>
      <w:pPr>
        <w:spacing w:line="500" w:lineRule="exact"/>
        <w:jc w:val="center"/>
        <w:rPr>
          <w:rFonts w:hint="eastAsia" w:hAnsi="仿宋_GB2312" w:cs="仿宋_GB2312"/>
          <w:color w:val="auto"/>
          <w:spacing w:val="24"/>
          <w:sz w:val="44"/>
          <w:szCs w:val="44"/>
          <w:highlight w:val="none"/>
        </w:rPr>
      </w:pPr>
      <w:r>
        <w:rPr>
          <w:rFonts w:hint="eastAsia" w:hAnsi="仿宋_GB2312" w:cs="仿宋_GB2312"/>
          <w:b/>
          <w:color w:val="auto"/>
          <w:spacing w:val="24"/>
          <w:szCs w:val="21"/>
          <w:highlight w:val="none"/>
        </w:rPr>
        <w:t>（</w:t>
      </w:r>
      <w:r>
        <w:rPr>
          <w:rFonts w:hint="eastAsia" w:hAnsi="仿宋_GB2312" w:cs="仿宋_GB2312"/>
          <w:b/>
          <w:color w:val="auto"/>
          <w:szCs w:val="21"/>
          <w:highlight w:val="none"/>
        </w:rPr>
        <w:t>以下合同仅供参考，具体以双方签订的合同为准）</w:t>
      </w:r>
    </w:p>
    <w:p>
      <w:pPr>
        <w:tabs>
          <w:tab w:val="left" w:pos="5580"/>
        </w:tabs>
        <w:ind w:right="-506" w:rightChars="-241" w:firstLine="5760" w:firstLineChars="2400"/>
        <w:rPr>
          <w:rFonts w:eastAsia="黑体"/>
          <w:color w:val="auto"/>
          <w:sz w:val="24"/>
          <w:highlight w:val="none"/>
        </w:rPr>
      </w:pPr>
    </w:p>
    <w:p>
      <w:pPr>
        <w:pStyle w:val="6"/>
        <w:rPr>
          <w:rFonts w:eastAsia="黑体"/>
          <w:color w:val="auto"/>
          <w:sz w:val="24"/>
          <w:highlight w:val="none"/>
        </w:rPr>
      </w:pPr>
    </w:p>
    <w:p>
      <w:pPr>
        <w:tabs>
          <w:tab w:val="left" w:pos="5580"/>
        </w:tabs>
        <w:ind w:right="-506" w:rightChars="-241" w:firstLine="5760" w:firstLineChars="2400"/>
        <w:rPr>
          <w:rFonts w:hint="eastAsia" w:eastAsia="黑体"/>
          <w:color w:val="auto"/>
          <w:sz w:val="24"/>
          <w:highlight w:val="none"/>
          <w:lang w:val="en-US" w:eastAsia="zh-CN"/>
        </w:rPr>
      </w:pPr>
      <w:r>
        <w:rPr>
          <w:rFonts w:eastAsia="黑体"/>
          <w:color w:val="auto"/>
          <w:sz w:val="24"/>
          <w:highlight w:val="none"/>
        </w:rPr>
        <w:t xml:space="preserve"> </w:t>
      </w:r>
      <w:r>
        <w:rPr>
          <w:rFonts w:hint="eastAsia" w:eastAsia="黑体"/>
          <w:color w:val="auto"/>
          <w:sz w:val="24"/>
          <w:highlight w:val="none"/>
          <w:lang w:val="en-US" w:eastAsia="zh-CN"/>
        </w:rPr>
        <w:t xml:space="preserve">   </w:t>
      </w:r>
    </w:p>
    <w:p>
      <w:pPr>
        <w:spacing w:line="500" w:lineRule="exact"/>
        <w:ind w:firstLine="2440" w:firstLineChars="500"/>
        <w:rPr>
          <w:rFonts w:hint="eastAsia" w:hAnsi="仿宋_GB2312" w:cs="仿宋_GB2312"/>
          <w:color w:val="auto"/>
          <w:spacing w:val="24"/>
          <w:sz w:val="44"/>
          <w:szCs w:val="44"/>
          <w:highlight w:val="none"/>
        </w:rPr>
      </w:pPr>
      <w:r>
        <w:rPr>
          <w:rFonts w:hint="eastAsia" w:hAnsi="仿宋_GB2312" w:cs="仿宋_GB2312"/>
          <w:color w:val="auto"/>
          <w:spacing w:val="24"/>
          <w:sz w:val="44"/>
          <w:szCs w:val="44"/>
          <w:highlight w:val="none"/>
        </w:rPr>
        <w:t>城乡规划</w:t>
      </w:r>
      <w:r>
        <w:rPr>
          <w:rFonts w:hint="eastAsia" w:hAnsi="仿宋_GB2312" w:cs="仿宋_GB2312"/>
          <w:color w:val="auto"/>
          <w:spacing w:val="24"/>
          <w:sz w:val="44"/>
          <w:szCs w:val="44"/>
          <w:highlight w:val="none"/>
          <w:lang w:val="en-US" w:eastAsia="zh-CN"/>
        </w:rPr>
        <w:t>服务</w:t>
      </w:r>
      <w:r>
        <w:rPr>
          <w:rFonts w:hint="eastAsia" w:hAnsi="仿宋_GB2312" w:cs="仿宋_GB2312"/>
          <w:color w:val="auto"/>
          <w:spacing w:val="24"/>
          <w:sz w:val="44"/>
          <w:szCs w:val="44"/>
          <w:highlight w:val="none"/>
        </w:rPr>
        <w:t>合同</w:t>
      </w:r>
    </w:p>
    <w:p>
      <w:pPr>
        <w:pStyle w:val="7"/>
        <w:rPr>
          <w:rFonts w:hint="eastAsia" w:ascii="仿宋_GB2312" w:hAnsi="仿宋_GB2312" w:eastAsia="仿宋_GB2312" w:cs="仿宋_GB2312"/>
          <w:color w:val="auto"/>
          <w:highlight w:val="none"/>
        </w:rPr>
      </w:pPr>
    </w:p>
    <w:p>
      <w:pPr>
        <w:spacing w:line="500" w:lineRule="exact"/>
        <w:ind w:firstLine="705" w:firstLineChars="196"/>
        <w:jc w:val="center"/>
        <w:rPr>
          <w:rFonts w:hint="eastAsia" w:hAnsi="仿宋_GB2312" w:cs="仿宋_GB2312"/>
          <w:color w:val="auto"/>
          <w:sz w:val="36"/>
          <w:szCs w:val="36"/>
          <w:highlight w:val="none"/>
        </w:rPr>
      </w:pPr>
    </w:p>
    <w:p>
      <w:pPr>
        <w:spacing w:line="500" w:lineRule="exact"/>
        <w:ind w:right="91" w:firstLine="4620" w:firstLineChars="2200"/>
        <w:rPr>
          <w:rFonts w:hint="eastAsia" w:hAnsi="仿宋_GB2312" w:cs="仿宋_GB2312"/>
          <w:color w:val="auto"/>
          <w:highlight w:val="none"/>
          <w:u w:val="single"/>
        </w:rPr>
      </w:pPr>
      <w:r>
        <w:rPr>
          <w:rFonts w:hint="eastAsia" w:hAnsi="仿宋_GB2312" w:cs="仿宋_GB2312"/>
          <w:color w:val="auto"/>
          <w:highlight w:val="none"/>
        </w:rPr>
        <w:t>合同编号：</w:t>
      </w:r>
      <w:r>
        <w:rPr>
          <w:rFonts w:hint="eastAsia" w:hAnsi="仿宋_GB2312" w:cs="仿宋_GB2312"/>
          <w:color w:val="auto"/>
          <w:highlight w:val="none"/>
          <w:u w:val="single"/>
        </w:rPr>
        <w:t xml:space="preserve">        </w:t>
      </w:r>
    </w:p>
    <w:p>
      <w:pPr>
        <w:ind w:firstLine="708" w:firstLineChars="196"/>
        <w:rPr>
          <w:rFonts w:hint="eastAsia" w:hAnsi="仿宋_GB2312" w:cs="仿宋_GB2312"/>
          <w:b/>
          <w:color w:val="auto"/>
          <w:sz w:val="36"/>
          <w:szCs w:val="36"/>
          <w:highlight w:val="none"/>
        </w:rPr>
      </w:pPr>
    </w:p>
    <w:p>
      <w:pPr>
        <w:widowControl/>
        <w:jc w:val="left"/>
        <w:rPr>
          <w:rFonts w:hint="eastAsia" w:ascii="Times New Roman" w:hAnsi="仿宋_GB2312" w:eastAsia="宋体" w:cs="仿宋_GB2312"/>
          <w:color w:val="auto"/>
          <w:sz w:val="32"/>
          <w:szCs w:val="32"/>
          <w:highlight w:val="none"/>
          <w:u w:val="single"/>
        </w:rPr>
      </w:pPr>
      <w:r>
        <w:rPr>
          <w:rFonts w:hint="eastAsia" w:hAnsi="仿宋_GB2312" w:cs="仿宋_GB2312"/>
          <w:b/>
          <w:color w:val="auto"/>
          <w:sz w:val="36"/>
          <w:szCs w:val="36"/>
          <w:highlight w:val="none"/>
        </w:rPr>
        <w:t>规划项目名称：</w:t>
      </w:r>
      <w:r>
        <w:rPr>
          <w:rFonts w:hint="eastAsia" w:hAnsi="仿宋_GB2312" w:cs="仿宋_GB2312"/>
          <w:b w:val="0"/>
          <w:bCs w:val="0"/>
          <w:color w:val="auto"/>
          <w:spacing w:val="0"/>
          <w:kern w:val="2"/>
          <w:sz w:val="28"/>
          <w:szCs w:val="28"/>
          <w:highlight w:val="none"/>
          <w:u w:val="single"/>
          <w:lang w:val="en-US" w:eastAsia="zh-CN" w:bidi="ar"/>
        </w:rPr>
        <w:t>衢州智慧新城2024-2025年度规划类项目技术服务项目</w:t>
      </w:r>
      <w:r>
        <w:rPr>
          <w:rFonts w:hint="eastAsia" w:ascii="Times New Roman" w:hAnsi="仿宋_GB2312" w:eastAsia="宋体" w:cs="仿宋_GB2312"/>
          <w:color w:val="auto"/>
          <w:sz w:val="32"/>
          <w:szCs w:val="32"/>
          <w:highlight w:val="none"/>
          <w:u w:val="single"/>
        </w:rPr>
        <w:t xml:space="preserve">    </w:t>
      </w:r>
    </w:p>
    <w:p>
      <w:pPr>
        <w:ind w:firstLine="627" w:firstLineChars="196"/>
        <w:rPr>
          <w:rFonts w:hint="eastAsia" w:hAnsi="仿宋_GB2312" w:cs="仿宋_GB2312"/>
          <w:color w:val="auto"/>
          <w:sz w:val="32"/>
          <w:szCs w:val="32"/>
          <w:highlight w:val="none"/>
          <w:u w:val="single"/>
        </w:rPr>
      </w:pPr>
    </w:p>
    <w:p>
      <w:pPr>
        <w:rPr>
          <w:rFonts w:hint="eastAsia" w:hAnsi="仿宋_GB2312" w:cs="仿宋_GB2312"/>
          <w:b/>
          <w:color w:val="auto"/>
          <w:sz w:val="36"/>
          <w:szCs w:val="36"/>
          <w:highlight w:val="none"/>
        </w:rPr>
      </w:pPr>
      <w:r>
        <w:rPr>
          <w:rFonts w:hint="eastAsia" w:hAnsi="仿宋_GB2312" w:cs="仿宋_GB2312"/>
          <w:b/>
          <w:color w:val="auto"/>
          <w:sz w:val="36"/>
          <w:szCs w:val="36"/>
          <w:highlight w:val="none"/>
        </w:rPr>
        <w:t>规划项目地点：</w:t>
      </w:r>
      <w:r>
        <w:rPr>
          <w:rFonts w:hint="eastAsia" w:hAnsi="仿宋_GB2312" w:cs="仿宋_GB2312"/>
          <w:b/>
          <w:color w:val="auto"/>
          <w:sz w:val="36"/>
          <w:szCs w:val="36"/>
          <w:highlight w:val="none"/>
          <w:u w:val="single"/>
        </w:rPr>
        <w:t xml:space="preserve">           </w:t>
      </w:r>
      <w:r>
        <w:rPr>
          <w:rFonts w:hint="eastAsia" w:hAnsi="仿宋_GB2312" w:cs="仿宋_GB2312"/>
          <w:color w:val="auto"/>
          <w:sz w:val="32"/>
          <w:szCs w:val="32"/>
          <w:highlight w:val="none"/>
          <w:u w:val="single"/>
        </w:rPr>
        <w:t xml:space="preserve">衢州市                      </w:t>
      </w:r>
    </w:p>
    <w:p>
      <w:pPr>
        <w:rPr>
          <w:rFonts w:hint="eastAsia" w:hAnsi="仿宋_GB2312" w:cs="仿宋_GB2312"/>
          <w:b/>
          <w:color w:val="auto"/>
          <w:sz w:val="36"/>
          <w:szCs w:val="36"/>
          <w:highlight w:val="none"/>
        </w:rPr>
      </w:pPr>
    </w:p>
    <w:p>
      <w:pPr>
        <w:rPr>
          <w:rFonts w:hint="eastAsia" w:hAnsi="仿宋_GB2312" w:cs="仿宋_GB2312"/>
          <w:b/>
          <w:color w:val="auto"/>
          <w:sz w:val="36"/>
          <w:szCs w:val="36"/>
          <w:highlight w:val="none"/>
        </w:rPr>
      </w:pPr>
      <w:r>
        <w:rPr>
          <w:rFonts w:hint="eastAsia" w:hAnsi="仿宋_GB2312" w:cs="仿宋_GB2312"/>
          <w:b/>
          <w:color w:val="auto"/>
          <w:sz w:val="36"/>
          <w:szCs w:val="36"/>
          <w:highlight w:val="none"/>
        </w:rPr>
        <w:t>委托方（甲方）：</w:t>
      </w:r>
      <w:r>
        <w:rPr>
          <w:rFonts w:hint="eastAsia" w:hAnsi="仿宋_GB2312" w:cs="仿宋_GB2312"/>
          <w:b/>
          <w:color w:val="auto"/>
          <w:sz w:val="36"/>
          <w:szCs w:val="36"/>
          <w:highlight w:val="none"/>
          <w:u w:val="single"/>
        </w:rPr>
        <w:t xml:space="preserve">  </w:t>
      </w:r>
      <w:r>
        <w:rPr>
          <w:rFonts w:hint="eastAsia" w:hAnsi="仿宋_GB2312" w:cs="仿宋_GB2312"/>
          <w:color w:val="auto"/>
          <w:sz w:val="32"/>
          <w:szCs w:val="32"/>
          <w:highlight w:val="none"/>
          <w:u w:val="single"/>
          <w:lang w:eastAsia="zh-CN"/>
        </w:rPr>
        <w:t>衢州智慧新城管理委员会</w:t>
      </w:r>
      <w:r>
        <w:rPr>
          <w:rFonts w:hint="eastAsia" w:hAnsi="仿宋_GB2312" w:cs="仿宋_GB2312"/>
          <w:color w:val="auto"/>
          <w:sz w:val="32"/>
          <w:szCs w:val="32"/>
          <w:highlight w:val="none"/>
          <w:u w:val="single"/>
        </w:rPr>
        <w:t xml:space="preserve">          </w:t>
      </w:r>
    </w:p>
    <w:p>
      <w:pPr>
        <w:ind w:firstLine="720"/>
        <w:rPr>
          <w:rFonts w:hint="eastAsia" w:hAnsi="仿宋_GB2312" w:cs="仿宋_GB2312"/>
          <w:b/>
          <w:color w:val="auto"/>
          <w:sz w:val="36"/>
          <w:szCs w:val="36"/>
          <w:highlight w:val="none"/>
        </w:rPr>
      </w:pPr>
    </w:p>
    <w:p>
      <w:pPr>
        <w:rPr>
          <w:rFonts w:hint="eastAsia" w:hAnsi="仿宋_GB2312" w:cs="仿宋_GB2312"/>
          <w:color w:val="auto"/>
          <w:w w:val="90"/>
          <w:sz w:val="32"/>
          <w:szCs w:val="32"/>
          <w:highlight w:val="none"/>
          <w:u w:val="single"/>
        </w:rPr>
      </w:pPr>
      <w:r>
        <w:rPr>
          <w:rFonts w:hint="eastAsia" w:hAnsi="仿宋_GB2312" w:cs="仿宋_GB2312"/>
          <w:b/>
          <w:color w:val="auto"/>
          <w:sz w:val="36"/>
          <w:szCs w:val="36"/>
          <w:highlight w:val="none"/>
        </w:rPr>
        <w:t>受托方（乙方）：</w:t>
      </w:r>
      <w:r>
        <w:rPr>
          <w:rFonts w:hint="eastAsia" w:hAnsi="仿宋_GB2312" w:cs="仿宋_GB2312"/>
          <w:color w:val="auto"/>
          <w:w w:val="90"/>
          <w:sz w:val="32"/>
          <w:szCs w:val="32"/>
          <w:highlight w:val="none"/>
          <w:u w:val="single"/>
        </w:rPr>
        <w:t xml:space="preserve">                                      </w:t>
      </w:r>
    </w:p>
    <w:p>
      <w:pPr>
        <w:rPr>
          <w:rFonts w:hint="eastAsia" w:hAnsi="仿宋_GB2312" w:cs="仿宋_GB2312"/>
          <w:b/>
          <w:color w:val="auto"/>
          <w:sz w:val="36"/>
          <w:szCs w:val="36"/>
          <w:highlight w:val="none"/>
        </w:rPr>
      </w:pPr>
    </w:p>
    <w:p>
      <w:pPr>
        <w:rPr>
          <w:rFonts w:hAnsi="仿宋_GB2312" w:cs="仿宋_GB2312"/>
          <w:b/>
          <w:color w:val="auto"/>
          <w:sz w:val="36"/>
          <w:szCs w:val="36"/>
          <w:highlight w:val="none"/>
          <w:u w:val="single"/>
        </w:rPr>
      </w:pPr>
      <w:r>
        <w:rPr>
          <w:rFonts w:hint="eastAsia" w:hAnsi="仿宋_GB2312" w:cs="仿宋_GB2312"/>
          <w:b/>
          <w:color w:val="auto"/>
          <w:sz w:val="36"/>
          <w:szCs w:val="36"/>
          <w:highlight w:val="none"/>
        </w:rPr>
        <w:t>签订日期：</w:t>
      </w:r>
      <w:r>
        <w:rPr>
          <w:rFonts w:hint="eastAsia" w:hAnsi="仿宋_GB2312" w:cs="仿宋_GB2312"/>
          <w:b/>
          <w:color w:val="auto"/>
          <w:sz w:val="36"/>
          <w:szCs w:val="36"/>
          <w:highlight w:val="none"/>
          <w:u w:val="single"/>
        </w:rPr>
        <w:t xml:space="preserve">                                    </w:t>
      </w:r>
    </w:p>
    <w:p>
      <w:pPr>
        <w:ind w:firstLine="720"/>
        <w:rPr>
          <w:rFonts w:hint="eastAsia" w:hAnsi="仿宋_GB2312" w:cs="仿宋_GB2312"/>
          <w:b/>
          <w:color w:val="auto"/>
          <w:sz w:val="36"/>
          <w:szCs w:val="36"/>
          <w:highlight w:val="none"/>
        </w:rPr>
      </w:pPr>
    </w:p>
    <w:p>
      <w:pPr>
        <w:rPr>
          <w:rFonts w:hint="eastAsia" w:hAnsi="仿宋_GB2312" w:cs="仿宋_GB2312"/>
          <w:b/>
          <w:color w:val="auto"/>
          <w:sz w:val="36"/>
          <w:szCs w:val="36"/>
          <w:highlight w:val="none"/>
        </w:rPr>
      </w:pPr>
      <w:r>
        <w:rPr>
          <w:rFonts w:hint="eastAsia" w:hAnsi="仿宋_GB2312" w:cs="仿宋_GB2312"/>
          <w:b/>
          <w:color w:val="auto"/>
          <w:sz w:val="36"/>
          <w:szCs w:val="36"/>
          <w:highlight w:val="none"/>
        </w:rPr>
        <w:t>签订地点：</w:t>
      </w:r>
      <w:r>
        <w:rPr>
          <w:rFonts w:hint="eastAsia" w:hAnsi="仿宋_GB2312" w:cs="仿宋_GB2312"/>
          <w:b/>
          <w:color w:val="auto"/>
          <w:sz w:val="36"/>
          <w:szCs w:val="36"/>
          <w:highlight w:val="none"/>
          <w:u w:val="single"/>
        </w:rPr>
        <w:t xml:space="preserve">              </w:t>
      </w:r>
      <w:r>
        <w:rPr>
          <w:rFonts w:hint="eastAsia" w:hAnsi="仿宋_GB2312" w:cs="仿宋_GB2312"/>
          <w:color w:val="auto"/>
          <w:sz w:val="32"/>
          <w:szCs w:val="32"/>
          <w:highlight w:val="none"/>
          <w:u w:val="single"/>
        </w:rPr>
        <w:t xml:space="preserve">衢州市                    </w:t>
      </w:r>
    </w:p>
    <w:p>
      <w:pPr>
        <w:spacing w:line="500" w:lineRule="exact"/>
        <w:ind w:firstLine="720"/>
        <w:rPr>
          <w:rFonts w:hint="eastAsia" w:hAnsi="仿宋_GB2312" w:cs="仿宋_GB2312"/>
          <w:color w:val="auto"/>
          <w:sz w:val="36"/>
          <w:szCs w:val="36"/>
          <w:highlight w:val="none"/>
        </w:rPr>
      </w:pPr>
    </w:p>
    <w:p>
      <w:pPr>
        <w:spacing w:line="500" w:lineRule="exact"/>
        <w:ind w:firstLine="560"/>
        <w:rPr>
          <w:rFonts w:hint="eastAsia" w:hAnsi="仿宋_GB2312" w:cs="仿宋_GB2312"/>
          <w:color w:val="auto"/>
          <w:highlight w:val="none"/>
        </w:rPr>
      </w:pPr>
    </w:p>
    <w:p>
      <w:pPr>
        <w:pStyle w:val="7"/>
        <w:rPr>
          <w:rFonts w:hint="eastAsia" w:ascii="仿宋_GB2312" w:hAnsi="仿宋_GB2312" w:eastAsia="仿宋_GB2312" w:cs="仿宋_GB2312"/>
          <w:color w:val="auto"/>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根据《中华人民共和国政府采购法》、《政府采购货物和服务招标管理办法》等法律法规，经</w:t>
      </w:r>
      <w:r>
        <w:rPr>
          <w:rFonts w:hint="eastAsia" w:ascii="宋体" w:hAnsi="宋体" w:eastAsia="宋体" w:cs="宋体"/>
          <w:color w:val="auto"/>
          <w:sz w:val="24"/>
          <w:szCs w:val="24"/>
          <w:highlight w:val="none"/>
          <w:u w:val="single"/>
        </w:rPr>
        <w:t xml:space="preserve"> 公开招标  </w:t>
      </w:r>
      <w:r>
        <w:rPr>
          <w:rFonts w:hint="eastAsia" w:ascii="宋体" w:hAnsi="宋体" w:eastAsia="宋体" w:cs="宋体"/>
          <w:color w:val="auto"/>
          <w:sz w:val="24"/>
          <w:szCs w:val="24"/>
          <w:highlight w:val="none"/>
        </w:rPr>
        <w:t>方式确定乙方承担</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衢州智慧新城2024-2025年度规划类项目技术服务项目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的规划</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工作，为明确甲乙双方的权利义务，经双方协商一致，签订本合同，以便共同遵守。</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本合同依据下列文件签订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1.《中华人民共和国民法典》、《中华人民共和国城乡规划法》等相关法律法规。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2.国家及地方有关城乡规划编制、管理、审批的法规和规章。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3.上级主管部门同意城乡规划编制及调整的批准文件。</w:t>
      </w:r>
    </w:p>
    <w:p>
      <w:pPr>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第二条  本合同有关城乡规划</w:t>
      </w:r>
      <w:r>
        <w:rPr>
          <w:rFonts w:hint="eastAsia" w:ascii="宋体" w:hAnsi="宋体" w:cs="宋体"/>
          <w:b/>
          <w:color w:val="auto"/>
          <w:sz w:val="24"/>
          <w:szCs w:val="24"/>
          <w:highlight w:val="none"/>
          <w:lang w:val="en-US" w:eastAsia="zh-CN"/>
        </w:rPr>
        <w:t>服务</w:t>
      </w:r>
      <w:r>
        <w:rPr>
          <w:rFonts w:hint="eastAsia" w:ascii="宋体" w:hAnsi="宋体" w:eastAsia="宋体" w:cs="宋体"/>
          <w:b/>
          <w:color w:val="auto"/>
          <w:sz w:val="24"/>
          <w:szCs w:val="24"/>
          <w:highlight w:val="none"/>
        </w:rPr>
        <w:t>项目的内容</w:t>
      </w:r>
      <w:r>
        <w:rPr>
          <w:rFonts w:hint="eastAsia" w:ascii="宋体" w:hAnsi="宋体" w:cs="宋体"/>
          <w:b/>
          <w:color w:val="auto"/>
          <w:sz w:val="24"/>
          <w:szCs w:val="24"/>
          <w:highlight w:val="none"/>
          <w:lang w:val="en-US" w:eastAsia="zh-CN"/>
        </w:rPr>
        <w:t>及要求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衢州智慧新城2024-2025年度规划类项目技术服务项目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2.项目面积：约</w:t>
      </w:r>
      <w:r>
        <w:rPr>
          <w:rFonts w:hint="eastAsia" w:ascii="宋体" w:hAnsi="宋体" w:cs="宋体"/>
          <w:color w:val="auto"/>
          <w:sz w:val="24"/>
          <w:szCs w:val="24"/>
          <w:highlight w:val="none"/>
          <w:u w:val="single"/>
          <w:lang w:val="en-US" w:eastAsia="zh-CN"/>
        </w:rPr>
        <w:t>41.5</w:t>
      </w:r>
      <w:r>
        <w:rPr>
          <w:rFonts w:hint="default" w:ascii="宋体" w:hAnsi="宋体" w:eastAsia="宋体" w:cs="宋体"/>
          <w:b w:val="0"/>
          <w:bCs w:val="0"/>
          <w:color w:val="auto"/>
          <w:kern w:val="2"/>
          <w:sz w:val="24"/>
          <w:szCs w:val="24"/>
          <w:highlight w:val="none"/>
          <w:u w:val="single"/>
          <w:lang w:eastAsia="zh-CN" w:bidi="ar-SA"/>
        </w:rPr>
        <w:t>平方公里</w:t>
      </w:r>
      <w:r>
        <w:rPr>
          <w:rFonts w:hint="eastAsia" w:ascii="宋体" w:hAnsi="宋体" w:eastAsia="宋体" w:cs="宋体"/>
          <w:color w:val="auto"/>
          <w:sz w:val="24"/>
          <w:szCs w:val="24"/>
          <w:highlight w:val="none"/>
        </w:rPr>
        <w:t>，规划范围：</w:t>
      </w:r>
      <w:r>
        <w:rPr>
          <w:rFonts w:hint="eastAsia" w:ascii="宋体" w:hAnsi="宋体" w:eastAsia="宋体" w:cs="宋体"/>
          <w:b w:val="0"/>
          <w:bCs w:val="0"/>
          <w:color w:val="auto"/>
          <w:kern w:val="2"/>
          <w:sz w:val="24"/>
          <w:szCs w:val="24"/>
          <w:highlight w:val="none"/>
          <w:u w:val="single"/>
          <w:lang w:val="en-US" w:eastAsia="zh-CN"/>
        </w:rPr>
        <w:t>东至23省道，南至320国道，西至莫家村、下河东村西侧村界，北至杭金衢高速，包括智慧新城一期、高铁新城、百家塘片区、浮石片区、姜家山片区、莫家片区六个片区</w:t>
      </w:r>
    </w:p>
    <w:p>
      <w:pPr>
        <w:numPr>
          <w:ilvl w:val="0"/>
          <w:numId w:val="0"/>
        </w:numPr>
        <w:spacing w:line="500" w:lineRule="exact"/>
        <w:ind w:left="361"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3.规划</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的内容、要求及深度：</w:t>
      </w:r>
    </w:p>
    <w:p>
      <w:pPr>
        <w:numPr>
          <w:ilvl w:val="0"/>
          <w:numId w:val="0"/>
        </w:numPr>
        <w:spacing w:line="50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bidi="ar-SA"/>
        </w:rPr>
        <w:t>（一）</w:t>
      </w:r>
      <w:r>
        <w:rPr>
          <w:rFonts w:hint="eastAsia" w:ascii="宋体" w:hAnsi="宋体" w:eastAsia="宋体" w:cs="宋体"/>
          <w:b w:val="0"/>
          <w:bCs w:val="0"/>
          <w:color w:val="auto"/>
          <w:kern w:val="0"/>
          <w:sz w:val="24"/>
          <w:szCs w:val="24"/>
          <w:highlight w:val="none"/>
          <w:lang w:val="en-US" w:eastAsia="zh-CN"/>
        </w:rPr>
        <w:t>重要课题研究</w:t>
      </w:r>
    </w:p>
    <w:p>
      <w:pPr>
        <w:spacing w:line="500" w:lineRule="exact"/>
        <w:ind w:firstLine="480" w:firstLineChars="200"/>
        <w:rPr>
          <w:rFonts w:hint="default"/>
          <w:highlight w:val="none"/>
          <w:lang w:val="en-US" w:eastAsia="zh-CN"/>
        </w:rPr>
      </w:pPr>
      <w:r>
        <w:rPr>
          <w:rFonts w:hint="eastAsia" w:ascii="宋体" w:hAnsi="宋体" w:eastAsia="宋体" w:cs="宋体"/>
          <w:b w:val="0"/>
          <w:bCs w:val="0"/>
          <w:color w:val="auto"/>
          <w:kern w:val="0"/>
          <w:sz w:val="24"/>
          <w:szCs w:val="24"/>
          <w:highlight w:val="none"/>
          <w:lang w:val="en-US" w:eastAsia="zh-CN"/>
        </w:rPr>
        <w:t>针对片区发展或项目建设需要，解决规划或项目建设存在问题，梳理相关规划要求，开展相关规划研究。</w:t>
      </w:r>
    </w:p>
    <w:p>
      <w:pPr>
        <w:spacing w:line="50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（二）项目选址研究</w:t>
      </w:r>
    </w:p>
    <w:p>
      <w:pPr>
        <w:spacing w:line="50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结合《衢州市国土空间总体规划（2021-2035）》和城市设计、各片区控规、相关专项规划，针对实际项目建设需要，结合项目规模及用地性质，开展建设项目规划选址方案研究。</w:t>
      </w:r>
    </w:p>
    <w:p>
      <w:pPr>
        <w:numPr>
          <w:ilvl w:val="0"/>
          <w:numId w:val="0"/>
        </w:numPr>
        <w:spacing w:line="500" w:lineRule="exact"/>
        <w:ind w:left="361" w:firstLine="0" w:firstLine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（三）总图管理</w:t>
      </w:r>
    </w:p>
    <w:p>
      <w:pPr>
        <w:spacing w:line="50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要负责核对智慧新城范围内各类用地红线，包括但不限于项目选址红线、项目用地红线、项目供地红线、项目实施范围线、地块污染调查范围图、绿化易地补偿图等，以及红线总图汇总，并每月更新，确保出具红线的准确性。</w:t>
      </w:r>
    </w:p>
    <w:p>
      <w:pPr>
        <w:spacing w:line="50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（四）规划服务技术咨询</w:t>
      </w:r>
    </w:p>
    <w:p>
      <w:pPr>
        <w:spacing w:line="50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主要负责涉及智慧新城范围内各类规划及专题研究的技术咨询，提出意见建议，为片区发展或项目决策提供技术支撑。</w:t>
      </w:r>
    </w:p>
    <w:p>
      <w:pPr>
        <w:numPr>
          <w:ilvl w:val="0"/>
          <w:numId w:val="0"/>
        </w:numPr>
        <w:spacing w:line="50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（五）控规调整论证</w:t>
      </w:r>
    </w:p>
    <w:p>
      <w:pPr>
        <w:spacing w:line="50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主要包括智慧新城范围内出让及划拨地块控规图则编制，对控规调整主要规划指标进行测算及论证，编制控规调整论证报告。</w:t>
      </w:r>
    </w:p>
    <w:p>
      <w:pPr>
        <w:numPr>
          <w:ilvl w:val="0"/>
          <w:numId w:val="0"/>
        </w:numPr>
        <w:spacing w:line="500" w:lineRule="exact"/>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（六）</w:t>
      </w:r>
      <w:r>
        <w:rPr>
          <w:rFonts w:hint="eastAsia" w:ascii="宋体" w:hAnsi="宋体" w:eastAsia="宋体" w:cs="宋体"/>
          <w:b w:val="0"/>
          <w:bCs w:val="0"/>
          <w:color w:val="auto"/>
          <w:kern w:val="0"/>
          <w:sz w:val="24"/>
          <w:szCs w:val="24"/>
          <w:highlight w:val="none"/>
          <w:lang w:val="en-US" w:eastAsia="zh-CN"/>
        </w:rPr>
        <w:t>地块方案试排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szCs w:val="24"/>
          <w:highlight w:val="none"/>
        </w:rPr>
      </w:pPr>
      <w:r>
        <w:rPr>
          <w:rFonts w:hint="eastAsia" w:ascii="宋体" w:hAnsi="宋体" w:eastAsia="宋体" w:cs="宋体"/>
          <w:color w:val="auto"/>
          <w:kern w:val="0"/>
          <w:sz w:val="24"/>
          <w:highlight w:val="none"/>
          <w:lang w:val="en-US" w:eastAsia="zh-CN"/>
        </w:rPr>
        <w:t>针对拟出让或划拨的重点地块，</w:t>
      </w:r>
      <w:r>
        <w:rPr>
          <w:rFonts w:hint="eastAsia" w:ascii="宋体" w:hAnsi="宋体" w:eastAsia="宋体" w:cs="宋体"/>
          <w:i w:val="0"/>
          <w:iCs w:val="0"/>
          <w:caps w:val="0"/>
          <w:color w:val="auto"/>
          <w:spacing w:val="0"/>
          <w:kern w:val="0"/>
          <w:sz w:val="24"/>
          <w:szCs w:val="24"/>
          <w:highlight w:val="none"/>
          <w:shd w:val="clear" w:color="auto" w:fill="auto"/>
        </w:rPr>
        <w:t>进行模拟方案设计，根据需要进行指标论证，‌包括建筑布局、‌日照、‌消防、‌交通组织等方面的考量，‌以确保规划方案</w:t>
      </w:r>
      <w:r>
        <w:rPr>
          <w:rFonts w:hint="eastAsia" w:ascii="宋体" w:hAnsi="宋体" w:cs="宋体"/>
          <w:i w:val="0"/>
          <w:iCs w:val="0"/>
          <w:caps w:val="0"/>
          <w:color w:val="auto"/>
          <w:spacing w:val="0"/>
          <w:kern w:val="0"/>
          <w:sz w:val="24"/>
          <w:szCs w:val="24"/>
          <w:highlight w:val="none"/>
          <w:shd w:val="clear" w:color="auto" w:fill="auto"/>
          <w:lang w:val="en-US" w:eastAsia="zh-CN"/>
        </w:rPr>
        <w:t>符合</w:t>
      </w:r>
      <w:r>
        <w:rPr>
          <w:rFonts w:hint="eastAsia" w:ascii="宋体" w:hAnsi="宋体" w:eastAsia="宋体" w:cs="宋体"/>
          <w:i w:val="0"/>
          <w:iCs w:val="0"/>
          <w:caps w:val="0"/>
          <w:color w:val="auto"/>
          <w:spacing w:val="0"/>
          <w:kern w:val="0"/>
          <w:sz w:val="24"/>
          <w:szCs w:val="24"/>
          <w:highlight w:val="none"/>
          <w:shd w:val="clear" w:color="auto" w:fill="auto"/>
        </w:rPr>
        <w:t>相关法规和规范的要求</w:t>
      </w:r>
      <w:r>
        <w:rPr>
          <w:rFonts w:hint="eastAsia" w:ascii="宋体" w:hAnsi="宋体" w:cs="宋体"/>
          <w:i w:val="0"/>
          <w:iCs w:val="0"/>
          <w:caps w:val="0"/>
          <w:color w:val="auto"/>
          <w:spacing w:val="0"/>
          <w:kern w:val="0"/>
          <w:sz w:val="24"/>
          <w:szCs w:val="24"/>
          <w:highlight w:val="none"/>
          <w:shd w:val="clear" w:color="auto" w:fill="auto"/>
          <w:lang w:val="en-US" w:eastAsia="zh-CN"/>
        </w:rPr>
        <w:t>并满足区域总体规划</w:t>
      </w:r>
      <w:r>
        <w:rPr>
          <w:rFonts w:hint="eastAsia" w:ascii="宋体" w:hAnsi="宋体" w:eastAsia="宋体" w:cs="宋体"/>
          <w:i w:val="0"/>
          <w:iCs w:val="0"/>
          <w:caps w:val="0"/>
          <w:color w:val="auto"/>
          <w:spacing w:val="0"/>
          <w:kern w:val="0"/>
          <w:sz w:val="24"/>
          <w:szCs w:val="24"/>
          <w:highlight w:val="none"/>
          <w:shd w:val="clear" w:color="auto" w:fill="auto"/>
        </w:rPr>
        <w:t>。‌通过试排方案，‌确定总建筑面积、‌容积率、‌建筑密度、‌绿地率</w:t>
      </w:r>
      <w:r>
        <w:rPr>
          <w:rFonts w:hint="eastAsia" w:ascii="宋体" w:hAnsi="宋体" w:cs="宋体"/>
          <w:i w:val="0"/>
          <w:iCs w:val="0"/>
          <w:caps w:val="0"/>
          <w:color w:val="auto"/>
          <w:spacing w:val="0"/>
          <w:kern w:val="0"/>
          <w:sz w:val="24"/>
          <w:szCs w:val="24"/>
          <w:highlight w:val="none"/>
          <w:shd w:val="clear" w:color="auto" w:fill="auto"/>
          <w:lang w:eastAsia="zh-CN"/>
        </w:rPr>
        <w:t>、</w:t>
      </w:r>
      <w:r>
        <w:rPr>
          <w:rFonts w:hint="eastAsia" w:ascii="宋体" w:hAnsi="宋体" w:eastAsia="宋体" w:cs="宋体"/>
          <w:i w:val="0"/>
          <w:iCs w:val="0"/>
          <w:caps w:val="0"/>
          <w:color w:val="auto"/>
          <w:spacing w:val="0"/>
          <w:kern w:val="0"/>
          <w:sz w:val="24"/>
          <w:szCs w:val="24"/>
          <w:highlight w:val="none"/>
          <w:shd w:val="clear" w:color="auto" w:fill="auto"/>
        </w:rPr>
        <w:t>建筑高度</w:t>
      </w:r>
      <w:r>
        <w:rPr>
          <w:rFonts w:hint="eastAsia" w:ascii="宋体" w:hAnsi="宋体" w:cs="宋体"/>
          <w:i w:val="0"/>
          <w:iCs w:val="0"/>
          <w:caps w:val="0"/>
          <w:color w:val="auto"/>
          <w:spacing w:val="0"/>
          <w:kern w:val="0"/>
          <w:sz w:val="24"/>
          <w:szCs w:val="24"/>
          <w:highlight w:val="none"/>
          <w:shd w:val="clear" w:color="auto" w:fill="auto"/>
          <w:lang w:eastAsia="zh-CN"/>
        </w:rPr>
        <w:t>、</w:t>
      </w:r>
      <w:r>
        <w:rPr>
          <w:rFonts w:hint="eastAsia" w:ascii="宋体" w:hAnsi="宋体" w:cs="宋体"/>
          <w:i w:val="0"/>
          <w:iCs w:val="0"/>
          <w:caps w:val="0"/>
          <w:color w:val="auto"/>
          <w:spacing w:val="0"/>
          <w:kern w:val="0"/>
          <w:sz w:val="24"/>
          <w:szCs w:val="24"/>
          <w:highlight w:val="none"/>
          <w:shd w:val="clear" w:color="auto" w:fill="auto"/>
          <w:lang w:val="en-US" w:eastAsia="zh-CN"/>
        </w:rPr>
        <w:t>交通出入口方位、停车泊位及其他需要配置的公共设施</w:t>
      </w:r>
      <w:r>
        <w:rPr>
          <w:rFonts w:hint="eastAsia" w:ascii="宋体" w:hAnsi="宋体" w:eastAsia="宋体" w:cs="宋体"/>
          <w:i w:val="0"/>
          <w:iCs w:val="0"/>
          <w:caps w:val="0"/>
          <w:color w:val="auto"/>
          <w:spacing w:val="0"/>
          <w:kern w:val="0"/>
          <w:sz w:val="24"/>
          <w:szCs w:val="24"/>
          <w:highlight w:val="none"/>
          <w:shd w:val="clear" w:color="auto" w:fill="auto"/>
        </w:rPr>
        <w:t>等</w:t>
      </w:r>
      <w:r>
        <w:rPr>
          <w:rFonts w:hint="eastAsia" w:ascii="宋体" w:hAnsi="宋体" w:cs="宋体"/>
          <w:i w:val="0"/>
          <w:iCs w:val="0"/>
          <w:caps w:val="0"/>
          <w:color w:val="auto"/>
          <w:spacing w:val="0"/>
          <w:kern w:val="0"/>
          <w:sz w:val="24"/>
          <w:szCs w:val="24"/>
          <w:highlight w:val="none"/>
          <w:shd w:val="clear" w:color="auto" w:fill="auto"/>
          <w:lang w:val="en-US" w:eastAsia="zh-CN"/>
        </w:rPr>
        <w:t>规定性</w:t>
      </w:r>
      <w:r>
        <w:rPr>
          <w:rFonts w:hint="eastAsia" w:ascii="宋体" w:hAnsi="宋体" w:eastAsia="宋体" w:cs="宋体"/>
          <w:i w:val="0"/>
          <w:iCs w:val="0"/>
          <w:caps w:val="0"/>
          <w:color w:val="auto"/>
          <w:spacing w:val="0"/>
          <w:kern w:val="0"/>
          <w:sz w:val="24"/>
          <w:szCs w:val="24"/>
          <w:highlight w:val="none"/>
          <w:shd w:val="clear" w:color="auto" w:fill="auto"/>
        </w:rPr>
        <w:t>指标</w:t>
      </w:r>
      <w:r>
        <w:rPr>
          <w:rFonts w:hint="eastAsia" w:ascii="宋体" w:hAnsi="宋体" w:eastAsia="宋体" w:cs="宋体"/>
          <w:i w:val="0"/>
          <w:iCs w:val="0"/>
          <w:caps w:val="0"/>
          <w:color w:val="auto"/>
          <w:spacing w:val="0"/>
          <w:kern w:val="0"/>
          <w:sz w:val="24"/>
          <w:szCs w:val="24"/>
          <w:highlight w:val="none"/>
          <w:shd w:val="clear" w:color="auto" w:fill="auto"/>
          <w:lang w:eastAsia="zh-CN"/>
        </w:rPr>
        <w:t>。</w:t>
      </w:r>
      <w:r>
        <w:rPr>
          <w:rFonts w:hint="eastAsia" w:ascii="宋体" w:hAnsi="宋体" w:eastAsia="宋体" w:cs="宋体"/>
          <w:color w:val="auto"/>
          <w:sz w:val="24"/>
          <w:szCs w:val="24"/>
          <w:highlight w:val="none"/>
        </w:rPr>
        <w:t xml:space="preserve"> </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500" w:lineRule="exact"/>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服务期限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限</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起至</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xml:space="preserve">202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止</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条  甲方应向乙方提交以下资料和文件</w:t>
      </w:r>
    </w:p>
    <w:tbl>
      <w:tblPr>
        <w:tblStyle w:val="21"/>
        <w:tblW w:w="8518"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01"/>
        <w:gridCol w:w="5058"/>
        <w:gridCol w:w="255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4" w:hRule="atLeast"/>
          <w:jc w:val="center"/>
        </w:trPr>
        <w:tc>
          <w:tcPr>
            <w:tcW w:w="901" w:type="dxa"/>
            <w:noWrap w:val="0"/>
            <w:tcMar>
              <w:top w:w="0" w:type="dxa"/>
              <w:left w:w="0" w:type="dxa"/>
              <w:bottom w:w="0" w:type="dxa"/>
              <w:right w:w="0"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058" w:type="dxa"/>
            <w:noWrap w:val="0"/>
            <w:tcMar>
              <w:top w:w="0" w:type="dxa"/>
              <w:left w:w="0" w:type="dxa"/>
              <w:bottom w:w="0" w:type="dxa"/>
              <w:right w:w="0"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资料、文件名称</w:t>
            </w:r>
          </w:p>
        </w:tc>
        <w:tc>
          <w:tcPr>
            <w:tcW w:w="2559" w:type="dxa"/>
            <w:noWrap w:val="0"/>
            <w:vAlign w:val="top"/>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9" w:hRule="atLeast"/>
          <w:jc w:val="center"/>
        </w:trPr>
        <w:tc>
          <w:tcPr>
            <w:tcW w:w="901" w:type="dxa"/>
            <w:noWrap w:val="0"/>
            <w:tcMar>
              <w:top w:w="0" w:type="dxa"/>
              <w:left w:w="0" w:type="dxa"/>
              <w:bottom w:w="0" w:type="dxa"/>
              <w:right w:w="0"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058" w:type="dxa"/>
            <w:noWrap w:val="0"/>
            <w:tcMar>
              <w:top w:w="0" w:type="dxa"/>
              <w:left w:w="0" w:type="dxa"/>
              <w:bottom w:w="0" w:type="dxa"/>
              <w:right w:w="0"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现状地形资料</w:t>
            </w:r>
          </w:p>
        </w:tc>
        <w:tc>
          <w:tcPr>
            <w:tcW w:w="2559" w:type="dxa"/>
            <w:noWrap w:val="0"/>
            <w:vAlign w:val="top"/>
          </w:tcPr>
          <w:p>
            <w:pPr>
              <w:spacing w:line="400" w:lineRule="exact"/>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901" w:type="dxa"/>
            <w:noWrap w:val="0"/>
            <w:tcMar>
              <w:top w:w="0" w:type="dxa"/>
              <w:left w:w="0" w:type="dxa"/>
              <w:bottom w:w="0" w:type="dxa"/>
              <w:right w:w="0"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058" w:type="dxa"/>
            <w:noWrap w:val="0"/>
            <w:tcMar>
              <w:top w:w="0" w:type="dxa"/>
              <w:left w:w="0" w:type="dxa"/>
              <w:bottom w:w="0" w:type="dxa"/>
              <w:right w:w="0"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现有规划资料</w:t>
            </w:r>
          </w:p>
        </w:tc>
        <w:tc>
          <w:tcPr>
            <w:tcW w:w="2559" w:type="dxa"/>
            <w:noWrap w:val="0"/>
            <w:vAlign w:val="top"/>
          </w:tcPr>
          <w:p>
            <w:pPr>
              <w:spacing w:line="400" w:lineRule="exact"/>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9" w:hRule="atLeast"/>
          <w:jc w:val="center"/>
        </w:trPr>
        <w:tc>
          <w:tcPr>
            <w:tcW w:w="901" w:type="dxa"/>
            <w:noWrap w:val="0"/>
            <w:tcMar>
              <w:top w:w="0" w:type="dxa"/>
              <w:left w:w="0" w:type="dxa"/>
              <w:bottom w:w="0" w:type="dxa"/>
              <w:right w:w="0"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058" w:type="dxa"/>
            <w:noWrap w:val="0"/>
            <w:tcMar>
              <w:top w:w="0" w:type="dxa"/>
              <w:left w:w="0" w:type="dxa"/>
              <w:bottom w:w="0" w:type="dxa"/>
              <w:right w:w="0"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现有相关数据资料</w:t>
            </w:r>
          </w:p>
        </w:tc>
        <w:tc>
          <w:tcPr>
            <w:tcW w:w="2559" w:type="dxa"/>
            <w:noWrap w:val="0"/>
            <w:vAlign w:val="top"/>
          </w:tcPr>
          <w:p>
            <w:pPr>
              <w:spacing w:line="400" w:lineRule="exact"/>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4" w:hRule="atLeast"/>
          <w:jc w:val="center"/>
        </w:trPr>
        <w:tc>
          <w:tcPr>
            <w:tcW w:w="901" w:type="dxa"/>
            <w:noWrap w:val="0"/>
            <w:tcMar>
              <w:top w:w="0" w:type="dxa"/>
              <w:left w:w="0" w:type="dxa"/>
              <w:bottom w:w="0" w:type="dxa"/>
              <w:right w:w="0"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058" w:type="dxa"/>
            <w:noWrap w:val="0"/>
            <w:tcMar>
              <w:top w:w="0" w:type="dxa"/>
              <w:left w:w="0" w:type="dxa"/>
              <w:bottom w:w="0" w:type="dxa"/>
              <w:right w:w="0" w:type="dxa"/>
            </w:tcMar>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其他涉及该项目的资料</w:t>
            </w:r>
          </w:p>
        </w:tc>
        <w:tc>
          <w:tcPr>
            <w:tcW w:w="2559" w:type="dxa"/>
            <w:noWrap w:val="0"/>
            <w:vAlign w:val="top"/>
          </w:tcPr>
          <w:p>
            <w:pPr>
              <w:spacing w:line="400" w:lineRule="exact"/>
              <w:jc w:val="center"/>
              <w:rPr>
                <w:rFonts w:hint="eastAsia" w:ascii="宋体" w:hAnsi="宋体" w:eastAsia="宋体" w:cs="宋体"/>
                <w:color w:val="auto"/>
                <w:sz w:val="24"/>
                <w:szCs w:val="24"/>
                <w:highlight w:val="none"/>
              </w:rPr>
            </w:pPr>
          </w:p>
        </w:tc>
      </w:tr>
    </w:tbl>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条  乙方应向甲方交付以下规划设计图纸和文件，制作成本费用由乙方承担。</w:t>
      </w:r>
    </w:p>
    <w:tbl>
      <w:tblPr>
        <w:tblStyle w:val="21"/>
        <w:tblW w:w="845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678"/>
        <w:gridCol w:w="1983"/>
        <w:gridCol w:w="3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790" w:type="dxa"/>
            <w:tcBorders>
              <w:top w:val="single" w:color="auto" w:sz="12" w:space="0"/>
              <w:left w:val="single" w:color="auto" w:sz="12"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78" w:type="dxa"/>
            <w:tcBorders>
              <w:top w:val="single" w:color="auto" w:sz="12"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图纸、文件名称</w:t>
            </w:r>
          </w:p>
        </w:tc>
        <w:tc>
          <w:tcPr>
            <w:tcW w:w="1983" w:type="dxa"/>
            <w:tcBorders>
              <w:top w:val="single" w:color="auto" w:sz="12"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份数</w:t>
            </w:r>
          </w:p>
        </w:tc>
        <w:tc>
          <w:tcPr>
            <w:tcW w:w="3000" w:type="dxa"/>
            <w:tcBorders>
              <w:top w:val="single" w:color="auto" w:sz="12"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790"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规划研究</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按需提供</w:t>
            </w:r>
          </w:p>
        </w:tc>
        <w:tc>
          <w:tcPr>
            <w:tcW w:w="3000" w:type="dxa"/>
            <w:tcBorders>
              <w:top w:val="single" w:color="auto" w:sz="4" w:space="0"/>
              <w:left w:val="single" w:color="auto" w:sz="4" w:space="0"/>
              <w:bottom w:val="single" w:color="auto" w:sz="4" w:space="0"/>
              <w:right w:val="single" w:color="auto" w:sz="12" w:space="0"/>
            </w:tcBorders>
            <w:noWrap w:val="0"/>
            <w:vAlign w:val="top"/>
          </w:tcPr>
          <w:p>
            <w:pPr>
              <w:spacing w:line="4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文本、图纸</w:t>
            </w:r>
            <w:r>
              <w:rPr>
                <w:rFonts w:hint="eastAsia" w:ascii="宋体" w:hAnsi="宋体" w:eastAsia="宋体" w:cs="宋体"/>
                <w:color w:val="auto"/>
                <w:sz w:val="24"/>
                <w:szCs w:val="24"/>
                <w:highlight w:val="none"/>
                <w:lang w:val="en-US" w:eastAsia="zh-CN"/>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790"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地块控规</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按需提供</w:t>
            </w:r>
          </w:p>
        </w:tc>
        <w:tc>
          <w:tcPr>
            <w:tcW w:w="3000" w:type="dxa"/>
            <w:tcBorders>
              <w:top w:val="single" w:color="auto" w:sz="4" w:space="0"/>
              <w:left w:val="single" w:color="auto" w:sz="4" w:space="0"/>
              <w:bottom w:val="single" w:color="auto" w:sz="4" w:space="0"/>
              <w:right w:val="single" w:color="auto" w:sz="12" w:space="0"/>
            </w:tcBorders>
            <w:noWrap w:val="0"/>
            <w:vAlign w:val="top"/>
          </w:tcPr>
          <w:p>
            <w:pPr>
              <w:spacing w:line="400" w:lineRule="exact"/>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同上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790"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选址报告</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按需提供</w:t>
            </w:r>
          </w:p>
        </w:tc>
        <w:tc>
          <w:tcPr>
            <w:tcW w:w="3000" w:type="dxa"/>
            <w:tcBorders>
              <w:top w:val="single" w:color="auto" w:sz="4" w:space="0"/>
              <w:left w:val="single" w:color="auto" w:sz="4" w:space="0"/>
              <w:bottom w:val="single" w:color="auto" w:sz="4" w:space="0"/>
              <w:right w:val="single" w:color="auto" w:sz="12" w:space="0"/>
            </w:tcBorders>
            <w:noWrap w:val="0"/>
            <w:vAlign w:val="top"/>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同上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0"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控规调整报告</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按需提供</w:t>
            </w:r>
          </w:p>
        </w:tc>
        <w:tc>
          <w:tcPr>
            <w:tcW w:w="3000" w:type="dxa"/>
            <w:tcBorders>
              <w:top w:val="single" w:color="auto" w:sz="4" w:space="0"/>
              <w:left w:val="single" w:color="auto" w:sz="4" w:space="0"/>
              <w:bottom w:val="single" w:color="auto" w:sz="4" w:space="0"/>
              <w:right w:val="single" w:color="auto" w:sz="12" w:space="0"/>
            </w:tcBorders>
            <w:noWrap w:val="0"/>
            <w:vAlign w:val="top"/>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同上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0"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红线总图</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按需提供</w:t>
            </w:r>
          </w:p>
        </w:tc>
        <w:tc>
          <w:tcPr>
            <w:tcW w:w="3000" w:type="dxa"/>
            <w:tcBorders>
              <w:top w:val="single" w:color="auto" w:sz="4" w:space="0"/>
              <w:left w:val="single" w:color="auto" w:sz="4" w:space="0"/>
              <w:bottom w:val="single" w:color="auto" w:sz="4" w:space="0"/>
              <w:right w:val="single" w:color="auto" w:sz="12" w:space="0"/>
            </w:tcBorders>
            <w:noWrap w:val="0"/>
            <w:vAlign w:val="top"/>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同上</w:t>
            </w:r>
          </w:p>
        </w:tc>
      </w:tr>
    </w:tbl>
    <w:p>
      <w:pPr>
        <w:spacing w:line="360" w:lineRule="auto"/>
        <w:ind w:firstLine="482" w:firstLineChars="200"/>
        <w:rPr>
          <w:rFonts w:hint="eastAsia" w:ascii="宋体" w:hAnsi="宋体" w:eastAsia="宋体" w:cs="宋体"/>
          <w:b/>
          <w:color w:val="auto"/>
          <w:sz w:val="24"/>
          <w:szCs w:val="24"/>
          <w:highlight w:val="none"/>
        </w:rPr>
      </w:pP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条  项目工作及进度要求</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单个</w:t>
      </w:r>
      <w:r>
        <w:rPr>
          <w:rFonts w:hint="eastAsia" w:ascii="宋体" w:hAnsi="宋体" w:eastAsia="宋体" w:cs="宋体"/>
          <w:color w:val="auto"/>
          <w:sz w:val="24"/>
          <w:szCs w:val="24"/>
          <w:highlight w:val="none"/>
        </w:rPr>
        <w:t>项目规划周期为</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u w:val="single"/>
          <w:lang w:val="en-US" w:eastAsia="zh-CN"/>
        </w:rPr>
        <w:t xml:space="preserve">30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具体成果完成时间以甲方要求为准。</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 xml:space="preserve">条  </w:t>
      </w:r>
      <w:r>
        <w:rPr>
          <w:rFonts w:hint="eastAsia" w:ascii="宋体" w:hAnsi="宋体" w:cs="宋体"/>
          <w:b/>
          <w:color w:val="auto"/>
          <w:sz w:val="24"/>
          <w:szCs w:val="24"/>
          <w:highlight w:val="none"/>
          <w:lang w:val="en-US" w:eastAsia="zh-CN"/>
        </w:rPr>
        <w:t>服务</w:t>
      </w:r>
      <w:r>
        <w:rPr>
          <w:rFonts w:hint="eastAsia" w:ascii="宋体" w:hAnsi="宋体" w:eastAsia="宋体" w:cs="宋体"/>
          <w:b/>
          <w:color w:val="auto"/>
          <w:sz w:val="24"/>
          <w:szCs w:val="24"/>
          <w:highlight w:val="none"/>
        </w:rPr>
        <w:t>费用及付款方式</w:t>
      </w:r>
    </w:p>
    <w:p>
      <w:pPr>
        <w:spacing w:line="500" w:lineRule="exact"/>
        <w:ind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1.服务费用</w:t>
      </w:r>
    </w:p>
    <w:p>
      <w:pPr>
        <w:spacing w:line="500" w:lineRule="exact"/>
        <w:ind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本项目服务费用采用单个项目结算方式，单个项目服务费按乙方中标单价执行，完成个数按实结算，年度结算总金额不超200万元。</w:t>
      </w:r>
    </w:p>
    <w:p>
      <w:pPr>
        <w:spacing w:line="500" w:lineRule="exact"/>
        <w:ind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本项目服务费用包含乙方履行本合同所需全部费用，包括但不限于员工工资、加班费、现场调研费、交通费、住宿费、会务费、综合验收以及税费等。</w:t>
      </w:r>
    </w:p>
    <w:p>
      <w:pPr>
        <w:spacing w:line="500" w:lineRule="exact"/>
        <w:ind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2.服务费用的支付时间</w:t>
      </w:r>
    </w:p>
    <w:p>
      <w:pPr>
        <w:spacing w:line="500" w:lineRule="exact"/>
        <w:ind w:firstLine="480" w:firstLineChars="200"/>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本项目服务费用采用分期支付的方式，具体支付方式及时间如下：</w:t>
      </w:r>
    </w:p>
    <w:p>
      <w:pPr>
        <w:spacing w:line="50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b w:val="0"/>
          <w:bCs w:val="0"/>
          <w:color w:val="auto"/>
          <w:kern w:val="0"/>
          <w:sz w:val="24"/>
          <w:szCs w:val="24"/>
          <w:highlight w:val="none"/>
          <w:lang w:val="en-US" w:eastAsia="zh-CN" w:bidi="ar"/>
        </w:rPr>
        <w:t>（1）预付款支付：合同生效且具备实施条件后7个工作日内支付人民币20 万元。如中标人为中小企业的，对中小企业合同预付款比例调整</w:t>
      </w:r>
      <w:r>
        <w:rPr>
          <w:rFonts w:hint="eastAsia" w:ascii="宋体" w:hAnsi="宋体" w:eastAsia="宋体" w:cs="宋体"/>
          <w:color w:val="auto"/>
          <w:kern w:val="0"/>
          <w:sz w:val="24"/>
          <w:highlight w:val="none"/>
          <w:lang w:val="en-US" w:eastAsia="zh-CN"/>
        </w:rPr>
        <w:t>至合同</w:t>
      </w:r>
      <w:r>
        <w:rPr>
          <w:rFonts w:hint="eastAsia" w:ascii="宋体" w:hAnsi="宋体" w:cs="宋体"/>
          <w:color w:val="auto"/>
          <w:kern w:val="0"/>
          <w:sz w:val="24"/>
          <w:highlight w:val="none"/>
          <w:lang w:val="en-US" w:eastAsia="zh-CN"/>
        </w:rPr>
        <w:t>暂定总额</w:t>
      </w:r>
      <w:r>
        <w:rPr>
          <w:rFonts w:hint="eastAsia" w:ascii="宋体" w:hAnsi="宋体" w:eastAsia="宋体" w:cs="宋体"/>
          <w:color w:val="auto"/>
          <w:kern w:val="0"/>
          <w:sz w:val="24"/>
          <w:highlight w:val="none"/>
          <w:lang w:val="en-US" w:eastAsia="zh-CN"/>
        </w:rPr>
        <w:t>的40％</w:t>
      </w:r>
      <w:r>
        <w:rPr>
          <w:rFonts w:hint="eastAsia" w:ascii="宋体" w:hAnsi="宋体" w:cs="宋体"/>
          <w:color w:val="auto"/>
          <w:kern w:val="0"/>
          <w:sz w:val="24"/>
          <w:highlight w:val="none"/>
          <w:lang w:val="en-US" w:eastAsia="zh-CN"/>
        </w:rPr>
        <w:t>。</w:t>
      </w:r>
      <w:r>
        <w:rPr>
          <w:rFonts w:hint="eastAsia" w:ascii="宋体" w:hAnsi="宋体" w:eastAsia="宋体" w:cs="宋体"/>
          <w:b w:val="0"/>
          <w:bCs w:val="0"/>
          <w:color w:val="auto"/>
          <w:kern w:val="0"/>
          <w:sz w:val="24"/>
          <w:szCs w:val="24"/>
          <w:highlight w:val="none"/>
          <w:lang w:val="en-US" w:eastAsia="zh-CN" w:bidi="ar"/>
        </w:rPr>
        <w:t>在签订合同时，</w:t>
      </w:r>
      <w:r>
        <w:rPr>
          <w:rFonts w:hint="eastAsia" w:ascii="宋体" w:hAnsi="宋体" w:cs="宋体"/>
          <w:b w:val="0"/>
          <w:bCs w:val="0"/>
          <w:color w:val="auto"/>
          <w:kern w:val="0"/>
          <w:sz w:val="24"/>
          <w:szCs w:val="24"/>
          <w:highlight w:val="none"/>
          <w:lang w:val="en-US" w:eastAsia="zh-CN" w:bidi="ar"/>
        </w:rPr>
        <w:t>中标人</w:t>
      </w:r>
      <w:r>
        <w:rPr>
          <w:rFonts w:hint="eastAsia" w:ascii="宋体" w:hAnsi="宋体" w:eastAsia="宋体" w:cs="宋体"/>
          <w:b w:val="0"/>
          <w:bCs w:val="0"/>
          <w:color w:val="auto"/>
          <w:kern w:val="0"/>
          <w:sz w:val="24"/>
          <w:szCs w:val="24"/>
          <w:highlight w:val="none"/>
          <w:lang w:val="en-US" w:eastAsia="zh-CN" w:bidi="ar"/>
        </w:rPr>
        <w:t>明确表示无需预付款或者主动要求降低预付款比例</w:t>
      </w:r>
      <w:r>
        <w:rPr>
          <w:rFonts w:hint="eastAsia" w:ascii="宋体" w:hAnsi="宋体" w:cs="宋体"/>
          <w:b w:val="0"/>
          <w:bCs w:val="0"/>
          <w:color w:val="auto"/>
          <w:kern w:val="0"/>
          <w:sz w:val="24"/>
          <w:szCs w:val="24"/>
          <w:highlight w:val="none"/>
          <w:lang w:val="en-US" w:eastAsia="zh-CN" w:bidi="ar"/>
        </w:rPr>
        <w:t>的，可以不受</w:t>
      </w:r>
      <w:r>
        <w:rPr>
          <w:rFonts w:hint="eastAsia" w:ascii="宋体" w:hAnsi="宋体" w:cs="宋体"/>
          <w:color w:val="auto"/>
          <w:kern w:val="0"/>
          <w:sz w:val="24"/>
          <w:highlight w:val="none"/>
          <w:lang w:val="en-US" w:eastAsia="zh-CN"/>
        </w:rPr>
        <w:t>前述规定。</w:t>
      </w:r>
    </w:p>
    <w:p>
      <w:pPr>
        <w:keepNext w:val="0"/>
        <w:keepLines w:val="0"/>
        <w:widowControl/>
        <w:suppressLineNumbers w:val="0"/>
        <w:adjustRightInd/>
        <w:spacing w:before="0" w:beforeAutospacing="0" w:after="0" w:afterAutospacing="0" w:line="500" w:lineRule="exact"/>
        <w:ind w:left="0" w:right="0" w:firstLine="480" w:firstLineChars="200"/>
        <w:jc w:val="left"/>
        <w:outlineLvl w:val="9"/>
        <w:rPr>
          <w:rFonts w:hint="default" w:ascii="宋体" w:hAnsi="宋体" w:eastAsia="宋体" w:cs="宋体"/>
          <w:color w:val="auto"/>
          <w:kern w:val="0"/>
          <w:sz w:val="24"/>
          <w:highlight w:val="none"/>
        </w:rPr>
      </w:pPr>
      <w:r>
        <w:rPr>
          <w:rFonts w:hint="eastAsia" w:ascii="宋体" w:hAnsi="宋体" w:eastAsia="宋体" w:cs="宋体"/>
          <w:b w:val="0"/>
          <w:bCs w:val="0"/>
          <w:color w:val="auto"/>
          <w:kern w:val="0"/>
          <w:sz w:val="24"/>
          <w:szCs w:val="24"/>
          <w:highlight w:val="none"/>
          <w:lang w:val="en-US" w:eastAsia="zh-CN" w:bidi="ar"/>
        </w:rPr>
        <w:t>（2）合同签订后</w:t>
      </w:r>
      <w:r>
        <w:rPr>
          <w:rFonts w:hint="eastAsia" w:ascii="宋体" w:hAnsi="宋体" w:cs="宋体"/>
          <w:b w:val="0"/>
          <w:bCs w:val="0"/>
          <w:color w:val="auto"/>
          <w:kern w:val="0"/>
          <w:sz w:val="24"/>
          <w:szCs w:val="24"/>
          <w:highlight w:val="none"/>
          <w:lang w:val="en-US" w:eastAsia="zh-CN" w:bidi="ar"/>
        </w:rPr>
        <w:t>每</w:t>
      </w:r>
      <w:r>
        <w:rPr>
          <w:rFonts w:hint="eastAsia" w:ascii="宋体" w:hAnsi="宋体" w:eastAsia="宋体" w:cs="宋体"/>
          <w:b w:val="0"/>
          <w:bCs w:val="0"/>
          <w:color w:val="auto"/>
          <w:kern w:val="0"/>
          <w:sz w:val="24"/>
          <w:szCs w:val="24"/>
          <w:highlight w:val="none"/>
          <w:lang w:val="en-US" w:eastAsia="zh-CN" w:bidi="ar"/>
        </w:rPr>
        <w:t>满6个月</w:t>
      </w:r>
      <w:r>
        <w:rPr>
          <w:rFonts w:hint="eastAsia" w:ascii="宋体" w:hAnsi="宋体" w:cs="宋体"/>
          <w:b w:val="0"/>
          <w:bCs w:val="0"/>
          <w:color w:val="auto"/>
          <w:kern w:val="0"/>
          <w:sz w:val="24"/>
          <w:szCs w:val="24"/>
          <w:highlight w:val="none"/>
          <w:lang w:val="en-US" w:eastAsia="zh-CN" w:bidi="ar"/>
        </w:rPr>
        <w:t>进行一次</w:t>
      </w:r>
      <w:r>
        <w:rPr>
          <w:rFonts w:hint="eastAsia" w:ascii="宋体" w:hAnsi="宋体" w:eastAsia="宋体" w:cs="宋体"/>
          <w:b w:val="0"/>
          <w:bCs w:val="0"/>
          <w:color w:val="auto"/>
          <w:kern w:val="0"/>
          <w:sz w:val="24"/>
          <w:szCs w:val="24"/>
          <w:highlight w:val="none"/>
          <w:lang w:val="en-US" w:eastAsia="zh-CN" w:bidi="ar"/>
        </w:rPr>
        <w:t>结算</w:t>
      </w:r>
      <w:r>
        <w:rPr>
          <w:rFonts w:hint="eastAsia" w:ascii="宋体" w:hAnsi="宋体" w:cs="宋体"/>
          <w:b w:val="0"/>
          <w:bCs w:val="0"/>
          <w:color w:val="auto"/>
          <w:kern w:val="0"/>
          <w:sz w:val="24"/>
          <w:szCs w:val="24"/>
          <w:highlight w:val="none"/>
          <w:lang w:val="en-US" w:eastAsia="zh-CN" w:bidi="ar"/>
        </w:rPr>
        <w:t>，乙方当期的服务成果经验收合格后提交结算</w:t>
      </w:r>
      <w:r>
        <w:rPr>
          <w:rFonts w:hint="eastAsia" w:ascii="宋体" w:hAnsi="宋体" w:eastAsia="宋体" w:cs="宋体"/>
          <w:b w:val="0"/>
          <w:bCs w:val="0"/>
          <w:color w:val="auto"/>
          <w:kern w:val="0"/>
          <w:sz w:val="24"/>
          <w:szCs w:val="24"/>
          <w:highlight w:val="none"/>
          <w:lang w:val="en-US" w:eastAsia="zh-CN" w:bidi="ar"/>
        </w:rPr>
        <w:t>清单</w:t>
      </w:r>
      <w:r>
        <w:rPr>
          <w:rFonts w:hint="eastAsia" w:ascii="宋体" w:hAnsi="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经相关部门审核通过并提供发票后20个工作日内支付</w:t>
      </w:r>
      <w:r>
        <w:rPr>
          <w:rFonts w:hint="eastAsia" w:ascii="宋体" w:hAnsi="宋体" w:cs="宋体"/>
          <w:b w:val="0"/>
          <w:bCs w:val="0"/>
          <w:color w:val="auto"/>
          <w:kern w:val="0"/>
          <w:sz w:val="24"/>
          <w:szCs w:val="24"/>
          <w:highlight w:val="none"/>
          <w:lang w:val="en-US" w:eastAsia="zh-CN" w:bidi="ar"/>
        </w:rPr>
        <w:t>当期结算款</w:t>
      </w:r>
      <w:r>
        <w:rPr>
          <w:rFonts w:hint="eastAsia" w:ascii="宋体" w:hAnsi="宋体" w:eastAsia="宋体" w:cs="宋体"/>
          <w:b w:val="0"/>
          <w:bCs w:val="0"/>
          <w:color w:val="auto"/>
          <w:kern w:val="0"/>
          <w:sz w:val="24"/>
          <w:szCs w:val="24"/>
          <w:highlight w:val="none"/>
          <w:lang w:val="en-US" w:eastAsia="zh-CN" w:bidi="ar"/>
        </w:rPr>
        <w:t>。第一次结算需扣除预付款后支付。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银行信息：</w:t>
      </w:r>
      <w:r>
        <w:rPr>
          <w:rFonts w:hint="eastAsia" w:ascii="宋体" w:hAnsi="宋体" w:eastAsia="宋体" w:cs="宋体"/>
          <w:color w:val="auto"/>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条  双方责任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①甲方按本合同第</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条内容及时向乙方提交资料和文件。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②甲方配合乙方做好基础资料的收集工作。甲方不得要求乙方违反国家有关标准进行规划</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③甲方负责组织方案论证、评审、技术审查，并及时将修改意见反馈给乙方。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④甲方应</w:t>
      </w:r>
      <w:r>
        <w:rPr>
          <w:rFonts w:hint="default" w:ascii="宋体" w:hAnsi="宋体" w:eastAsia="宋体" w:cs="宋体"/>
          <w:color w:val="auto"/>
          <w:sz w:val="24"/>
          <w:szCs w:val="24"/>
          <w:highlight w:val="none"/>
          <w:lang w:val="en-US"/>
        </w:rPr>
        <w:t>在乙方</w:t>
      </w:r>
      <w:r>
        <w:rPr>
          <w:rFonts w:hint="default" w:ascii="宋体" w:hAnsi="宋体" w:eastAsia="宋体" w:cs="宋体"/>
          <w:color w:val="auto"/>
          <w:sz w:val="24"/>
          <w:szCs w:val="24"/>
          <w:highlight w:val="none"/>
          <w:lang w:val="en-US" w:eastAsia="zh-CN"/>
        </w:rPr>
        <w:t>提交各阶段工作成果或按要求修改后的成果</w:t>
      </w:r>
      <w:r>
        <w:rPr>
          <w:rFonts w:hint="default" w:ascii="宋体" w:hAnsi="宋体" w:eastAsia="宋体" w:cs="宋体"/>
          <w:color w:val="auto"/>
          <w:sz w:val="24"/>
          <w:szCs w:val="24"/>
          <w:highlight w:val="none"/>
          <w:lang w:val="en-US"/>
        </w:rPr>
        <w:t>后，</w:t>
      </w:r>
      <w:r>
        <w:rPr>
          <w:rFonts w:hint="eastAsia" w:ascii="宋体" w:hAnsi="宋体" w:eastAsia="宋体" w:cs="宋体"/>
          <w:color w:val="auto"/>
          <w:sz w:val="24"/>
          <w:szCs w:val="24"/>
          <w:highlight w:val="none"/>
        </w:rPr>
        <w:t>支付相应阶段</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规划</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成果的</w:t>
      </w:r>
      <w:r>
        <w:rPr>
          <w:rFonts w:hint="eastAsia" w:ascii="宋体" w:hAnsi="宋体" w:cs="宋体"/>
          <w:color w:val="auto"/>
          <w:sz w:val="24"/>
          <w:szCs w:val="24"/>
          <w:highlight w:val="none"/>
          <w:lang w:val="en-US" w:eastAsia="zh-CN"/>
        </w:rPr>
        <w:t>知识产</w:t>
      </w:r>
      <w:r>
        <w:rPr>
          <w:rFonts w:hint="eastAsia" w:ascii="宋体" w:hAnsi="宋体" w:eastAsia="宋体" w:cs="宋体"/>
          <w:color w:val="auto"/>
          <w:sz w:val="24"/>
          <w:szCs w:val="24"/>
          <w:highlight w:val="none"/>
        </w:rPr>
        <w:t>权归甲方所有。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2.乙方责任</w:t>
      </w:r>
    </w:p>
    <w:p>
      <w:pPr>
        <w:spacing w:line="360" w:lineRule="auto"/>
        <w:ind w:firstLine="480" w:firstLineChars="20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①乙方应按规划编制要求，做好现场踏勘及基础资料收集工作，</w:t>
      </w:r>
      <w:r>
        <w:rPr>
          <w:rFonts w:hint="eastAsia" w:ascii="宋体" w:hAnsi="宋体" w:eastAsia="宋体" w:cs="宋体"/>
          <w:color w:val="auto"/>
          <w:sz w:val="24"/>
          <w:szCs w:val="24"/>
          <w:highlight w:val="none"/>
          <w:lang w:val="en-US" w:eastAsia="zh-Hans"/>
        </w:rPr>
        <w:t>乙方及其工作人员应当对项目</w:t>
      </w:r>
      <w:r>
        <w:rPr>
          <w:rFonts w:hint="eastAsia" w:ascii="宋体" w:hAnsi="宋体" w:eastAsia="宋体" w:cs="宋体"/>
          <w:color w:val="auto"/>
          <w:sz w:val="24"/>
          <w:szCs w:val="24"/>
          <w:highlight w:val="none"/>
          <w:lang w:val="en-US" w:eastAsia="zh-CN"/>
        </w:rPr>
        <w:t>相关涉密数据</w:t>
      </w:r>
      <w:r>
        <w:rPr>
          <w:rFonts w:hint="eastAsia" w:ascii="宋体" w:hAnsi="宋体" w:eastAsia="宋体" w:cs="宋体"/>
          <w:color w:val="auto"/>
          <w:sz w:val="24"/>
          <w:szCs w:val="24"/>
          <w:highlight w:val="none"/>
          <w:lang w:val="en-US" w:eastAsia="zh-Hans"/>
        </w:rPr>
        <w:t>予以保密</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上述保密义务不因合同履行期满或解除合同而解除</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因乙方</w:t>
      </w:r>
      <w:r>
        <w:rPr>
          <w:rFonts w:hint="eastAsia" w:ascii="宋体" w:hAnsi="宋体" w:eastAsia="宋体" w:cs="宋体"/>
          <w:color w:val="auto"/>
          <w:sz w:val="24"/>
          <w:szCs w:val="24"/>
          <w:highlight w:val="none"/>
          <w:lang w:val="en-US" w:eastAsia="zh-CN"/>
        </w:rPr>
        <w:t>泄密</w:t>
      </w:r>
      <w:r>
        <w:rPr>
          <w:rFonts w:hint="eastAsia" w:ascii="宋体" w:hAnsi="宋体" w:eastAsia="宋体" w:cs="宋体"/>
          <w:color w:val="auto"/>
          <w:sz w:val="24"/>
          <w:szCs w:val="24"/>
          <w:highlight w:val="none"/>
          <w:lang w:val="en-US" w:eastAsia="zh-Hans"/>
        </w:rPr>
        <w:t>所产生的一切后果全部由乙方承担</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包括承担行政</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刑事及经济损失赔偿责任</w:t>
      </w:r>
      <w:r>
        <w:rPr>
          <w:rFonts w:hint="eastAsia" w:ascii="宋体" w:hAnsi="宋体" w:eastAsia="宋体" w:cs="宋体"/>
          <w:color w:val="auto"/>
          <w:sz w:val="24"/>
          <w:szCs w:val="24"/>
          <w:highlight w:val="none"/>
          <w:lang w:eastAsia="zh-Hans"/>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②乙方应按国家技术规范、标准、规程及甲方提出的规划</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要求进行规划</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，按合同约定的进度要求提交质量合格的</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成果，并负责对规划</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成果出现的遗漏或错误进行修改和补充。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③乙方按本合同第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条、第</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条规定的内容、进度及份数及时向甲方交付资料及文件。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④乙方配合甲方做好各规划</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阶段的汇报工作。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⑤在合同的期限内，乙方按甲方要求交付规划</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成果后，必须派人参加甲方或其他部门单位组织的规划</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成果的审查、论证等活动，并根据审查结论负责做好修改和完善工作。对后续的规划论证、规划宣传、实施指导等，乙方必须提供技术咨询及必要的现场指导服务。</w:t>
      </w:r>
    </w:p>
    <w:p>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⑥</w:t>
      </w:r>
      <w:r>
        <w:rPr>
          <w:rFonts w:hint="eastAsia" w:ascii="宋体" w:hAnsi="宋体" w:eastAsia="宋体" w:cs="宋体"/>
          <w:color w:val="auto"/>
          <w:sz w:val="24"/>
          <w:szCs w:val="24"/>
          <w:highlight w:val="none"/>
          <w:lang w:val="en-US" w:eastAsia="zh-CN"/>
        </w:rPr>
        <w:t>乙方</w:t>
      </w:r>
      <w:r>
        <w:rPr>
          <w:rFonts w:hint="eastAsia" w:ascii="宋体" w:hAnsi="宋体" w:eastAsia="宋体" w:cs="宋体"/>
          <w:b w:val="0"/>
          <w:bCs w:val="0"/>
          <w:color w:val="auto"/>
          <w:kern w:val="2"/>
          <w:sz w:val="24"/>
          <w:szCs w:val="24"/>
          <w:highlight w:val="none"/>
          <w:lang w:val="en-US" w:eastAsia="zh-CN"/>
        </w:rPr>
        <w:t>必须</w:t>
      </w:r>
      <w:r>
        <w:rPr>
          <w:rFonts w:hint="eastAsia" w:ascii="宋体" w:hAnsi="宋体" w:cs="宋体"/>
          <w:b w:val="0"/>
          <w:bCs w:val="0"/>
          <w:color w:val="auto"/>
          <w:kern w:val="2"/>
          <w:sz w:val="24"/>
          <w:szCs w:val="24"/>
          <w:highlight w:val="none"/>
          <w:lang w:val="en-US" w:eastAsia="zh-CN"/>
        </w:rPr>
        <w:t>按投标文件报送的名单</w:t>
      </w:r>
      <w:r>
        <w:rPr>
          <w:rFonts w:hint="eastAsia" w:ascii="宋体" w:hAnsi="宋体" w:eastAsia="宋体" w:cs="宋体"/>
          <w:b w:val="0"/>
          <w:bCs w:val="0"/>
          <w:color w:val="auto"/>
          <w:kern w:val="2"/>
          <w:sz w:val="24"/>
          <w:szCs w:val="24"/>
          <w:highlight w:val="none"/>
          <w:lang w:val="en-US" w:eastAsia="zh-CN"/>
        </w:rPr>
        <w:t>派3名常驻人员，其中1名具有规划类中级技术职称，1名具有园林或市政专业中级技术职称</w:t>
      </w:r>
      <w:r>
        <w:rPr>
          <w:rFonts w:hint="eastAsia" w:ascii="宋体" w:hAnsi="宋体" w:cs="宋体"/>
          <w:b w:val="0"/>
          <w:bCs w:val="0"/>
          <w:color w:val="auto"/>
          <w:kern w:val="2"/>
          <w:sz w:val="24"/>
          <w:szCs w:val="24"/>
          <w:highlight w:val="none"/>
          <w:lang w:val="en-US" w:eastAsia="zh-CN"/>
        </w:rPr>
        <w:t>，</w:t>
      </w:r>
      <w:r>
        <w:rPr>
          <w:rFonts w:hint="eastAsia" w:ascii="宋体" w:hAnsi="宋体" w:eastAsia="宋体" w:cs="宋体"/>
          <w:color w:val="auto"/>
          <w:sz w:val="24"/>
          <w:szCs w:val="24"/>
          <w:highlight w:val="none"/>
          <w:lang w:val="en-US" w:eastAsia="zh-CN"/>
        </w:rPr>
        <w:t>常驻人员工作日在岗时间不少于7小时，工作日的上下班时间为：8:30-12:00,14:30-18</w:t>
      </w:r>
      <w:r>
        <w:rPr>
          <w:rFonts w:hint="eastAsia" w:ascii="宋体" w:hAnsi="宋体" w:eastAsia="宋体" w:cs="宋体"/>
          <w:color w:val="auto"/>
          <w:sz w:val="24"/>
          <w:highlight w:val="none"/>
          <w:lang w:val="en-US" w:eastAsia="zh-CN"/>
        </w:rPr>
        <w:t>:00（夏令）、14:00-17:30（冬令）。</w:t>
      </w:r>
      <w:r>
        <w:rPr>
          <w:rFonts w:hint="eastAsia" w:ascii="宋体" w:hAnsi="宋体" w:cs="宋体"/>
          <w:color w:val="auto"/>
          <w:sz w:val="24"/>
          <w:highlight w:val="none"/>
          <w:lang w:val="en-US" w:eastAsia="zh-CN"/>
        </w:rPr>
        <w:t>乙方不得擅自更换人员，特殊原因需更换的须经甲方书面同意。甲方认为乙方人员不能胜任项目工作或玩忽职守的，有权要求乙方立即更换。</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cs="宋体"/>
          <w:b/>
          <w:color w:val="auto"/>
          <w:sz w:val="24"/>
          <w:szCs w:val="24"/>
          <w:highlight w:val="none"/>
          <w:lang w:val="en-US" w:eastAsia="zh-CN"/>
        </w:rPr>
        <w:t>九</w:t>
      </w:r>
      <w:r>
        <w:rPr>
          <w:rFonts w:hint="eastAsia" w:ascii="宋体" w:hAnsi="宋体" w:eastAsia="宋体" w:cs="宋体"/>
          <w:b/>
          <w:color w:val="auto"/>
          <w:sz w:val="24"/>
          <w:szCs w:val="24"/>
          <w:highlight w:val="none"/>
        </w:rPr>
        <w:t>条  违约责任</w:t>
      </w:r>
    </w:p>
    <w:p>
      <w:pPr>
        <w:keepLines w:val="0"/>
        <w:pageBreakBefore w:val="0"/>
        <w:kinsoku/>
        <w:wordWrap/>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1.在合同履行期间，甲方要求终止或解除合同的，提前七个工作日通知乙方后可单方终止或解除合同，乙方未开始</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工作的，甲方有权要求乙方全额返还预（已）付款；乙方已开始</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工作的，</w:t>
      </w:r>
      <w:r>
        <w:rPr>
          <w:rFonts w:hint="eastAsia" w:ascii="宋体" w:hAnsi="宋体" w:eastAsia="宋体" w:cs="宋体"/>
          <w:color w:val="auto"/>
          <w:sz w:val="24"/>
          <w:szCs w:val="24"/>
          <w:highlight w:val="none"/>
          <w:lang w:val="en-US" w:eastAsia="zh-CN"/>
        </w:rPr>
        <w:t>甲方应根据乙方该阶段已进行的实际工作量支付</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费</w:t>
      </w:r>
      <w:r>
        <w:rPr>
          <w:rFonts w:hint="eastAsia" w:ascii="宋体" w:hAnsi="宋体" w:eastAsia="宋体" w:cs="宋体"/>
          <w:color w:val="auto"/>
          <w:sz w:val="24"/>
          <w:szCs w:val="24"/>
          <w:highlight w:val="none"/>
        </w:rPr>
        <w:t>，甲方无需向乙方支付违约金。</w:t>
      </w:r>
    </w:p>
    <w:p>
      <w:pPr>
        <w:keepLines w:val="0"/>
        <w:pageBreakBefore w:val="0"/>
        <w:kinsoku/>
        <w:wordWrap/>
        <w:topLinePunct w:val="0"/>
        <w:bidi w:val="0"/>
        <w:snapToGri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2.合同生效后，乙方要求终止合同的，经甲方书面同意可终止合同，但乙方应全额退还甲方实际已支付</w:t>
      </w:r>
      <w:r>
        <w:rPr>
          <w:rFonts w:hint="eastAsia" w:ascii="宋体" w:hAnsi="宋体" w:eastAsia="宋体" w:cs="宋体"/>
          <w:color w:val="auto"/>
          <w:sz w:val="24"/>
          <w:szCs w:val="24"/>
          <w:highlight w:val="none"/>
          <w:lang w:val="en-US" w:eastAsia="zh-CN"/>
        </w:rPr>
        <w:t>但尚未</w:t>
      </w:r>
      <w:r>
        <w:rPr>
          <w:rFonts w:hint="eastAsia" w:ascii="宋体" w:hAnsi="宋体" w:cs="宋体"/>
          <w:color w:val="auto"/>
          <w:sz w:val="24"/>
          <w:szCs w:val="24"/>
          <w:highlight w:val="none"/>
          <w:lang w:val="en-US" w:eastAsia="zh-CN"/>
        </w:rPr>
        <w:t>完成</w:t>
      </w:r>
      <w:r>
        <w:rPr>
          <w:rFonts w:hint="eastAsia" w:ascii="宋体" w:hAnsi="宋体" w:eastAsia="宋体" w:cs="宋体"/>
          <w:color w:val="auto"/>
          <w:sz w:val="24"/>
          <w:szCs w:val="24"/>
          <w:highlight w:val="none"/>
          <w:lang w:val="en-US" w:eastAsia="zh-CN"/>
        </w:rPr>
        <w:t>部分对应</w:t>
      </w:r>
      <w:r>
        <w:rPr>
          <w:rFonts w:hint="eastAsia" w:ascii="宋体" w:hAnsi="宋体" w:eastAsia="宋体" w:cs="宋体"/>
          <w:color w:val="auto"/>
          <w:sz w:val="24"/>
          <w:szCs w:val="24"/>
          <w:highlight w:val="none"/>
        </w:rPr>
        <w:t>的费用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并应向甲方支付总服务</w:t>
      </w:r>
      <w:r>
        <w:rPr>
          <w:rFonts w:hint="eastAsia" w:ascii="宋体" w:hAnsi="宋体" w:eastAsia="宋体" w:cs="宋体"/>
          <w:color w:val="auto"/>
          <w:sz w:val="24"/>
          <w:szCs w:val="24"/>
          <w:highlight w:val="none"/>
          <w:lang w:val="en-US" w:eastAsia="zh-CN"/>
        </w:rPr>
        <w:t>费</w:t>
      </w:r>
      <w:r>
        <w:rPr>
          <w:rFonts w:hint="eastAsia" w:ascii="宋体" w:hAnsi="宋体" w:cs="宋体"/>
          <w:color w:val="auto"/>
          <w:sz w:val="24"/>
          <w:szCs w:val="24"/>
          <w:highlight w:val="none"/>
          <w:lang w:val="en-US" w:eastAsia="zh-CN"/>
        </w:rPr>
        <w:t>的10%的违约金。</w:t>
      </w:r>
    </w:p>
    <w:p>
      <w:pPr>
        <w:keepLines w:val="0"/>
        <w:pageBreakBefore w:val="0"/>
        <w:kinsoku/>
        <w:wordWrap/>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.由于乙方的原因，给甲方造成经济损失时，乙方应及时采取措施予以补救，并赔偿甲方的直接经济损失；损失难以确定的，乙方需按不低于</w:t>
      </w:r>
      <w:r>
        <w:rPr>
          <w:rFonts w:hint="eastAsia" w:ascii="宋体" w:hAnsi="宋体" w:cs="宋体"/>
          <w:color w:val="auto"/>
          <w:sz w:val="24"/>
          <w:szCs w:val="24"/>
          <w:highlight w:val="none"/>
          <w:lang w:val="en-US" w:eastAsia="zh-CN"/>
        </w:rPr>
        <w:t>总服务</w:t>
      </w:r>
      <w:r>
        <w:rPr>
          <w:rFonts w:hint="eastAsia" w:ascii="宋体" w:hAnsi="宋体" w:eastAsia="宋体" w:cs="宋体"/>
          <w:color w:val="auto"/>
          <w:sz w:val="24"/>
          <w:szCs w:val="24"/>
          <w:highlight w:val="none"/>
          <w:lang w:val="en-US" w:eastAsia="zh-CN"/>
        </w:rPr>
        <w:t>费的20%承担违约赔偿责任。</w:t>
      </w:r>
    </w:p>
    <w:p>
      <w:pPr>
        <w:keepLines w:val="0"/>
        <w:pageBreakBefore w:val="0"/>
        <w:kinsoku/>
        <w:wordWrap/>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.由于乙方自身的原因，延误了按本合同第</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条规定的项目进度及规划文件的交付时间，乙方承担违约责任，每延误一周（不到一周以一周计），乙方应</w:t>
      </w:r>
      <w:r>
        <w:rPr>
          <w:rFonts w:hint="eastAsia" w:ascii="宋体" w:hAnsi="宋体" w:eastAsia="宋体" w:cs="宋体"/>
          <w:color w:val="auto"/>
          <w:sz w:val="24"/>
          <w:szCs w:val="24"/>
          <w:highlight w:val="none"/>
          <w:lang w:val="en-US" w:eastAsia="zh-CN"/>
        </w:rPr>
        <w:t>减收</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费用的</w:t>
      </w:r>
      <w:r>
        <w:rPr>
          <w:rFonts w:hint="eastAsia" w:ascii="宋体" w:hAnsi="宋体" w:eastAsia="宋体" w:cs="宋体"/>
          <w:color w:val="auto"/>
          <w:sz w:val="24"/>
          <w:szCs w:val="24"/>
          <w:highlight w:val="none"/>
        </w:rPr>
        <w:t>千分之</w:t>
      </w:r>
      <w:r>
        <w:rPr>
          <w:rFonts w:hint="eastAsia" w:ascii="宋体" w:hAnsi="宋体" w:eastAsia="宋体" w:cs="宋体"/>
          <w:color w:val="auto"/>
          <w:sz w:val="24"/>
          <w:szCs w:val="24"/>
          <w:highlight w:val="none"/>
          <w:u w:val="single"/>
        </w:rPr>
        <w:t xml:space="preserve">  五   </w:t>
      </w:r>
      <w:r>
        <w:rPr>
          <w:rFonts w:hint="eastAsia" w:ascii="宋体" w:hAnsi="宋体" w:eastAsia="宋体" w:cs="宋体"/>
          <w:color w:val="auto"/>
          <w:sz w:val="24"/>
          <w:szCs w:val="24"/>
          <w:highlight w:val="none"/>
        </w:rPr>
        <w:t>作为向甲方支付的违约金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违约金最高为项目</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费的百分之10%</w:t>
      </w:r>
      <w:r>
        <w:rPr>
          <w:rFonts w:hint="eastAsia" w:ascii="宋体" w:hAnsi="宋体" w:eastAsia="宋体" w:cs="宋体"/>
          <w:color w:val="auto"/>
          <w:sz w:val="24"/>
          <w:szCs w:val="24"/>
          <w:highlight w:val="none"/>
        </w:rPr>
        <w:t>。逾期超过60天的，甲方有权解除本合同，乙方应向甲方退还已收但尚未</w:t>
      </w:r>
      <w:r>
        <w:rPr>
          <w:rFonts w:hint="eastAsia" w:ascii="宋体" w:hAnsi="宋体" w:cs="宋体"/>
          <w:color w:val="auto"/>
          <w:sz w:val="24"/>
          <w:szCs w:val="24"/>
          <w:highlight w:val="none"/>
          <w:lang w:val="en-US" w:eastAsia="zh-CN"/>
        </w:rPr>
        <w:t>完成</w:t>
      </w:r>
      <w:r>
        <w:rPr>
          <w:rFonts w:hint="eastAsia" w:ascii="宋体" w:hAnsi="宋体" w:eastAsia="宋体" w:cs="宋体"/>
          <w:color w:val="auto"/>
          <w:sz w:val="24"/>
          <w:szCs w:val="24"/>
          <w:highlight w:val="none"/>
        </w:rPr>
        <w:t>部分对应的全部款项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并支付总服务</w:t>
      </w:r>
      <w:r>
        <w:rPr>
          <w:rFonts w:hint="eastAsia" w:ascii="宋体" w:hAnsi="宋体" w:eastAsia="宋体" w:cs="宋体"/>
          <w:color w:val="auto"/>
          <w:sz w:val="24"/>
          <w:szCs w:val="24"/>
          <w:highlight w:val="none"/>
          <w:lang w:val="en-US" w:eastAsia="zh-CN"/>
        </w:rPr>
        <w:t>费</w:t>
      </w:r>
      <w:r>
        <w:rPr>
          <w:rFonts w:hint="eastAsia" w:ascii="宋体" w:hAnsi="宋体" w:cs="宋体"/>
          <w:color w:val="auto"/>
          <w:sz w:val="24"/>
          <w:szCs w:val="24"/>
          <w:highlight w:val="none"/>
          <w:lang w:val="en-US" w:eastAsia="zh-CN"/>
        </w:rPr>
        <w:t>的10%的违约金。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.合同一方不履行合同义务或者履行合同义务不符合约定，给</w:t>
      </w: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rPr>
        <w:t>方造成损失的，违约方应赔偿守约方全部直接经济损失；损失难以确定的，违约方需按不低于</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费的20%承担违约赔偿责任。</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乙方常驻人员或其在岗时间不能满足“乙方责任第</w:t>
      </w:r>
      <w:r>
        <w:rPr>
          <w:rFonts w:hint="eastAsia" w:ascii="宋体" w:hAnsi="宋体" w:eastAsia="宋体" w:cs="宋体"/>
          <w:color w:val="auto"/>
          <w:sz w:val="24"/>
          <w:highlight w:val="none"/>
        </w:rPr>
        <w:t>⑥</w:t>
      </w:r>
      <w:r>
        <w:rPr>
          <w:rFonts w:hint="eastAsia" w:ascii="宋体" w:hAnsi="宋体" w:eastAsia="宋体" w:cs="宋体"/>
          <w:color w:val="auto"/>
          <w:sz w:val="24"/>
          <w:highlight w:val="none"/>
          <w:lang w:val="en-US" w:eastAsia="zh-CN"/>
        </w:rPr>
        <w:t>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highlight w:val="none"/>
          <w:lang w:val="en-US" w:eastAsia="zh-CN"/>
        </w:rPr>
        <w:t>规定的，甲方在一个月内发现2次</w:t>
      </w:r>
      <w:r>
        <w:rPr>
          <w:rFonts w:hint="eastAsia" w:ascii="宋体" w:hAnsi="宋体" w:cs="宋体"/>
          <w:color w:val="auto"/>
          <w:sz w:val="24"/>
          <w:highlight w:val="none"/>
          <w:lang w:val="en-US" w:eastAsia="zh-CN"/>
        </w:rPr>
        <w:t>人员不符、</w:t>
      </w:r>
      <w:r>
        <w:rPr>
          <w:rFonts w:hint="eastAsia" w:ascii="宋体" w:hAnsi="宋体" w:cs="宋体"/>
          <w:color w:val="auto"/>
          <w:sz w:val="24"/>
          <w:szCs w:val="24"/>
          <w:highlight w:val="none"/>
          <w:lang w:val="en-US" w:eastAsia="zh-CN"/>
        </w:rPr>
        <w:t>在岗时间不满足要求的，甲方给予书面警告；</w:t>
      </w:r>
      <w:r>
        <w:rPr>
          <w:rFonts w:hint="eastAsia" w:ascii="宋体" w:hAnsi="宋体" w:eastAsia="宋体" w:cs="宋体"/>
          <w:color w:val="auto"/>
          <w:sz w:val="24"/>
          <w:highlight w:val="none"/>
          <w:lang w:val="en-US" w:eastAsia="zh-CN"/>
        </w:rPr>
        <w:t>一个月内发现3次</w:t>
      </w:r>
      <w:r>
        <w:rPr>
          <w:rFonts w:hint="eastAsia" w:ascii="宋体" w:hAnsi="宋体" w:cs="宋体"/>
          <w:color w:val="auto"/>
          <w:sz w:val="24"/>
          <w:highlight w:val="none"/>
          <w:lang w:val="en-US" w:eastAsia="zh-CN"/>
        </w:rPr>
        <w:t>人员不符、</w:t>
      </w:r>
      <w:r>
        <w:rPr>
          <w:rFonts w:hint="eastAsia" w:ascii="宋体" w:hAnsi="宋体" w:cs="宋体"/>
          <w:color w:val="auto"/>
          <w:sz w:val="24"/>
          <w:szCs w:val="24"/>
          <w:highlight w:val="none"/>
          <w:lang w:val="en-US" w:eastAsia="zh-CN"/>
        </w:rPr>
        <w:t>在岗时间不满足要求的，甲方有权解除合同，乙方</w:t>
      </w:r>
      <w:r>
        <w:rPr>
          <w:rFonts w:hint="eastAsia" w:ascii="宋体" w:hAnsi="宋体" w:eastAsia="宋体" w:cs="宋体"/>
          <w:color w:val="auto"/>
          <w:sz w:val="24"/>
          <w:szCs w:val="24"/>
          <w:highlight w:val="none"/>
          <w:lang w:val="en-US" w:eastAsia="zh-CN"/>
        </w:rPr>
        <w:t>应</w:t>
      </w:r>
      <w:r>
        <w:rPr>
          <w:rFonts w:hint="eastAsia" w:ascii="宋体" w:hAnsi="宋体" w:cs="宋体"/>
          <w:color w:val="auto"/>
          <w:sz w:val="24"/>
          <w:szCs w:val="24"/>
          <w:highlight w:val="none"/>
          <w:lang w:val="en-US" w:eastAsia="zh-CN"/>
        </w:rPr>
        <w:t>向甲方支付总服务</w:t>
      </w:r>
      <w:r>
        <w:rPr>
          <w:rFonts w:hint="eastAsia" w:ascii="宋体" w:hAnsi="宋体" w:eastAsia="宋体" w:cs="宋体"/>
          <w:color w:val="auto"/>
          <w:sz w:val="24"/>
          <w:szCs w:val="24"/>
          <w:highlight w:val="none"/>
          <w:lang w:val="en-US" w:eastAsia="zh-CN"/>
        </w:rPr>
        <w:t>费</w:t>
      </w:r>
      <w:r>
        <w:rPr>
          <w:rFonts w:hint="eastAsia" w:ascii="宋体" w:hAnsi="宋体" w:cs="宋体"/>
          <w:color w:val="auto"/>
          <w:sz w:val="24"/>
          <w:szCs w:val="24"/>
          <w:highlight w:val="none"/>
          <w:lang w:val="en-US" w:eastAsia="zh-CN"/>
        </w:rPr>
        <w:t>的10%的违约金</w:t>
      </w:r>
      <w:r>
        <w:rPr>
          <w:rFonts w:hint="eastAsia" w:ascii="宋体" w:hAnsi="宋体" w:eastAsia="宋体" w:cs="宋体"/>
          <w:color w:val="auto"/>
          <w:sz w:val="24"/>
          <w:szCs w:val="24"/>
          <w:highlight w:val="none"/>
          <w:lang w:val="en-US"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因本条第</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US" w:eastAsia="zh-CN"/>
        </w:rPr>
        <w:t>4、6款</w:t>
      </w:r>
      <w:r>
        <w:rPr>
          <w:rFonts w:hint="eastAsia" w:ascii="宋体" w:hAnsi="宋体" w:eastAsia="宋体" w:cs="宋体"/>
          <w:color w:val="auto"/>
          <w:sz w:val="24"/>
          <w:szCs w:val="24"/>
          <w:highlight w:val="none"/>
          <w:lang w:val="en-US" w:eastAsia="zh-CN"/>
        </w:rPr>
        <w:t>原因导致解除合同的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乙方除应按相关条款支付违约金外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还应赔偿由此造成甲方重新招标以及项目工期延误所产生的损失</w:t>
      </w:r>
      <w:r>
        <w:rPr>
          <w:rFonts w:hint="eastAsia" w:ascii="宋体" w:hAnsi="宋体" w:eastAsia="宋体" w:cs="宋体"/>
          <w:color w:val="auto"/>
          <w:sz w:val="24"/>
          <w:szCs w:val="24"/>
          <w:highlight w:val="none"/>
          <w:lang w:eastAsia="zh-CN"/>
        </w:rPr>
        <w:t>。</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cs="宋体"/>
          <w:b/>
          <w:color w:val="auto"/>
          <w:sz w:val="24"/>
          <w:szCs w:val="24"/>
          <w:highlight w:val="none"/>
          <w:lang w:val="en-US" w:eastAsia="zh-CN"/>
        </w:rPr>
        <w:t>十</w:t>
      </w:r>
      <w:r>
        <w:rPr>
          <w:rFonts w:hint="eastAsia" w:ascii="宋体" w:hAnsi="宋体" w:eastAsia="宋体" w:cs="宋体"/>
          <w:b/>
          <w:color w:val="auto"/>
          <w:sz w:val="24"/>
          <w:szCs w:val="24"/>
          <w:highlight w:val="none"/>
        </w:rPr>
        <w:t>条  其他</w:t>
      </w:r>
    </w:p>
    <w:p>
      <w:pPr>
        <w:spacing w:line="360" w:lineRule="auto"/>
        <w:ind w:firstLine="480" w:firstLineChars="200"/>
        <w:rPr>
          <w:rFonts w:hint="eastAsia" w:ascii="宋体" w:hAnsi="宋体" w:eastAsia="宋体" w:cs="宋体"/>
          <w:color w:val="auto"/>
          <w:sz w:val="24"/>
          <w:szCs w:val="24"/>
          <w:highlight w:val="none"/>
        </w:rPr>
      </w:pPr>
      <w:bookmarkStart w:id="48" w:name="OLE_LINK1"/>
      <w:r>
        <w:rPr>
          <w:rFonts w:hint="eastAsia" w:ascii="宋体" w:hAnsi="宋体" w:eastAsia="宋体" w:cs="宋体"/>
          <w:color w:val="auto"/>
          <w:sz w:val="24"/>
          <w:szCs w:val="24"/>
          <w:highlight w:val="none"/>
        </w:rPr>
        <w:t>1.甲方委托乙方承担本合同内容之外的工作服务，包括但不限于甲方要求乙方对已经确认的成果进行修改，和项目规模、质量、业态和复杂性的重要变更等导致的颠覆性修改，双方除另行签订补充合同或者另订合同，重新明确有关条款外，甲方应按乙方所耗工作量支付额外服务费用和赶工费。</w:t>
      </w:r>
      <w:bookmarkEnd w:id="48"/>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2.规划方案评审、报批所延误</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时间以及由于不可抗力因素致使合同无法履行时，双方应及时协商解决。</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3.送达告知条款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本合同项下的一切形式的通知、催告均采用书面形式向本合同</w:t>
      </w: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rPr>
        <w:t>方预留的地址发送，如有地址变更，应及时通知对方，书面通知以发送之日起</w:t>
      </w:r>
      <w:r>
        <w:rPr>
          <w:rFonts w:hint="eastAsia" w:ascii="宋体" w:hAnsi="宋体" w:cs="宋体"/>
          <w:color w:val="auto"/>
          <w:sz w:val="24"/>
          <w:szCs w:val="24"/>
          <w:highlight w:val="none"/>
          <w:u w:val="single"/>
          <w:lang w:eastAsia="zh-CN"/>
        </w:rPr>
        <w:t>2</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rPr>
        <w:t>日届满视为送达。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4.本合同在履行过程中发生争议，由双方当事人协商解决；协商不成的，提交衢州仲裁委员会申请仲裁。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b/>
          <w:bCs/>
          <w:color w:val="auto"/>
          <w:sz w:val="24"/>
          <w:szCs w:val="24"/>
          <w:highlight w:val="none"/>
          <w:lang w:val="en-US" w:eastAsia="zh-CN"/>
        </w:rPr>
        <w:t>服务期内的单个项目不再另行签订合同。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.本合同未尽事宜，双方可签订补充协议，有关协议及各方认可的来往传真、会议纪要、电子邮件、设计任务书等，均为本合同组成部分，与本合同具有同等法律效力。</w:t>
      </w:r>
    </w:p>
    <w:p>
      <w:pPr>
        <w:spacing w:line="360" w:lineRule="auto"/>
        <w:ind w:firstLine="420" w:firstLineChars="200"/>
        <w:rPr>
          <w:rFonts w:hint="eastAsia" w:ascii="宋体" w:hAnsi="宋体" w:cs="宋体"/>
          <w:color w:val="auto"/>
          <w:sz w:val="24"/>
          <w:szCs w:val="24"/>
          <w:highlight w:val="none"/>
          <w:lang w:val="en-US" w:eastAsia="zh-CN"/>
        </w:rPr>
      </w:pPr>
      <w:r>
        <w:rPr>
          <w:rFonts w:hint="eastAsia"/>
          <w:highlight w:val="none"/>
          <w:lang w:val="en-US" w:eastAsia="zh-CN"/>
        </w:rPr>
        <w:t>7.</w:t>
      </w:r>
      <w:r>
        <w:rPr>
          <w:rFonts w:hint="eastAsia" w:ascii="宋体" w:hAnsi="宋体" w:eastAsia="宋体" w:cs="宋体"/>
          <w:color w:val="auto"/>
          <w:sz w:val="24"/>
          <w:szCs w:val="24"/>
          <w:highlight w:val="none"/>
        </w:rPr>
        <w:t>本合同自双方</w:t>
      </w:r>
      <w:r>
        <w:rPr>
          <w:rFonts w:hint="eastAsia" w:ascii="宋体" w:hAnsi="宋体" w:cs="宋体"/>
          <w:color w:val="auto"/>
          <w:sz w:val="24"/>
          <w:szCs w:val="24"/>
          <w:highlight w:val="none"/>
          <w:lang w:val="en-US" w:eastAsia="zh-CN"/>
        </w:rPr>
        <w:t>法定代表人（负责人）或其授权代表签署并加盖双方公章或合同专用</w:t>
      </w:r>
      <w:r>
        <w:rPr>
          <w:rFonts w:hint="eastAsia" w:ascii="宋体" w:hAnsi="宋体" w:eastAsia="宋体" w:cs="宋体"/>
          <w:color w:val="auto"/>
          <w:sz w:val="24"/>
          <w:szCs w:val="24"/>
          <w:highlight w:val="none"/>
        </w:rPr>
        <w:t>章之日起生效。</w:t>
      </w:r>
    </w:p>
    <w:p>
      <w:pPr>
        <w:pStyle w:val="2"/>
        <w:rPr>
          <w:rFonts w:hint="default" w:eastAsia="宋体"/>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份，乙方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具有同等法律约束力</w:t>
      </w:r>
      <w:r>
        <w:rPr>
          <w:rFonts w:hint="eastAsia" w:ascii="宋体" w:hAnsi="宋体" w:eastAsia="宋体" w:cs="宋体"/>
          <w:color w:val="auto"/>
          <w:sz w:val="24"/>
          <w:szCs w:val="24"/>
          <w:highlight w:val="none"/>
        </w:rPr>
        <w:t>。</w:t>
      </w: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tbl>
      <w:tblPr>
        <w:tblStyle w:val="21"/>
        <w:tblW w:w="8580" w:type="dxa"/>
        <w:tblInd w:w="0" w:type="dxa"/>
        <w:tblLayout w:type="fixed"/>
        <w:tblCellMar>
          <w:top w:w="0" w:type="dxa"/>
          <w:left w:w="108" w:type="dxa"/>
          <w:bottom w:w="0" w:type="dxa"/>
          <w:right w:w="108" w:type="dxa"/>
        </w:tblCellMar>
      </w:tblPr>
      <w:tblGrid>
        <w:gridCol w:w="4290"/>
        <w:gridCol w:w="4290"/>
      </w:tblGrid>
      <w:tr>
        <w:tblPrEx>
          <w:tblLayout w:type="fixed"/>
          <w:tblCellMar>
            <w:top w:w="0" w:type="dxa"/>
            <w:left w:w="108" w:type="dxa"/>
            <w:bottom w:w="0" w:type="dxa"/>
            <w:right w:w="108" w:type="dxa"/>
          </w:tblCellMar>
        </w:tblPrEx>
        <w:trPr>
          <w:trHeight w:val="90" w:hRule="atLeast"/>
        </w:trPr>
        <w:tc>
          <w:tcPr>
            <w:tcW w:w="4290" w:type="dxa"/>
            <w:noWrap w:val="0"/>
            <w:vAlign w:val="center"/>
          </w:tcPr>
          <w:p>
            <w:pPr>
              <w:pStyle w:val="7"/>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hAnsi="宋体" w:cs="宋体"/>
                <w:color w:val="auto"/>
                <w:sz w:val="24"/>
                <w:szCs w:val="24"/>
                <w:highlight w:val="none"/>
                <w:u w:val="single"/>
                <w:lang w:eastAsia="zh-CN"/>
              </w:rPr>
              <w:t>衢州智慧新城管理委员会</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盖章</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 xml:space="preserve">      </w:t>
            </w:r>
          </w:p>
        </w:tc>
        <w:tc>
          <w:tcPr>
            <w:tcW w:w="4290" w:type="dxa"/>
            <w:noWrap w:val="0"/>
            <w:vAlign w:val="center"/>
          </w:tcPr>
          <w:p>
            <w:pPr>
              <w:pStyle w:val="7"/>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盖章）</w:t>
            </w:r>
            <w:r>
              <w:rPr>
                <w:rFonts w:hint="eastAsia" w:ascii="宋体" w:hAnsi="宋体" w:eastAsia="宋体" w:cs="宋体"/>
                <w:color w:val="auto"/>
                <w:sz w:val="24"/>
                <w:szCs w:val="24"/>
                <w:highlight w:val="none"/>
              </w:rPr>
              <w:t xml:space="preserve">      </w:t>
            </w:r>
          </w:p>
        </w:tc>
      </w:tr>
      <w:tr>
        <w:tblPrEx>
          <w:tblLayout w:type="fixed"/>
          <w:tblCellMar>
            <w:top w:w="0" w:type="dxa"/>
            <w:left w:w="108" w:type="dxa"/>
            <w:bottom w:w="0" w:type="dxa"/>
            <w:right w:w="108" w:type="dxa"/>
          </w:tblCellMar>
        </w:tblPrEx>
        <w:trPr>
          <w:trHeight w:val="90" w:hRule="atLeast"/>
        </w:trPr>
        <w:tc>
          <w:tcPr>
            <w:tcW w:w="4290" w:type="dxa"/>
            <w:noWrap w:val="0"/>
            <w:vAlign w:val="center"/>
          </w:tcPr>
          <w:p>
            <w:pPr>
              <w:pStyle w:val="7"/>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衢州市钱江大道2号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c>
          <w:tcPr>
            <w:tcW w:w="4290" w:type="dxa"/>
            <w:noWrap w:val="0"/>
            <w:vAlign w:val="center"/>
          </w:tcPr>
          <w:p>
            <w:pPr>
              <w:pStyle w:val="7"/>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r>
      <w:tr>
        <w:tblPrEx>
          <w:tblLayout w:type="fixed"/>
          <w:tblCellMar>
            <w:top w:w="0" w:type="dxa"/>
            <w:left w:w="108" w:type="dxa"/>
            <w:bottom w:w="0" w:type="dxa"/>
            <w:right w:w="108" w:type="dxa"/>
          </w:tblCellMar>
        </w:tblPrEx>
        <w:trPr>
          <w:trHeight w:val="90" w:hRule="atLeast"/>
        </w:trPr>
        <w:tc>
          <w:tcPr>
            <w:tcW w:w="4290" w:type="dxa"/>
            <w:noWrap w:val="0"/>
            <w:vAlign w:val="center"/>
          </w:tcPr>
          <w:p>
            <w:pPr>
              <w:pStyle w:val="38"/>
              <w:spacing w:line="460" w:lineRule="exact"/>
              <w:jc w:val="both"/>
              <w:rPr>
                <w:rFonts w:hint="eastAsia" w:ascii="宋体" w:hAnsi="宋体" w:eastAsia="宋体" w:cs="宋体"/>
                <w:color w:val="auto"/>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 xml:space="preserve">     </w:t>
            </w:r>
          </w:p>
        </w:tc>
        <w:tc>
          <w:tcPr>
            <w:tcW w:w="4290" w:type="dxa"/>
            <w:noWrap w:val="0"/>
            <w:vAlign w:val="center"/>
          </w:tcPr>
          <w:p>
            <w:pPr>
              <w:pStyle w:val="38"/>
              <w:spacing w:line="460" w:lineRule="exact"/>
              <w:jc w:val="both"/>
              <w:rPr>
                <w:rFonts w:hint="eastAsia" w:ascii="宋体" w:hAnsi="宋体" w:eastAsia="宋体" w:cs="宋体"/>
                <w:color w:val="auto"/>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 xml:space="preserve">     </w:t>
            </w:r>
          </w:p>
        </w:tc>
      </w:tr>
      <w:tr>
        <w:tblPrEx>
          <w:tblLayout w:type="fixed"/>
          <w:tblCellMar>
            <w:top w:w="0" w:type="dxa"/>
            <w:left w:w="108" w:type="dxa"/>
            <w:bottom w:w="0" w:type="dxa"/>
            <w:right w:w="108" w:type="dxa"/>
          </w:tblCellMar>
        </w:tblPrEx>
        <w:trPr>
          <w:trHeight w:val="90" w:hRule="atLeast"/>
        </w:trPr>
        <w:tc>
          <w:tcPr>
            <w:tcW w:w="4290" w:type="dxa"/>
            <w:noWrap w:val="0"/>
            <w:vAlign w:val="center"/>
          </w:tcPr>
          <w:p>
            <w:pPr>
              <w:pStyle w:val="38"/>
              <w:spacing w:line="460" w:lineRule="exact"/>
              <w:jc w:val="both"/>
              <w:rPr>
                <w:rFonts w:hint="eastAsia" w:ascii="宋体" w:hAnsi="宋体" w:eastAsia="宋体" w:cs="宋体"/>
                <w:color w:val="auto"/>
                <w:szCs w:val="24"/>
                <w:highlight w:val="none"/>
                <w:u w:val="single"/>
              </w:rPr>
            </w:pP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委托</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人（签章）：</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single"/>
              </w:rPr>
              <w:t xml:space="preserve">  </w:t>
            </w:r>
          </w:p>
        </w:tc>
        <w:tc>
          <w:tcPr>
            <w:tcW w:w="4290" w:type="dxa"/>
            <w:noWrap w:val="0"/>
            <w:vAlign w:val="center"/>
          </w:tcPr>
          <w:p>
            <w:pPr>
              <w:pStyle w:val="38"/>
              <w:spacing w:line="460" w:lineRule="exact"/>
              <w:jc w:val="both"/>
              <w:rPr>
                <w:rFonts w:hint="eastAsia" w:ascii="宋体" w:hAnsi="宋体" w:eastAsia="宋体" w:cs="宋体"/>
                <w:b/>
                <w:color w:val="auto"/>
                <w:szCs w:val="24"/>
                <w:highlight w:val="none"/>
                <w:u w:val="single"/>
              </w:rPr>
            </w:pP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委托</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人（签章）：</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single"/>
              </w:rPr>
              <w:t xml:space="preserve">  </w:t>
            </w:r>
          </w:p>
        </w:tc>
      </w:tr>
      <w:tr>
        <w:tblPrEx>
          <w:tblLayout w:type="fixed"/>
          <w:tblCellMar>
            <w:top w:w="0" w:type="dxa"/>
            <w:left w:w="108" w:type="dxa"/>
            <w:bottom w:w="0" w:type="dxa"/>
            <w:right w:w="108" w:type="dxa"/>
          </w:tblCellMar>
        </w:tblPrEx>
        <w:trPr>
          <w:trHeight w:val="90" w:hRule="atLeast"/>
        </w:trPr>
        <w:tc>
          <w:tcPr>
            <w:tcW w:w="4290" w:type="dxa"/>
            <w:noWrap w:val="0"/>
            <w:vAlign w:val="center"/>
          </w:tcPr>
          <w:p>
            <w:pPr>
              <w:pStyle w:val="38"/>
              <w:spacing w:line="460" w:lineRule="exact"/>
              <w:jc w:val="both"/>
              <w:rPr>
                <w:rFonts w:hint="eastAsia" w:ascii="宋体" w:hAnsi="宋体" w:eastAsia="宋体" w:cs="宋体"/>
                <w:color w:val="auto"/>
                <w:sz w:val="24"/>
                <w:szCs w:val="24"/>
                <w:highlight w:val="none"/>
                <w:lang w:val="en-US" w:eastAsia="zh-CN"/>
              </w:rPr>
            </w:pPr>
            <w:r>
              <w:rPr>
                <w:rFonts w:hint="eastAsia" w:ascii="宋体" w:hAnsi="宋体"/>
                <w:color w:val="000000"/>
                <w:sz w:val="24"/>
                <w:szCs w:val="24"/>
                <w:highlight w:val="none"/>
                <w:lang w:val="en-US" w:eastAsia="zh-CN"/>
              </w:rPr>
              <w:t>经办人（签名或盖章）：</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single"/>
              </w:rPr>
              <w:t xml:space="preserve">  </w:t>
            </w:r>
          </w:p>
        </w:tc>
        <w:tc>
          <w:tcPr>
            <w:tcW w:w="4290" w:type="dxa"/>
            <w:noWrap w:val="0"/>
            <w:vAlign w:val="center"/>
          </w:tcPr>
          <w:p>
            <w:pPr>
              <w:pStyle w:val="38"/>
              <w:spacing w:line="460" w:lineRule="exact"/>
              <w:jc w:val="both"/>
              <w:rPr>
                <w:rFonts w:hint="default" w:ascii="宋体" w:hAnsi="宋体" w:eastAsia="宋体" w:cs="宋体"/>
                <w:color w:val="auto"/>
                <w:szCs w:val="24"/>
                <w:highlight w:val="none"/>
                <w:lang w:val="en-US"/>
              </w:rPr>
            </w:pPr>
            <w:r>
              <w:rPr>
                <w:rFonts w:hint="eastAsia" w:ascii="宋体" w:hAnsi="宋体"/>
                <w:color w:val="000000"/>
                <w:sz w:val="24"/>
                <w:szCs w:val="24"/>
                <w:highlight w:val="none"/>
                <w:lang w:val="en-US" w:eastAsia="zh-CN"/>
              </w:rPr>
              <w:t>经办人（签名或盖章）：</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single"/>
              </w:rPr>
              <w:t xml:space="preserve">  </w:t>
            </w:r>
          </w:p>
        </w:tc>
      </w:tr>
      <w:tr>
        <w:tblPrEx>
          <w:tblLayout w:type="fixed"/>
          <w:tblCellMar>
            <w:top w:w="0" w:type="dxa"/>
            <w:left w:w="108" w:type="dxa"/>
            <w:bottom w:w="0" w:type="dxa"/>
            <w:right w:w="108" w:type="dxa"/>
          </w:tblCellMar>
        </w:tblPrEx>
        <w:trPr>
          <w:trHeight w:val="90" w:hRule="atLeast"/>
        </w:trPr>
        <w:tc>
          <w:tcPr>
            <w:tcW w:w="4290" w:type="dxa"/>
            <w:noWrap w:val="0"/>
            <w:vAlign w:val="center"/>
          </w:tcPr>
          <w:p>
            <w:pPr>
              <w:pStyle w:val="7"/>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c>
          <w:tcPr>
            <w:tcW w:w="4290" w:type="dxa"/>
            <w:noWrap w:val="0"/>
            <w:vAlign w:val="center"/>
          </w:tcPr>
          <w:p>
            <w:pPr>
              <w:pStyle w:val="7"/>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r>
      <w:tr>
        <w:tblPrEx>
          <w:tblLayout w:type="fixed"/>
          <w:tblCellMar>
            <w:top w:w="0" w:type="dxa"/>
            <w:left w:w="108" w:type="dxa"/>
            <w:bottom w:w="0" w:type="dxa"/>
            <w:right w:w="108" w:type="dxa"/>
          </w:tblCellMar>
        </w:tblPrEx>
        <w:trPr>
          <w:trHeight w:val="90" w:hRule="atLeast"/>
        </w:trPr>
        <w:tc>
          <w:tcPr>
            <w:tcW w:w="4290" w:type="dxa"/>
            <w:noWrap w:val="0"/>
            <w:vAlign w:val="center"/>
          </w:tcPr>
          <w:p>
            <w:pPr>
              <w:pStyle w:val="7"/>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tc>
        <w:tc>
          <w:tcPr>
            <w:tcW w:w="4290" w:type="dxa"/>
            <w:noWrap w:val="0"/>
            <w:vAlign w:val="center"/>
          </w:tcPr>
          <w:p>
            <w:pPr>
              <w:pStyle w:val="7"/>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tc>
      </w:tr>
      <w:tr>
        <w:tblPrEx>
          <w:tblLayout w:type="fixed"/>
          <w:tblCellMar>
            <w:top w:w="0" w:type="dxa"/>
            <w:left w:w="108" w:type="dxa"/>
            <w:bottom w:w="0" w:type="dxa"/>
            <w:right w:w="108" w:type="dxa"/>
          </w:tblCellMar>
        </w:tblPrEx>
        <w:trPr>
          <w:trHeight w:val="90" w:hRule="atLeast"/>
        </w:trPr>
        <w:tc>
          <w:tcPr>
            <w:tcW w:w="4290" w:type="dxa"/>
            <w:noWrap w:val="0"/>
            <w:vAlign w:val="center"/>
          </w:tcPr>
          <w:p>
            <w:pPr>
              <w:pStyle w:val="7"/>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c>
          <w:tcPr>
            <w:tcW w:w="4290" w:type="dxa"/>
            <w:noWrap w:val="0"/>
            <w:vAlign w:val="center"/>
          </w:tcPr>
          <w:p>
            <w:pPr>
              <w:pStyle w:val="7"/>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r>
      <w:tr>
        <w:tblPrEx>
          <w:tblLayout w:type="fixed"/>
          <w:tblCellMar>
            <w:top w:w="0" w:type="dxa"/>
            <w:left w:w="108" w:type="dxa"/>
            <w:bottom w:w="0" w:type="dxa"/>
            <w:right w:w="108" w:type="dxa"/>
          </w:tblCellMar>
        </w:tblPrEx>
        <w:trPr>
          <w:trHeight w:val="90" w:hRule="atLeast"/>
        </w:trPr>
        <w:tc>
          <w:tcPr>
            <w:tcW w:w="4290" w:type="dxa"/>
            <w:noWrap w:val="0"/>
            <w:vAlign w:val="bottom"/>
          </w:tcPr>
          <w:p>
            <w:pPr>
              <w:pStyle w:val="7"/>
              <w:spacing w:line="46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 xml:space="preserve">   年   月   日   </w:t>
            </w:r>
          </w:p>
        </w:tc>
        <w:tc>
          <w:tcPr>
            <w:tcW w:w="4290" w:type="dxa"/>
            <w:noWrap w:val="0"/>
            <w:vAlign w:val="bottom"/>
          </w:tcPr>
          <w:p>
            <w:pPr>
              <w:pStyle w:val="7"/>
              <w:spacing w:line="46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 xml:space="preserve">   年   月   日   </w:t>
            </w:r>
          </w:p>
        </w:tc>
      </w:tr>
    </w:tbl>
    <w:p>
      <w:pPr>
        <w:widowControl/>
        <w:adjustRightInd/>
        <w:jc w:val="both"/>
        <w:rPr>
          <w:rFonts w:hint="eastAsia" w:ascii="宋体" w:hAnsi="宋体" w:cs="宋体"/>
          <w:b/>
          <w:color w:val="auto"/>
          <w:sz w:val="36"/>
          <w:szCs w:val="20"/>
          <w:highlight w:val="none"/>
        </w:rPr>
      </w:pPr>
      <w:r>
        <w:rPr>
          <w:rFonts w:hint="eastAsia" w:ascii="宋体" w:hAnsi="宋体" w:cs="宋体"/>
          <w:sz w:val="28"/>
          <w:szCs w:val="28"/>
          <w:highlight w:val="none"/>
        </w:rPr>
        <w:t xml:space="preserve">   </w:t>
      </w: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pStyle w:val="2"/>
        <w:rPr>
          <w:rFonts w:hint="eastAsia" w:ascii="宋体" w:hAnsi="宋体" w:cs="宋体"/>
          <w:b/>
          <w:color w:val="auto"/>
          <w:sz w:val="36"/>
          <w:szCs w:val="20"/>
          <w:highlight w:val="none"/>
        </w:rPr>
      </w:pPr>
    </w:p>
    <w:p>
      <w:pPr>
        <w:pStyle w:val="4"/>
        <w:numPr>
          <w:ilvl w:val="0"/>
          <w:numId w:val="8"/>
        </w:numPr>
        <w:spacing w:line="400" w:lineRule="exact"/>
        <w:jc w:val="center"/>
        <w:rPr>
          <w:rFonts w:ascii="宋体" w:hAnsi="宋体" w:cs="宋体"/>
          <w:sz w:val="28"/>
          <w:szCs w:val="28"/>
          <w:highlight w:val="none"/>
        </w:rPr>
      </w:pPr>
      <w:bookmarkStart w:id="49" w:name="_Toc5592"/>
      <w:bookmarkStart w:id="50" w:name="_Toc23864"/>
      <w:r>
        <w:rPr>
          <w:rFonts w:hint="eastAsia" w:ascii="宋体" w:hAnsi="宋体" w:cs="宋体"/>
          <w:sz w:val="28"/>
          <w:szCs w:val="28"/>
          <w:highlight w:val="none"/>
        </w:rPr>
        <w:t xml:space="preserve"> 应提交的有关格式范例</w:t>
      </w:r>
      <w:bookmarkEnd w:id="49"/>
      <w:bookmarkEnd w:id="50"/>
    </w:p>
    <w:p>
      <w:pPr>
        <w:autoSpaceDE w:val="0"/>
        <w:autoSpaceDN w:val="0"/>
        <w:adjustRightInd w:val="0"/>
        <w:spacing w:line="400" w:lineRule="exact"/>
        <w:rPr>
          <w:highlight w:val="none"/>
        </w:rPr>
      </w:pPr>
    </w:p>
    <w:p>
      <w:pPr>
        <w:numPr>
          <w:ilvl w:val="0"/>
          <w:numId w:val="9"/>
        </w:numPr>
        <w:spacing w:line="500" w:lineRule="exact"/>
        <w:jc w:val="center"/>
        <w:rPr>
          <w:rFonts w:hint="eastAsia" w:ascii="宋体" w:hAnsi="宋体" w:cs="宋体"/>
          <w:b/>
          <w:bCs/>
          <w:sz w:val="28"/>
          <w:szCs w:val="24"/>
          <w:highlight w:val="none"/>
        </w:rPr>
      </w:pPr>
      <w:r>
        <w:rPr>
          <w:rFonts w:hint="eastAsia" w:ascii="宋体" w:hAnsi="宋体" w:cs="宋体"/>
          <w:b/>
          <w:bCs/>
          <w:sz w:val="28"/>
          <w:szCs w:val="24"/>
          <w:highlight w:val="none"/>
        </w:rPr>
        <w:t>资格审查文件</w:t>
      </w:r>
    </w:p>
    <w:p>
      <w:pPr>
        <w:pStyle w:val="2"/>
        <w:widowControl w:val="0"/>
        <w:numPr>
          <w:ilvl w:val="0"/>
          <w:numId w:val="0"/>
        </w:numPr>
        <w:spacing w:line="312" w:lineRule="auto"/>
        <w:jc w:val="both"/>
        <w:rPr>
          <w:highlight w:val="none"/>
        </w:rPr>
      </w:pPr>
    </w:p>
    <w:p>
      <w:pPr>
        <w:pStyle w:val="2"/>
        <w:widowControl w:val="0"/>
        <w:numPr>
          <w:ilvl w:val="0"/>
          <w:numId w:val="0"/>
        </w:numPr>
        <w:spacing w:line="312" w:lineRule="auto"/>
        <w:jc w:val="both"/>
        <w:rPr>
          <w:highlight w:val="none"/>
        </w:rPr>
      </w:pPr>
    </w:p>
    <w:p>
      <w:pPr>
        <w:pStyle w:val="2"/>
        <w:widowControl w:val="0"/>
        <w:numPr>
          <w:ilvl w:val="0"/>
          <w:numId w:val="0"/>
        </w:numPr>
        <w:spacing w:line="312" w:lineRule="auto"/>
        <w:jc w:val="both"/>
        <w:rPr>
          <w:highlight w:val="none"/>
        </w:rPr>
      </w:pPr>
    </w:p>
    <w:p>
      <w:pPr>
        <w:pStyle w:val="2"/>
        <w:widowControl w:val="0"/>
        <w:numPr>
          <w:ilvl w:val="0"/>
          <w:numId w:val="0"/>
        </w:numPr>
        <w:spacing w:line="312" w:lineRule="auto"/>
        <w:jc w:val="both"/>
        <w:rPr>
          <w:highlight w:val="none"/>
        </w:rPr>
      </w:pPr>
    </w:p>
    <w:p>
      <w:pPr>
        <w:autoSpaceDE w:val="0"/>
        <w:autoSpaceDN w:val="0"/>
        <w:adjustRightInd w:val="0"/>
        <w:spacing w:line="600" w:lineRule="exact"/>
        <w:jc w:val="center"/>
        <w:rPr>
          <w:rFonts w:hAnsi="宋体"/>
          <w:bCs/>
          <w:sz w:val="52"/>
          <w:szCs w:val="52"/>
          <w:highlight w:val="none"/>
          <w:lang w:val="zh-CN"/>
        </w:rPr>
      </w:pPr>
      <w:r>
        <w:rPr>
          <w:rFonts w:hint="eastAsia" w:hAnsi="宋体"/>
          <w:bCs/>
          <w:sz w:val="52"/>
          <w:szCs w:val="52"/>
          <w:highlight w:val="none"/>
          <w:lang w:val="zh-CN"/>
        </w:rPr>
        <w:t>投标文件</w:t>
      </w:r>
    </w:p>
    <w:p>
      <w:pPr>
        <w:autoSpaceDE w:val="0"/>
        <w:autoSpaceDN w:val="0"/>
        <w:adjustRightInd w:val="0"/>
        <w:spacing w:line="600" w:lineRule="exact"/>
        <w:rPr>
          <w:rFonts w:hAnsi="宋体"/>
          <w:bCs/>
          <w:sz w:val="24"/>
          <w:szCs w:val="24"/>
          <w:highlight w:val="none"/>
          <w:lang w:val="zh-CN"/>
        </w:rPr>
      </w:pPr>
    </w:p>
    <w:p>
      <w:pPr>
        <w:autoSpaceDE w:val="0"/>
        <w:autoSpaceDN w:val="0"/>
        <w:adjustRightInd w:val="0"/>
        <w:spacing w:line="600" w:lineRule="exact"/>
        <w:rPr>
          <w:rFonts w:hAnsi="宋体"/>
          <w:bCs/>
          <w:sz w:val="24"/>
          <w:szCs w:val="24"/>
          <w:highlight w:val="none"/>
          <w:lang w:val="zh-CN"/>
        </w:rPr>
      </w:pPr>
    </w:p>
    <w:p>
      <w:pPr>
        <w:snapToGrid w:val="0"/>
        <w:spacing w:line="600" w:lineRule="exact"/>
        <w:rPr>
          <w:rFonts w:hAnsi="宋体"/>
          <w:sz w:val="24"/>
          <w:szCs w:val="24"/>
          <w:highlight w:val="none"/>
        </w:rPr>
      </w:pPr>
    </w:p>
    <w:p>
      <w:pPr>
        <w:snapToGrid w:val="0"/>
        <w:spacing w:line="600" w:lineRule="exact"/>
        <w:rPr>
          <w:rFonts w:hAnsi="宋体"/>
          <w:sz w:val="24"/>
          <w:szCs w:val="24"/>
          <w:highlight w:val="none"/>
        </w:rPr>
      </w:pPr>
      <w:r>
        <w:rPr>
          <w:rFonts w:hint="eastAsia" w:hAnsi="宋体"/>
          <w:sz w:val="24"/>
          <w:szCs w:val="24"/>
          <w:highlight w:val="none"/>
        </w:rPr>
        <w:t>项目编号：</w:t>
      </w:r>
    </w:p>
    <w:p>
      <w:pPr>
        <w:snapToGrid w:val="0"/>
        <w:spacing w:line="600" w:lineRule="exact"/>
        <w:rPr>
          <w:rFonts w:hAnsi="宋体"/>
          <w:sz w:val="24"/>
          <w:szCs w:val="24"/>
          <w:highlight w:val="none"/>
        </w:rPr>
      </w:pPr>
      <w:r>
        <w:rPr>
          <w:rFonts w:hint="eastAsia" w:hAnsi="宋体"/>
          <w:sz w:val="24"/>
          <w:szCs w:val="24"/>
          <w:highlight w:val="none"/>
        </w:rPr>
        <w:t>项目名称：</w:t>
      </w:r>
    </w:p>
    <w:p>
      <w:pPr>
        <w:snapToGrid w:val="0"/>
        <w:spacing w:line="600" w:lineRule="exact"/>
        <w:rPr>
          <w:rFonts w:hAnsi="宋体"/>
          <w:sz w:val="24"/>
          <w:szCs w:val="24"/>
          <w:highlight w:val="none"/>
        </w:rPr>
      </w:pPr>
      <w:r>
        <w:rPr>
          <w:rFonts w:hint="eastAsia" w:hAnsi="宋体"/>
          <w:sz w:val="24"/>
          <w:szCs w:val="24"/>
          <w:highlight w:val="none"/>
        </w:rPr>
        <w:t>投标文件名称：（</w:t>
      </w:r>
      <w:r>
        <w:rPr>
          <w:rFonts w:hint="eastAsia" w:hAnsi="宋体"/>
          <w:sz w:val="24"/>
          <w:szCs w:val="24"/>
          <w:highlight w:val="none"/>
          <w:lang w:val="en-US" w:eastAsia="zh-CN"/>
        </w:rPr>
        <w:t>资格审查文件</w:t>
      </w:r>
      <w:r>
        <w:rPr>
          <w:rFonts w:hint="eastAsia" w:hAnsi="宋体"/>
          <w:sz w:val="24"/>
          <w:szCs w:val="24"/>
          <w:highlight w:val="none"/>
        </w:rPr>
        <w:t>）</w:t>
      </w:r>
    </w:p>
    <w:p>
      <w:pPr>
        <w:snapToGrid w:val="0"/>
        <w:spacing w:line="600" w:lineRule="exact"/>
        <w:rPr>
          <w:rFonts w:hAnsi="宋体"/>
          <w:sz w:val="24"/>
          <w:szCs w:val="24"/>
          <w:highlight w:val="none"/>
        </w:rPr>
      </w:pPr>
      <w:r>
        <w:rPr>
          <w:rFonts w:hint="eastAsia" w:hAnsi="宋体"/>
          <w:sz w:val="24"/>
          <w:szCs w:val="24"/>
          <w:highlight w:val="none"/>
        </w:rPr>
        <w:t>投标人名称（盖章或电子签章）：</w:t>
      </w:r>
    </w:p>
    <w:p>
      <w:pPr>
        <w:snapToGrid w:val="0"/>
        <w:spacing w:line="600" w:lineRule="exact"/>
        <w:rPr>
          <w:rFonts w:hAnsi="宋体"/>
          <w:sz w:val="24"/>
          <w:szCs w:val="24"/>
          <w:highlight w:val="none"/>
        </w:rPr>
      </w:pPr>
      <w:r>
        <w:rPr>
          <w:rFonts w:hint="eastAsia" w:hAnsi="宋体"/>
          <w:sz w:val="24"/>
          <w:szCs w:val="24"/>
          <w:highlight w:val="none"/>
        </w:rPr>
        <w:t>法定代表人或其授权代表（签字或盖章或电子签章）：</w:t>
      </w:r>
    </w:p>
    <w:p>
      <w:pPr>
        <w:snapToGrid w:val="0"/>
        <w:spacing w:line="600" w:lineRule="exact"/>
        <w:rPr>
          <w:rFonts w:hAnsi="宋体"/>
          <w:sz w:val="24"/>
          <w:szCs w:val="24"/>
          <w:highlight w:val="none"/>
        </w:rPr>
      </w:pPr>
      <w:r>
        <w:rPr>
          <w:rFonts w:hint="eastAsia" w:hAnsi="宋体"/>
          <w:sz w:val="24"/>
          <w:szCs w:val="24"/>
          <w:highlight w:val="none"/>
        </w:rPr>
        <w:t>投标人地址：</w:t>
      </w:r>
    </w:p>
    <w:p>
      <w:pPr>
        <w:autoSpaceDE w:val="0"/>
        <w:autoSpaceDN w:val="0"/>
        <w:adjustRightInd w:val="0"/>
        <w:spacing w:line="400" w:lineRule="exact"/>
        <w:jc w:val="center"/>
        <w:rPr>
          <w:rFonts w:hAnsi="宋体"/>
          <w:bCs/>
          <w:sz w:val="30"/>
          <w:szCs w:val="30"/>
          <w:highlight w:val="none"/>
          <w:lang w:val="zh-CN"/>
        </w:rPr>
      </w:pPr>
    </w:p>
    <w:p>
      <w:pPr>
        <w:autoSpaceDE w:val="0"/>
        <w:autoSpaceDN w:val="0"/>
        <w:adjustRightInd w:val="0"/>
        <w:spacing w:line="600" w:lineRule="exact"/>
        <w:rPr>
          <w:rFonts w:hAnsi="宋体"/>
          <w:bCs/>
          <w:sz w:val="30"/>
          <w:szCs w:val="30"/>
          <w:highlight w:val="none"/>
          <w:lang w:val="zh-CN"/>
        </w:rPr>
      </w:pPr>
    </w:p>
    <w:p>
      <w:pPr>
        <w:pageBreakBefore/>
        <w:spacing w:before="60" w:after="60"/>
        <w:rPr>
          <w:rFonts w:ascii="宋体" w:hAnsi="宋体" w:cs="宋体"/>
          <w:b/>
          <w:bCs/>
          <w:sz w:val="24"/>
          <w:highlight w:val="none"/>
        </w:rPr>
      </w:pPr>
      <w:r>
        <w:rPr>
          <w:rFonts w:hint="eastAsia" w:ascii="宋体" w:hAnsi="宋体" w:cs="宋体"/>
          <w:b/>
          <w:bCs/>
          <w:sz w:val="24"/>
          <w:highlight w:val="none"/>
        </w:rPr>
        <w:t>1、符合参加政府采购活动应当具备的一般条件的承诺函</w:t>
      </w:r>
    </w:p>
    <w:p>
      <w:pPr>
        <w:snapToGrid w:val="0"/>
        <w:spacing w:line="360" w:lineRule="auto"/>
        <w:jc w:val="center"/>
        <w:rPr>
          <w:rFonts w:ascii="宋体" w:hAnsi="宋体" w:cs="宋体"/>
          <w:b/>
          <w:bCs/>
          <w:sz w:val="22"/>
          <w:highlight w:val="none"/>
        </w:rPr>
      </w:pPr>
    </w:p>
    <w:p>
      <w:pPr>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符合参加政府采购活动应当具备的一般条件的承诺函</w:t>
      </w:r>
    </w:p>
    <w:p>
      <w:pPr>
        <w:snapToGrid w:val="0"/>
        <w:spacing w:line="360" w:lineRule="auto"/>
        <w:rPr>
          <w:rFonts w:ascii="宋体" w:hAnsi="宋体" w:cs="宋体"/>
          <w:bCs/>
          <w:spacing w:val="-6"/>
          <w:sz w:val="24"/>
          <w:szCs w:val="24"/>
          <w:highlight w:val="none"/>
        </w:rPr>
      </w:pPr>
      <w:r>
        <w:rPr>
          <w:rFonts w:hint="eastAsia" w:ascii="宋体" w:hAnsi="宋体" w:cs="宋体"/>
          <w:bCs/>
          <w:spacing w:val="-6"/>
          <w:sz w:val="24"/>
          <w:szCs w:val="24"/>
          <w:highlight w:val="none"/>
          <w:u w:val="single"/>
        </w:rPr>
        <w:t xml:space="preserve">           </w:t>
      </w:r>
      <w:r>
        <w:rPr>
          <w:rFonts w:hint="eastAsia" w:ascii="宋体" w:hAnsi="宋体" w:cs="宋体"/>
          <w:bCs/>
          <w:spacing w:val="-6"/>
          <w:sz w:val="24"/>
          <w:szCs w:val="24"/>
          <w:highlight w:val="none"/>
        </w:rPr>
        <w:t>（采购人）：</w:t>
      </w:r>
    </w:p>
    <w:p>
      <w:pPr>
        <w:snapToGrid w:val="0"/>
        <w:spacing w:line="360" w:lineRule="auto"/>
        <w:rPr>
          <w:rFonts w:ascii="宋体" w:hAnsi="宋体" w:cs="宋体"/>
          <w:bCs/>
          <w:spacing w:val="-6"/>
          <w:sz w:val="24"/>
          <w:szCs w:val="24"/>
          <w:highlight w:val="none"/>
        </w:rPr>
      </w:pPr>
      <w:r>
        <w:rPr>
          <w:rFonts w:hint="eastAsia" w:ascii="宋体" w:hAnsi="宋体" w:cs="宋体"/>
          <w:bCs/>
          <w:spacing w:val="-6"/>
          <w:sz w:val="24"/>
          <w:szCs w:val="24"/>
          <w:highlight w:val="none"/>
          <w:u w:val="single"/>
        </w:rPr>
        <w:t xml:space="preserve">             </w:t>
      </w:r>
      <w:r>
        <w:rPr>
          <w:rFonts w:hint="eastAsia" w:ascii="宋体" w:hAnsi="宋体" w:cs="宋体"/>
          <w:bCs/>
          <w:spacing w:val="-6"/>
          <w:sz w:val="24"/>
          <w:szCs w:val="24"/>
          <w:highlight w:val="none"/>
        </w:rPr>
        <w:t>（采购代理机构）：</w:t>
      </w:r>
    </w:p>
    <w:p>
      <w:pPr>
        <w:snapToGrid w:val="0"/>
        <w:spacing w:line="360" w:lineRule="auto"/>
        <w:ind w:firstLine="456" w:firstLineChars="200"/>
        <w:rPr>
          <w:rFonts w:ascii="宋体" w:hAnsi="宋体" w:cs="宋体"/>
          <w:bCs/>
          <w:spacing w:val="-6"/>
          <w:sz w:val="24"/>
          <w:szCs w:val="24"/>
          <w:highlight w:val="none"/>
        </w:rPr>
      </w:pPr>
      <w:r>
        <w:rPr>
          <w:rFonts w:hint="eastAsia" w:ascii="宋体" w:hAnsi="宋体" w:cs="宋体"/>
          <w:bCs/>
          <w:spacing w:val="-6"/>
          <w:sz w:val="24"/>
          <w:szCs w:val="24"/>
          <w:highlight w:val="none"/>
        </w:rPr>
        <w:t>我方参与</w:t>
      </w:r>
      <w:r>
        <w:rPr>
          <w:rFonts w:hint="eastAsia" w:ascii="宋体" w:hAnsi="宋体" w:cs="宋体"/>
          <w:bCs/>
          <w:spacing w:val="-6"/>
          <w:sz w:val="24"/>
          <w:szCs w:val="24"/>
          <w:highlight w:val="none"/>
          <w:u w:val="single"/>
        </w:rPr>
        <w:t xml:space="preserve">                          </w:t>
      </w:r>
      <w:r>
        <w:rPr>
          <w:rFonts w:hint="eastAsia" w:ascii="宋体" w:hAnsi="宋体" w:cs="宋体"/>
          <w:kern w:val="0"/>
          <w:sz w:val="24"/>
          <w:highlight w:val="none"/>
          <w:u w:val="single"/>
        </w:rPr>
        <w:t>（项目名称及项目编号）</w:t>
      </w:r>
      <w:r>
        <w:rPr>
          <w:rFonts w:hint="eastAsia" w:ascii="宋体" w:hAnsi="宋体" w:cs="宋体"/>
          <w:bCs/>
          <w:spacing w:val="-6"/>
          <w:sz w:val="24"/>
          <w:szCs w:val="24"/>
          <w:highlight w:val="none"/>
        </w:rPr>
        <w:t>政府采购活动，郑重承诺：</w:t>
      </w:r>
    </w:p>
    <w:p>
      <w:pPr>
        <w:snapToGrid w:val="0"/>
        <w:spacing w:line="360" w:lineRule="auto"/>
        <w:ind w:firstLine="342" w:firstLineChars="150"/>
        <w:rPr>
          <w:rFonts w:ascii="宋体" w:hAnsi="宋体" w:cs="宋体"/>
          <w:bCs/>
          <w:spacing w:val="-6"/>
          <w:sz w:val="24"/>
          <w:szCs w:val="24"/>
          <w:highlight w:val="none"/>
        </w:rPr>
      </w:pPr>
      <w:r>
        <w:rPr>
          <w:rFonts w:hint="eastAsia" w:ascii="宋体" w:hAnsi="宋体" w:cs="宋体"/>
          <w:bCs/>
          <w:spacing w:val="-6"/>
          <w:sz w:val="24"/>
          <w:szCs w:val="24"/>
          <w:highlight w:val="none"/>
        </w:rPr>
        <w:t>（一）具备《中华人民共和国政府采购法》第二十二条第一款规定的条件：</w:t>
      </w:r>
    </w:p>
    <w:p>
      <w:pPr>
        <w:snapToGrid w:val="0"/>
        <w:spacing w:line="360" w:lineRule="auto"/>
        <w:ind w:firstLine="456" w:firstLineChars="200"/>
        <w:rPr>
          <w:rFonts w:ascii="宋体" w:hAnsi="宋体" w:cs="宋体"/>
          <w:bCs/>
          <w:spacing w:val="-6"/>
          <w:sz w:val="24"/>
          <w:szCs w:val="24"/>
          <w:highlight w:val="none"/>
        </w:rPr>
      </w:pPr>
      <w:r>
        <w:rPr>
          <w:rFonts w:hint="eastAsia" w:ascii="宋体" w:hAnsi="宋体" w:cs="宋体"/>
          <w:bCs/>
          <w:spacing w:val="-6"/>
          <w:sz w:val="24"/>
          <w:szCs w:val="24"/>
          <w:highlight w:val="none"/>
        </w:rPr>
        <w:t>1、具有独立承担民事责任的能力；</w:t>
      </w:r>
    </w:p>
    <w:p>
      <w:pPr>
        <w:snapToGrid w:val="0"/>
        <w:spacing w:line="360" w:lineRule="auto"/>
        <w:ind w:firstLine="456" w:firstLineChars="200"/>
        <w:rPr>
          <w:rFonts w:ascii="宋体" w:hAnsi="宋体" w:cs="宋体"/>
          <w:bCs/>
          <w:spacing w:val="-6"/>
          <w:sz w:val="24"/>
          <w:szCs w:val="24"/>
          <w:highlight w:val="none"/>
        </w:rPr>
      </w:pPr>
      <w:r>
        <w:rPr>
          <w:rFonts w:hint="eastAsia" w:ascii="宋体" w:hAnsi="宋体" w:cs="宋体"/>
          <w:bCs/>
          <w:spacing w:val="-6"/>
          <w:sz w:val="24"/>
          <w:szCs w:val="24"/>
          <w:highlight w:val="none"/>
        </w:rPr>
        <w:t xml:space="preserve">2、具有良好的商业信誉和健全的财务会计制度； </w:t>
      </w:r>
    </w:p>
    <w:p>
      <w:pPr>
        <w:snapToGrid w:val="0"/>
        <w:spacing w:line="360" w:lineRule="auto"/>
        <w:ind w:firstLine="456" w:firstLineChars="200"/>
        <w:rPr>
          <w:rFonts w:ascii="宋体" w:hAnsi="宋体" w:cs="宋体"/>
          <w:bCs/>
          <w:spacing w:val="-6"/>
          <w:sz w:val="24"/>
          <w:szCs w:val="24"/>
          <w:highlight w:val="none"/>
        </w:rPr>
      </w:pPr>
      <w:r>
        <w:rPr>
          <w:rFonts w:hint="eastAsia" w:ascii="宋体" w:hAnsi="宋体" w:cs="宋体"/>
          <w:bCs/>
          <w:spacing w:val="-6"/>
          <w:sz w:val="24"/>
          <w:szCs w:val="24"/>
          <w:highlight w:val="none"/>
        </w:rPr>
        <w:t>3、具有履行合同所必需的设备和专业技术能力；</w:t>
      </w:r>
    </w:p>
    <w:p>
      <w:pPr>
        <w:snapToGrid w:val="0"/>
        <w:spacing w:line="360" w:lineRule="auto"/>
        <w:ind w:firstLine="456" w:firstLineChars="200"/>
        <w:rPr>
          <w:rFonts w:ascii="宋体" w:hAnsi="宋体" w:cs="宋体"/>
          <w:bCs/>
          <w:spacing w:val="-6"/>
          <w:sz w:val="24"/>
          <w:szCs w:val="24"/>
          <w:highlight w:val="none"/>
        </w:rPr>
      </w:pPr>
      <w:r>
        <w:rPr>
          <w:rFonts w:hint="eastAsia" w:ascii="宋体" w:hAnsi="宋体" w:cs="宋体"/>
          <w:bCs/>
          <w:spacing w:val="-6"/>
          <w:sz w:val="24"/>
          <w:szCs w:val="24"/>
          <w:highlight w:val="none"/>
        </w:rPr>
        <w:t>4、有依法缴纳税收和社会保障资金的良好记录；</w:t>
      </w:r>
    </w:p>
    <w:p>
      <w:pPr>
        <w:snapToGrid w:val="0"/>
        <w:spacing w:line="360" w:lineRule="auto"/>
        <w:ind w:firstLine="456" w:firstLineChars="200"/>
        <w:rPr>
          <w:rFonts w:ascii="宋体" w:hAnsi="宋体" w:cs="宋体"/>
          <w:bCs/>
          <w:spacing w:val="-6"/>
          <w:sz w:val="24"/>
          <w:szCs w:val="24"/>
          <w:highlight w:val="none"/>
        </w:rPr>
      </w:pPr>
      <w:r>
        <w:rPr>
          <w:rFonts w:hint="eastAsia" w:ascii="宋体" w:hAnsi="宋体" w:cs="宋体"/>
          <w:bCs/>
          <w:spacing w:val="-6"/>
          <w:sz w:val="24"/>
          <w:szCs w:val="24"/>
          <w:highlight w:val="none"/>
        </w:rPr>
        <w:t>5、参加政府采购活动前三年内，在经营活动中没有重大违法记录；</w:t>
      </w:r>
    </w:p>
    <w:p>
      <w:pPr>
        <w:snapToGrid w:val="0"/>
        <w:spacing w:line="360" w:lineRule="auto"/>
        <w:ind w:firstLine="456" w:firstLineChars="200"/>
        <w:rPr>
          <w:rFonts w:ascii="宋体" w:hAnsi="宋体" w:cs="宋体"/>
          <w:bCs/>
          <w:spacing w:val="-6"/>
          <w:sz w:val="24"/>
          <w:szCs w:val="24"/>
          <w:highlight w:val="none"/>
        </w:rPr>
      </w:pPr>
      <w:r>
        <w:rPr>
          <w:rFonts w:hint="eastAsia" w:ascii="宋体" w:hAnsi="宋体" w:cs="宋体"/>
          <w:bCs/>
          <w:spacing w:val="-6"/>
          <w:sz w:val="24"/>
          <w:szCs w:val="24"/>
          <w:highlight w:val="none"/>
        </w:rPr>
        <w:t>6、具有法律、行政法规规定的其他条件。</w:t>
      </w:r>
    </w:p>
    <w:p>
      <w:pPr>
        <w:snapToGrid w:val="0"/>
        <w:spacing w:line="360" w:lineRule="auto"/>
        <w:ind w:firstLine="456" w:firstLineChars="200"/>
        <w:rPr>
          <w:rFonts w:ascii="宋体" w:hAnsi="宋体" w:cs="宋体"/>
          <w:bCs/>
          <w:spacing w:val="-6"/>
          <w:sz w:val="24"/>
          <w:szCs w:val="24"/>
          <w:highlight w:val="none"/>
        </w:rPr>
      </w:pPr>
      <w:r>
        <w:rPr>
          <w:rFonts w:hint="eastAsia" w:ascii="宋体" w:hAnsi="宋体" w:cs="宋体"/>
          <w:bCs/>
          <w:spacing w:val="-6"/>
          <w:sz w:val="24"/>
          <w:szCs w:val="24"/>
          <w:highlight w:val="none"/>
        </w:rPr>
        <w:t>（二）</w:t>
      </w:r>
      <w:r>
        <w:rPr>
          <w:rFonts w:hint="eastAsia" w:ascii="宋体" w:hAnsi="宋体" w:cs="宋体"/>
          <w:sz w:val="24"/>
          <w:szCs w:val="24"/>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bCs/>
          <w:spacing w:val="-6"/>
          <w:sz w:val="24"/>
          <w:szCs w:val="24"/>
          <w:highlight w:val="none"/>
        </w:rPr>
        <w:t>。</w:t>
      </w:r>
    </w:p>
    <w:p>
      <w:pPr>
        <w:snapToGrid w:val="0"/>
        <w:spacing w:line="360" w:lineRule="auto"/>
        <w:ind w:firstLine="456" w:firstLineChars="200"/>
        <w:rPr>
          <w:rFonts w:ascii="宋体" w:hAnsi="宋体" w:cs="宋体"/>
          <w:bCs/>
          <w:spacing w:val="-6"/>
          <w:sz w:val="24"/>
          <w:szCs w:val="24"/>
          <w:highlight w:val="none"/>
        </w:rPr>
      </w:pPr>
      <w:r>
        <w:rPr>
          <w:rFonts w:hint="eastAsia" w:ascii="宋体" w:hAnsi="宋体" w:cs="宋体"/>
          <w:bCs/>
          <w:spacing w:val="-6"/>
          <w:sz w:val="24"/>
          <w:szCs w:val="24"/>
          <w:highlight w:val="none"/>
        </w:rPr>
        <w:t>（三）不存在以下情况：</w:t>
      </w:r>
    </w:p>
    <w:p>
      <w:pPr>
        <w:snapToGrid w:val="0"/>
        <w:spacing w:line="360" w:lineRule="auto"/>
        <w:ind w:firstLine="456" w:firstLineChars="200"/>
        <w:rPr>
          <w:rFonts w:ascii="宋体" w:hAnsi="宋体" w:cs="宋体"/>
          <w:bCs/>
          <w:spacing w:val="-6"/>
          <w:sz w:val="24"/>
          <w:szCs w:val="24"/>
          <w:highlight w:val="none"/>
        </w:rPr>
      </w:pPr>
      <w:r>
        <w:rPr>
          <w:rFonts w:hint="eastAsia" w:ascii="宋体" w:hAnsi="宋体" w:cs="宋体"/>
          <w:bCs/>
          <w:spacing w:val="-6"/>
          <w:sz w:val="24"/>
          <w:szCs w:val="24"/>
          <w:highlight w:val="none"/>
        </w:rPr>
        <w:t>1、单位负责人为同一人或者存在直接控股、管理关系的不同供应商参加同一合同项下的政府采购活动的；</w:t>
      </w:r>
    </w:p>
    <w:p>
      <w:pPr>
        <w:snapToGrid w:val="0"/>
        <w:spacing w:line="360" w:lineRule="auto"/>
        <w:ind w:firstLine="456" w:firstLineChars="200"/>
        <w:rPr>
          <w:rFonts w:ascii="宋体" w:hAnsi="宋体" w:cs="宋体"/>
          <w:bCs/>
          <w:spacing w:val="-6"/>
          <w:sz w:val="24"/>
          <w:szCs w:val="24"/>
          <w:highlight w:val="none"/>
        </w:rPr>
      </w:pPr>
      <w:r>
        <w:rPr>
          <w:rFonts w:hint="eastAsia" w:ascii="宋体" w:hAnsi="宋体" w:cs="宋体"/>
          <w:bCs/>
          <w:spacing w:val="-6"/>
          <w:sz w:val="24"/>
          <w:szCs w:val="24"/>
          <w:highlight w:val="none"/>
        </w:rPr>
        <w:t>2、为采购项目提供整体设计、规范编制或者项目管理、监理、检测等服务后再参加该采购项目的其他采购活动的。</w:t>
      </w:r>
    </w:p>
    <w:p>
      <w:pPr>
        <w:snapToGrid w:val="0"/>
        <w:spacing w:line="360" w:lineRule="auto"/>
        <w:ind w:firstLine="456" w:firstLineChars="200"/>
        <w:rPr>
          <w:rFonts w:ascii="宋体" w:hAnsi="宋体" w:cs="宋体"/>
          <w:bCs/>
          <w:spacing w:val="-6"/>
          <w:sz w:val="24"/>
          <w:szCs w:val="24"/>
          <w:highlight w:val="none"/>
        </w:rPr>
      </w:pPr>
      <w:r>
        <w:rPr>
          <w:rFonts w:hint="eastAsia" w:ascii="宋体" w:hAnsi="宋体" w:cs="宋体"/>
          <w:bCs/>
          <w:spacing w:val="-6"/>
          <w:sz w:val="24"/>
          <w:szCs w:val="24"/>
          <w:highlight w:val="none"/>
        </w:rPr>
        <w:t>（四）如有虚假，采购人可取消我方任何资格（投标/中标/签订合同），我方愿意承担相应责任，对此无任何异议。</w:t>
      </w:r>
    </w:p>
    <w:p>
      <w:pPr>
        <w:snapToGrid w:val="0"/>
        <w:spacing w:line="360" w:lineRule="auto"/>
        <w:rPr>
          <w:rFonts w:ascii="宋体" w:hAnsi="宋体" w:cs="宋体"/>
          <w:bCs/>
          <w:spacing w:val="-6"/>
          <w:sz w:val="24"/>
          <w:szCs w:val="24"/>
          <w:highlight w:val="none"/>
          <w:lang w:val="zh-CN"/>
        </w:rPr>
      </w:pPr>
    </w:p>
    <w:p>
      <w:pPr>
        <w:snapToGrid w:val="0"/>
        <w:spacing w:line="360" w:lineRule="auto"/>
        <w:jc w:val="right"/>
        <w:rPr>
          <w:rFonts w:ascii="宋体" w:hAnsi="宋体" w:cs="宋体"/>
          <w:bCs/>
          <w:spacing w:val="-6"/>
          <w:sz w:val="24"/>
          <w:szCs w:val="24"/>
          <w:highlight w:val="none"/>
          <w:lang w:val="zh-CN"/>
        </w:rPr>
      </w:pPr>
      <w:r>
        <w:rPr>
          <w:rFonts w:hint="eastAsia" w:ascii="宋体" w:hAnsi="宋体" w:cs="宋体"/>
          <w:bCs/>
          <w:spacing w:val="-6"/>
          <w:sz w:val="24"/>
          <w:szCs w:val="24"/>
          <w:highlight w:val="none"/>
          <w:lang w:val="zh-CN"/>
        </w:rPr>
        <w:t>供应商名称</w:t>
      </w:r>
      <w:r>
        <w:rPr>
          <w:rFonts w:hint="eastAsia" w:ascii="宋体" w:hAnsi="宋体" w:cs="宋体"/>
          <w:kern w:val="0"/>
          <w:sz w:val="24"/>
          <w:szCs w:val="24"/>
          <w:highlight w:val="none"/>
        </w:rPr>
        <w:t>（盖章或电子签章）</w:t>
      </w:r>
      <w:r>
        <w:rPr>
          <w:rFonts w:hint="eastAsia" w:ascii="宋体" w:hAnsi="宋体" w:cs="宋体"/>
          <w:bCs/>
          <w:spacing w:val="-6"/>
          <w:sz w:val="24"/>
          <w:szCs w:val="24"/>
          <w:highlight w:val="none"/>
          <w:lang w:val="zh-CN"/>
        </w:rPr>
        <w:t>：</w:t>
      </w:r>
    </w:p>
    <w:p>
      <w:pPr>
        <w:snapToGrid w:val="0"/>
        <w:spacing w:line="360" w:lineRule="auto"/>
        <w:ind w:firstLine="5244" w:firstLineChars="2300"/>
        <w:rPr>
          <w:rFonts w:ascii="宋体" w:hAnsi="宋体" w:cs="宋体"/>
          <w:highlight w:val="none"/>
        </w:rPr>
      </w:pPr>
      <w:r>
        <w:rPr>
          <w:rFonts w:hint="eastAsia" w:ascii="宋体" w:hAnsi="宋体" w:cs="宋体"/>
          <w:bCs/>
          <w:spacing w:val="-6"/>
          <w:sz w:val="24"/>
          <w:szCs w:val="24"/>
          <w:highlight w:val="none"/>
          <w:lang w:val="zh-CN"/>
        </w:rPr>
        <w:t>日期</w:t>
      </w:r>
      <w:r>
        <w:rPr>
          <w:rFonts w:hint="eastAsia" w:ascii="宋体" w:hAnsi="宋体" w:cs="宋体"/>
          <w:bCs/>
          <w:spacing w:val="-6"/>
          <w:sz w:val="24"/>
          <w:szCs w:val="24"/>
          <w:highlight w:val="none"/>
        </w:rPr>
        <w:t xml:space="preserve">：  年  </w:t>
      </w:r>
      <w:r>
        <w:rPr>
          <w:rFonts w:hint="eastAsia" w:ascii="宋体" w:hAnsi="宋体" w:cs="宋体"/>
          <w:bCs/>
          <w:spacing w:val="-6"/>
          <w:sz w:val="24"/>
          <w:szCs w:val="24"/>
          <w:highlight w:val="none"/>
          <w:lang w:val="zh-CN"/>
        </w:rPr>
        <w:t>月</w:t>
      </w:r>
      <w:r>
        <w:rPr>
          <w:rFonts w:hint="eastAsia" w:ascii="宋体" w:hAnsi="宋体" w:cs="宋体"/>
          <w:bCs/>
          <w:spacing w:val="-6"/>
          <w:sz w:val="24"/>
          <w:szCs w:val="24"/>
          <w:highlight w:val="none"/>
        </w:rPr>
        <w:t xml:space="preserve">   </w:t>
      </w:r>
      <w:r>
        <w:rPr>
          <w:rFonts w:hint="eastAsia" w:ascii="宋体" w:hAnsi="宋体" w:cs="宋体"/>
          <w:bCs/>
          <w:spacing w:val="-6"/>
          <w:sz w:val="24"/>
          <w:szCs w:val="24"/>
          <w:highlight w:val="none"/>
          <w:lang w:val="zh-CN"/>
        </w:rPr>
        <w:t>日</w:t>
      </w:r>
    </w:p>
    <w:p>
      <w:pPr>
        <w:pStyle w:val="6"/>
        <w:ind w:firstLine="210"/>
        <w:rPr>
          <w:rFonts w:ascii="宋体" w:hAnsi="宋体" w:cs="宋体"/>
          <w:highlight w:val="none"/>
        </w:rPr>
      </w:pPr>
    </w:p>
    <w:p>
      <w:pPr>
        <w:rPr>
          <w:rFonts w:ascii="宋体" w:hAnsi="宋体" w:cs="宋体"/>
          <w:highlight w:val="none"/>
        </w:rPr>
      </w:pPr>
    </w:p>
    <w:p>
      <w:pPr>
        <w:pStyle w:val="6"/>
        <w:ind w:firstLine="210"/>
        <w:rPr>
          <w:rFonts w:ascii="宋体" w:hAnsi="宋体" w:cs="宋体"/>
          <w:highlight w:val="none"/>
        </w:rPr>
      </w:pPr>
    </w:p>
    <w:p>
      <w:pPr>
        <w:pStyle w:val="2"/>
        <w:spacing w:line="600" w:lineRule="exact"/>
        <w:ind w:firstLine="0" w:firstLineChars="0"/>
        <w:rPr>
          <w:rFonts w:ascii="宋体" w:hAnsi="宋体" w:cs="宋体"/>
          <w:b/>
          <w:bCs/>
          <w:sz w:val="24"/>
          <w:highlight w:val="none"/>
        </w:rPr>
      </w:pPr>
      <w:r>
        <w:rPr>
          <w:rFonts w:hint="eastAsia" w:ascii="宋体" w:hAnsi="宋体" w:cs="宋体"/>
          <w:b/>
          <w:bCs/>
          <w:sz w:val="24"/>
          <w:highlight w:val="none"/>
        </w:rPr>
        <w:t>2、具有独立承担民事责任的能力证明材料：</w:t>
      </w:r>
    </w:p>
    <w:p>
      <w:pPr>
        <w:pStyle w:val="2"/>
        <w:spacing w:line="600" w:lineRule="exact"/>
        <w:ind w:firstLine="480"/>
        <w:rPr>
          <w:rFonts w:ascii="宋体" w:hAnsi="宋体" w:cs="宋体"/>
          <w:sz w:val="24"/>
          <w:highlight w:val="none"/>
        </w:rPr>
      </w:pPr>
    </w:p>
    <w:p>
      <w:pPr>
        <w:pStyle w:val="2"/>
        <w:numPr>
          <w:ilvl w:val="0"/>
          <w:numId w:val="10"/>
        </w:numPr>
        <w:spacing w:line="600" w:lineRule="exact"/>
        <w:ind w:firstLine="0" w:firstLineChars="0"/>
        <w:rPr>
          <w:rFonts w:ascii="宋体" w:hAnsi="宋体" w:cs="宋体"/>
          <w:sz w:val="24"/>
          <w:highlight w:val="none"/>
        </w:rPr>
      </w:pPr>
      <w:r>
        <w:rPr>
          <w:rFonts w:hint="eastAsia" w:ascii="宋体" w:hAnsi="宋体" w:cs="宋体"/>
          <w:sz w:val="24"/>
          <w:highlight w:val="none"/>
        </w:rPr>
        <w:t>如供应商是企业（包括合伙企业），提供在工商部门注册的有效“企业法人营业执照”或“营业执照”；</w:t>
      </w:r>
    </w:p>
    <w:p>
      <w:pPr>
        <w:pStyle w:val="2"/>
        <w:numPr>
          <w:ilvl w:val="0"/>
          <w:numId w:val="10"/>
        </w:numPr>
        <w:spacing w:line="600" w:lineRule="exact"/>
        <w:ind w:firstLine="0" w:firstLineChars="0"/>
        <w:rPr>
          <w:rFonts w:ascii="宋体" w:hAnsi="宋体" w:cs="宋体"/>
          <w:sz w:val="24"/>
          <w:highlight w:val="none"/>
        </w:rPr>
      </w:pPr>
      <w:r>
        <w:rPr>
          <w:rFonts w:hint="eastAsia" w:ascii="宋体" w:hAnsi="宋体" w:cs="宋体"/>
          <w:sz w:val="24"/>
          <w:highlight w:val="none"/>
        </w:rPr>
        <w:t>如供应商是事业单位，提供有效的“事业单位法人证书”；</w:t>
      </w:r>
    </w:p>
    <w:p>
      <w:pPr>
        <w:pStyle w:val="2"/>
        <w:spacing w:line="600" w:lineRule="exact"/>
        <w:ind w:firstLine="480"/>
        <w:rPr>
          <w:rFonts w:ascii="宋体" w:hAnsi="宋体" w:cs="宋体"/>
          <w:sz w:val="24"/>
          <w:highlight w:val="none"/>
        </w:rPr>
      </w:pPr>
    </w:p>
    <w:p>
      <w:pPr>
        <w:pStyle w:val="2"/>
        <w:spacing w:line="600" w:lineRule="exact"/>
        <w:ind w:firstLine="480"/>
        <w:rPr>
          <w:rFonts w:ascii="宋体" w:hAnsi="宋体" w:cs="宋体"/>
          <w:sz w:val="24"/>
          <w:highlight w:val="none"/>
        </w:rPr>
      </w:pPr>
    </w:p>
    <w:p>
      <w:pPr>
        <w:pStyle w:val="2"/>
        <w:spacing w:line="600" w:lineRule="exact"/>
        <w:ind w:firstLine="0" w:firstLineChars="0"/>
        <w:rPr>
          <w:rFonts w:ascii="宋体" w:hAnsi="宋体" w:cs="宋体"/>
          <w:sz w:val="24"/>
          <w:highlight w:val="none"/>
        </w:rPr>
      </w:pPr>
    </w:p>
    <w:p>
      <w:pPr>
        <w:pStyle w:val="2"/>
        <w:spacing w:line="600" w:lineRule="exact"/>
        <w:ind w:firstLine="0" w:firstLineChars="0"/>
        <w:rPr>
          <w:rFonts w:ascii="宋体" w:hAnsi="宋体" w:cs="宋体"/>
          <w:sz w:val="24"/>
          <w:highlight w:val="none"/>
        </w:rPr>
      </w:pPr>
    </w:p>
    <w:p>
      <w:pPr>
        <w:pStyle w:val="6"/>
        <w:ind w:firstLine="240"/>
        <w:rPr>
          <w:rFonts w:ascii="宋体" w:hAnsi="宋体" w:cs="宋体"/>
          <w:sz w:val="24"/>
          <w:highlight w:val="none"/>
        </w:rPr>
      </w:pPr>
    </w:p>
    <w:p>
      <w:pPr>
        <w:rPr>
          <w:rFonts w:ascii="宋体" w:hAnsi="宋体" w:cs="宋体"/>
          <w:sz w:val="24"/>
          <w:highlight w:val="none"/>
        </w:rPr>
      </w:pPr>
    </w:p>
    <w:p>
      <w:pPr>
        <w:pStyle w:val="6"/>
        <w:ind w:firstLine="240"/>
        <w:rPr>
          <w:rFonts w:ascii="宋体" w:hAnsi="宋体" w:cs="宋体"/>
          <w:sz w:val="24"/>
          <w:highlight w:val="none"/>
        </w:rPr>
      </w:pPr>
    </w:p>
    <w:p>
      <w:pPr>
        <w:rPr>
          <w:rFonts w:ascii="宋体" w:hAnsi="宋体" w:cs="宋体"/>
          <w:sz w:val="24"/>
          <w:highlight w:val="none"/>
        </w:rPr>
      </w:pPr>
    </w:p>
    <w:p>
      <w:pPr>
        <w:pStyle w:val="6"/>
        <w:ind w:firstLine="240"/>
        <w:rPr>
          <w:rFonts w:ascii="宋体" w:hAnsi="宋体" w:cs="宋体"/>
          <w:sz w:val="24"/>
          <w:highlight w:val="none"/>
        </w:rPr>
      </w:pPr>
    </w:p>
    <w:p>
      <w:pPr>
        <w:rPr>
          <w:rFonts w:ascii="宋体" w:hAnsi="宋体" w:cs="宋体"/>
          <w:sz w:val="24"/>
          <w:highlight w:val="none"/>
        </w:rPr>
      </w:pPr>
    </w:p>
    <w:p>
      <w:pPr>
        <w:pStyle w:val="6"/>
        <w:ind w:firstLine="240"/>
        <w:rPr>
          <w:rFonts w:ascii="宋体" w:hAnsi="宋体" w:cs="宋体"/>
          <w:sz w:val="24"/>
          <w:highlight w:val="none"/>
        </w:rPr>
      </w:pPr>
    </w:p>
    <w:p>
      <w:pPr>
        <w:rPr>
          <w:rFonts w:ascii="宋体" w:hAnsi="宋体" w:cs="宋体"/>
          <w:sz w:val="24"/>
          <w:highlight w:val="none"/>
        </w:rPr>
      </w:pPr>
    </w:p>
    <w:p>
      <w:pPr>
        <w:pStyle w:val="6"/>
        <w:ind w:firstLine="240"/>
        <w:rPr>
          <w:rFonts w:ascii="宋体" w:hAnsi="宋体" w:cs="宋体"/>
          <w:sz w:val="24"/>
          <w:highlight w:val="none"/>
        </w:rPr>
      </w:pPr>
    </w:p>
    <w:p>
      <w:pPr>
        <w:rPr>
          <w:rFonts w:ascii="宋体" w:hAnsi="宋体" w:cs="宋体"/>
          <w:sz w:val="24"/>
          <w:highlight w:val="none"/>
        </w:rPr>
      </w:pPr>
    </w:p>
    <w:p>
      <w:pPr>
        <w:pStyle w:val="6"/>
        <w:ind w:firstLine="240"/>
        <w:rPr>
          <w:rFonts w:ascii="宋体" w:hAnsi="宋体" w:cs="宋体"/>
          <w:sz w:val="24"/>
          <w:highlight w:val="none"/>
        </w:rPr>
      </w:pPr>
    </w:p>
    <w:p>
      <w:pPr>
        <w:rPr>
          <w:rFonts w:ascii="宋体" w:hAnsi="宋体" w:cs="宋体"/>
          <w:sz w:val="24"/>
          <w:highlight w:val="none"/>
        </w:rPr>
      </w:pPr>
    </w:p>
    <w:p>
      <w:pPr>
        <w:pStyle w:val="6"/>
        <w:ind w:firstLine="240"/>
        <w:rPr>
          <w:rFonts w:ascii="宋体" w:hAnsi="宋体" w:cs="宋体"/>
          <w:sz w:val="24"/>
          <w:highlight w:val="none"/>
        </w:rPr>
      </w:pPr>
    </w:p>
    <w:p>
      <w:pPr>
        <w:rPr>
          <w:rFonts w:ascii="宋体" w:hAnsi="宋体" w:cs="宋体"/>
          <w:sz w:val="24"/>
          <w:highlight w:val="none"/>
        </w:rPr>
      </w:pPr>
    </w:p>
    <w:p>
      <w:pPr>
        <w:pStyle w:val="6"/>
        <w:ind w:firstLine="240"/>
        <w:rPr>
          <w:rFonts w:ascii="宋体" w:hAnsi="宋体" w:cs="宋体"/>
          <w:sz w:val="24"/>
          <w:highlight w:val="none"/>
        </w:rPr>
      </w:pPr>
    </w:p>
    <w:p>
      <w:pPr>
        <w:rPr>
          <w:rFonts w:ascii="宋体" w:hAnsi="宋体" w:cs="宋体"/>
          <w:sz w:val="24"/>
          <w:highlight w:val="none"/>
        </w:rPr>
      </w:pPr>
    </w:p>
    <w:p>
      <w:pPr>
        <w:pStyle w:val="6"/>
        <w:ind w:firstLine="240"/>
        <w:rPr>
          <w:rFonts w:ascii="宋体" w:hAnsi="宋体" w:cs="宋体"/>
          <w:sz w:val="24"/>
          <w:highlight w:val="none"/>
        </w:rPr>
      </w:pPr>
    </w:p>
    <w:p>
      <w:pPr>
        <w:rPr>
          <w:highlight w:val="none"/>
        </w:rPr>
      </w:pPr>
    </w:p>
    <w:p>
      <w:pPr>
        <w:pStyle w:val="16"/>
        <w:rPr>
          <w:rFonts w:hint="eastAsia" w:ascii="宋体" w:hAnsi="宋体" w:cs="宋体"/>
          <w:b/>
          <w:kern w:val="0"/>
          <w:sz w:val="32"/>
          <w:szCs w:val="32"/>
          <w:highlight w:val="none"/>
        </w:rPr>
      </w:pPr>
    </w:p>
    <w:p>
      <w:pPr>
        <w:pStyle w:val="16"/>
        <w:rPr>
          <w:rFonts w:hint="eastAsia" w:ascii="宋体" w:hAnsi="宋体" w:cs="宋体"/>
          <w:b/>
          <w:kern w:val="0"/>
          <w:sz w:val="32"/>
          <w:szCs w:val="32"/>
          <w:highlight w:val="none"/>
        </w:rPr>
      </w:pPr>
    </w:p>
    <w:p>
      <w:pPr>
        <w:pStyle w:val="16"/>
        <w:rPr>
          <w:rFonts w:hint="eastAsia" w:ascii="宋体" w:hAnsi="宋体" w:cs="宋体"/>
          <w:b/>
          <w:kern w:val="0"/>
          <w:sz w:val="32"/>
          <w:szCs w:val="32"/>
          <w:highlight w:val="none"/>
        </w:rPr>
      </w:pPr>
    </w:p>
    <w:p>
      <w:pPr>
        <w:widowControl/>
        <w:numPr>
          <w:ilvl w:val="0"/>
          <w:numId w:val="11"/>
        </w:numPr>
        <w:adjustRightInd w:val="0"/>
        <w:spacing w:line="360" w:lineRule="auto"/>
        <w:ind w:left="15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本项目的特定资格要求</w:t>
      </w:r>
    </w:p>
    <w:p>
      <w:pPr>
        <w:pStyle w:val="2"/>
        <w:numPr>
          <w:ilvl w:val="0"/>
          <w:numId w:val="0"/>
        </w:numPr>
        <w:rPr>
          <w:highlight w:val="none"/>
        </w:rPr>
      </w:pPr>
    </w:p>
    <w:p>
      <w:pPr>
        <w:rPr>
          <w:highlight w:val="none"/>
        </w:rPr>
      </w:pPr>
      <w:r>
        <w:rPr>
          <w:rFonts w:hint="eastAsia" w:ascii="宋体" w:hAnsi="宋体" w:cs="宋体"/>
          <w:sz w:val="24"/>
          <w:szCs w:val="24"/>
          <w:highlight w:val="none"/>
        </w:rPr>
        <w:t>（根据招标公告本项目的特定资格要求提供相应的材料）</w:t>
      </w:r>
    </w:p>
    <w:p>
      <w:pPr>
        <w:rPr>
          <w:highlight w:val="none"/>
        </w:rPr>
      </w:pPr>
    </w:p>
    <w:p>
      <w:pPr>
        <w:rPr>
          <w:highlight w:val="none"/>
        </w:rPr>
      </w:pPr>
    </w:p>
    <w:p>
      <w:pPr>
        <w:pStyle w:val="2"/>
        <w:pageBreakBefore/>
        <w:numPr>
          <w:ilvl w:val="0"/>
          <w:numId w:val="12"/>
        </w:numPr>
        <w:spacing w:line="600" w:lineRule="exact"/>
        <w:ind w:firstLine="0" w:firstLineChars="0"/>
        <w:jc w:val="center"/>
        <w:rPr>
          <w:rFonts w:ascii="宋体" w:hAnsi="宋体" w:cs="宋体"/>
          <w:b/>
          <w:bCs/>
          <w:sz w:val="28"/>
          <w:szCs w:val="28"/>
          <w:highlight w:val="none"/>
        </w:rPr>
      </w:pPr>
      <w:r>
        <w:rPr>
          <w:rFonts w:hint="eastAsia" w:ascii="宋体" w:hAnsi="宋体" w:cs="宋体"/>
          <w:b/>
          <w:bCs/>
          <w:sz w:val="28"/>
          <w:szCs w:val="28"/>
          <w:highlight w:val="none"/>
        </w:rPr>
        <w:t>商务技术文件</w:t>
      </w:r>
    </w:p>
    <w:p>
      <w:pPr>
        <w:autoSpaceDE w:val="0"/>
        <w:autoSpaceDN w:val="0"/>
        <w:adjustRightInd w:val="0"/>
        <w:spacing w:line="400" w:lineRule="exact"/>
        <w:jc w:val="center"/>
        <w:rPr>
          <w:rFonts w:hAnsi="宋体"/>
          <w:bCs/>
          <w:sz w:val="30"/>
          <w:szCs w:val="30"/>
          <w:highlight w:val="none"/>
          <w:lang w:val="zh-CN"/>
        </w:rPr>
      </w:pPr>
    </w:p>
    <w:p>
      <w:pPr>
        <w:autoSpaceDE w:val="0"/>
        <w:autoSpaceDN w:val="0"/>
        <w:adjustRightInd w:val="0"/>
        <w:spacing w:line="400" w:lineRule="exact"/>
        <w:jc w:val="center"/>
        <w:rPr>
          <w:rFonts w:hAnsi="宋体"/>
          <w:bCs/>
          <w:sz w:val="30"/>
          <w:szCs w:val="30"/>
          <w:highlight w:val="none"/>
          <w:lang w:val="zh-CN"/>
        </w:rPr>
      </w:pPr>
    </w:p>
    <w:p>
      <w:pPr>
        <w:autoSpaceDE w:val="0"/>
        <w:autoSpaceDN w:val="0"/>
        <w:adjustRightInd w:val="0"/>
        <w:spacing w:line="600" w:lineRule="exact"/>
        <w:rPr>
          <w:rFonts w:hAnsi="宋体"/>
          <w:bCs/>
          <w:sz w:val="30"/>
          <w:szCs w:val="30"/>
          <w:highlight w:val="none"/>
          <w:lang w:val="zh-CN"/>
        </w:rPr>
      </w:pPr>
    </w:p>
    <w:p>
      <w:pPr>
        <w:autoSpaceDE w:val="0"/>
        <w:autoSpaceDN w:val="0"/>
        <w:adjustRightInd w:val="0"/>
        <w:spacing w:line="600" w:lineRule="exact"/>
        <w:rPr>
          <w:rFonts w:hAnsi="宋体"/>
          <w:bCs/>
          <w:sz w:val="30"/>
          <w:szCs w:val="30"/>
          <w:highlight w:val="none"/>
          <w:lang w:val="zh-CN"/>
        </w:rPr>
      </w:pPr>
    </w:p>
    <w:p>
      <w:pPr>
        <w:autoSpaceDE w:val="0"/>
        <w:autoSpaceDN w:val="0"/>
        <w:adjustRightInd w:val="0"/>
        <w:spacing w:line="600" w:lineRule="exact"/>
        <w:jc w:val="center"/>
        <w:rPr>
          <w:rFonts w:hAnsi="宋体"/>
          <w:bCs/>
          <w:sz w:val="52"/>
          <w:szCs w:val="52"/>
          <w:highlight w:val="none"/>
          <w:lang w:val="zh-CN"/>
        </w:rPr>
      </w:pPr>
      <w:r>
        <w:rPr>
          <w:rFonts w:hint="eastAsia" w:hAnsi="宋体"/>
          <w:bCs/>
          <w:sz w:val="52"/>
          <w:szCs w:val="52"/>
          <w:highlight w:val="none"/>
          <w:lang w:val="zh-CN"/>
        </w:rPr>
        <w:t>投标文件</w:t>
      </w:r>
    </w:p>
    <w:p>
      <w:pPr>
        <w:autoSpaceDE w:val="0"/>
        <w:autoSpaceDN w:val="0"/>
        <w:adjustRightInd w:val="0"/>
        <w:spacing w:line="600" w:lineRule="exact"/>
        <w:rPr>
          <w:rFonts w:hAnsi="宋体"/>
          <w:bCs/>
          <w:sz w:val="24"/>
          <w:szCs w:val="24"/>
          <w:highlight w:val="none"/>
          <w:lang w:val="zh-CN"/>
        </w:rPr>
      </w:pPr>
    </w:p>
    <w:p>
      <w:pPr>
        <w:autoSpaceDE w:val="0"/>
        <w:autoSpaceDN w:val="0"/>
        <w:adjustRightInd w:val="0"/>
        <w:spacing w:line="600" w:lineRule="exact"/>
        <w:rPr>
          <w:rFonts w:hAnsi="宋体"/>
          <w:bCs/>
          <w:sz w:val="24"/>
          <w:szCs w:val="24"/>
          <w:highlight w:val="none"/>
          <w:lang w:val="zh-CN"/>
        </w:rPr>
      </w:pPr>
    </w:p>
    <w:p>
      <w:pPr>
        <w:snapToGrid w:val="0"/>
        <w:spacing w:line="600" w:lineRule="exact"/>
        <w:rPr>
          <w:rFonts w:hAnsi="宋体"/>
          <w:sz w:val="24"/>
          <w:szCs w:val="24"/>
          <w:highlight w:val="none"/>
        </w:rPr>
      </w:pPr>
    </w:p>
    <w:p>
      <w:pPr>
        <w:snapToGrid w:val="0"/>
        <w:spacing w:line="600" w:lineRule="exact"/>
        <w:rPr>
          <w:rFonts w:hAnsi="宋体"/>
          <w:sz w:val="24"/>
          <w:szCs w:val="24"/>
          <w:highlight w:val="none"/>
        </w:rPr>
      </w:pPr>
      <w:r>
        <w:rPr>
          <w:rFonts w:hint="eastAsia" w:hAnsi="宋体"/>
          <w:sz w:val="24"/>
          <w:szCs w:val="24"/>
          <w:highlight w:val="none"/>
        </w:rPr>
        <w:t>项目编号：</w:t>
      </w:r>
    </w:p>
    <w:p>
      <w:pPr>
        <w:snapToGrid w:val="0"/>
        <w:spacing w:line="600" w:lineRule="exact"/>
        <w:rPr>
          <w:rFonts w:hAnsi="宋体"/>
          <w:sz w:val="24"/>
          <w:szCs w:val="24"/>
          <w:highlight w:val="none"/>
        </w:rPr>
      </w:pPr>
      <w:r>
        <w:rPr>
          <w:rFonts w:hint="eastAsia" w:hAnsi="宋体"/>
          <w:sz w:val="24"/>
          <w:szCs w:val="24"/>
          <w:highlight w:val="none"/>
        </w:rPr>
        <w:t>项目名称：</w:t>
      </w:r>
    </w:p>
    <w:p>
      <w:pPr>
        <w:snapToGrid w:val="0"/>
        <w:spacing w:line="600" w:lineRule="exact"/>
        <w:rPr>
          <w:rFonts w:hAnsi="宋体"/>
          <w:sz w:val="24"/>
          <w:szCs w:val="24"/>
          <w:highlight w:val="none"/>
        </w:rPr>
      </w:pPr>
      <w:r>
        <w:rPr>
          <w:rFonts w:hint="eastAsia" w:hAnsi="宋体"/>
          <w:sz w:val="24"/>
          <w:szCs w:val="24"/>
          <w:highlight w:val="none"/>
        </w:rPr>
        <w:t>投标文件名称：（商务技术文件）</w:t>
      </w:r>
    </w:p>
    <w:p>
      <w:pPr>
        <w:snapToGrid w:val="0"/>
        <w:spacing w:line="600" w:lineRule="exact"/>
        <w:rPr>
          <w:rFonts w:hAnsi="宋体"/>
          <w:sz w:val="24"/>
          <w:szCs w:val="24"/>
          <w:highlight w:val="none"/>
        </w:rPr>
      </w:pPr>
      <w:r>
        <w:rPr>
          <w:rFonts w:hint="eastAsia" w:hAnsi="宋体"/>
          <w:sz w:val="24"/>
          <w:szCs w:val="24"/>
          <w:highlight w:val="none"/>
        </w:rPr>
        <w:t>投标人名称（盖章或电子签章）：</w:t>
      </w:r>
    </w:p>
    <w:p>
      <w:pPr>
        <w:snapToGrid w:val="0"/>
        <w:spacing w:line="600" w:lineRule="exact"/>
        <w:rPr>
          <w:rFonts w:hAnsi="宋体"/>
          <w:sz w:val="24"/>
          <w:szCs w:val="24"/>
          <w:highlight w:val="none"/>
        </w:rPr>
      </w:pPr>
      <w:r>
        <w:rPr>
          <w:rFonts w:hint="eastAsia" w:hAnsi="宋体"/>
          <w:sz w:val="24"/>
          <w:szCs w:val="24"/>
          <w:highlight w:val="none"/>
        </w:rPr>
        <w:t>法定代表人或其授权代表（签字或盖章或电子签章）：</w:t>
      </w:r>
    </w:p>
    <w:p>
      <w:pPr>
        <w:snapToGrid w:val="0"/>
        <w:spacing w:line="600" w:lineRule="exact"/>
        <w:rPr>
          <w:rFonts w:hAnsi="宋体"/>
          <w:sz w:val="24"/>
          <w:szCs w:val="24"/>
          <w:highlight w:val="none"/>
        </w:rPr>
      </w:pPr>
      <w:r>
        <w:rPr>
          <w:rFonts w:hint="eastAsia" w:hAnsi="宋体"/>
          <w:sz w:val="24"/>
          <w:szCs w:val="24"/>
          <w:highlight w:val="none"/>
        </w:rPr>
        <w:t>投标人地址：</w:t>
      </w:r>
    </w:p>
    <w:p>
      <w:pPr>
        <w:autoSpaceDE w:val="0"/>
        <w:autoSpaceDN w:val="0"/>
        <w:adjustRightInd w:val="0"/>
        <w:spacing w:line="400" w:lineRule="exact"/>
        <w:jc w:val="center"/>
        <w:rPr>
          <w:rFonts w:hAnsi="宋体"/>
          <w:bCs/>
          <w:sz w:val="30"/>
          <w:szCs w:val="30"/>
          <w:highlight w:val="none"/>
          <w:lang w:val="zh-CN"/>
        </w:rPr>
      </w:pPr>
    </w:p>
    <w:p>
      <w:pPr>
        <w:pStyle w:val="7"/>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80" w:lineRule="exact"/>
        <w:jc w:val="center"/>
        <w:rPr>
          <w:b/>
          <w:bCs/>
          <w:sz w:val="32"/>
          <w:szCs w:val="32"/>
          <w:highlight w:val="none"/>
          <w:lang w:val="zh-CN"/>
        </w:rPr>
      </w:pPr>
      <w:r>
        <w:rPr>
          <w:rFonts w:hint="eastAsia"/>
          <w:b/>
          <w:bCs/>
          <w:sz w:val="32"/>
          <w:szCs w:val="32"/>
          <w:highlight w:val="none"/>
          <w:lang w:val="zh-CN"/>
        </w:rPr>
        <w:t>自评表</w:t>
      </w:r>
    </w:p>
    <w:p>
      <w:pPr>
        <w:autoSpaceDE w:val="0"/>
        <w:autoSpaceDN w:val="0"/>
        <w:adjustRightInd w:val="0"/>
        <w:spacing w:line="380" w:lineRule="exact"/>
        <w:jc w:val="center"/>
        <w:rPr>
          <w:b/>
          <w:bCs/>
          <w:sz w:val="32"/>
          <w:szCs w:val="32"/>
          <w:highlight w:val="none"/>
          <w:lang w:val="zh-CN"/>
        </w:rPr>
      </w:pPr>
    </w:p>
    <w:p>
      <w:pPr>
        <w:autoSpaceDE w:val="0"/>
        <w:autoSpaceDN w:val="0"/>
        <w:adjustRightInd w:val="0"/>
        <w:spacing w:line="380" w:lineRule="exact"/>
        <w:jc w:val="left"/>
        <w:rPr>
          <w:rFonts w:hAnsi="宋体" w:cs="宋体"/>
          <w:bCs/>
          <w:szCs w:val="21"/>
          <w:highlight w:val="none"/>
        </w:rPr>
      </w:pPr>
    </w:p>
    <w:p>
      <w:pPr>
        <w:autoSpaceDE w:val="0"/>
        <w:autoSpaceDN w:val="0"/>
        <w:adjustRightInd w:val="0"/>
        <w:spacing w:line="380" w:lineRule="exact"/>
        <w:jc w:val="left"/>
        <w:rPr>
          <w:rFonts w:hAnsi="宋体" w:cs="宋体"/>
          <w:bCs/>
          <w:szCs w:val="21"/>
          <w:highlight w:val="none"/>
        </w:rPr>
      </w:pPr>
      <w:r>
        <w:rPr>
          <w:rFonts w:hint="eastAsia" w:hAnsi="宋体" w:cs="宋体"/>
          <w:bCs/>
          <w:szCs w:val="21"/>
          <w:highlight w:val="none"/>
        </w:rPr>
        <w:t>项目名称：</w:t>
      </w:r>
    </w:p>
    <w:p>
      <w:pPr>
        <w:autoSpaceDE w:val="0"/>
        <w:autoSpaceDN w:val="0"/>
        <w:adjustRightInd w:val="0"/>
        <w:spacing w:line="380" w:lineRule="exact"/>
        <w:jc w:val="center"/>
        <w:rPr>
          <w:b/>
          <w:bCs/>
          <w:sz w:val="32"/>
          <w:szCs w:val="32"/>
          <w:highlight w:val="none"/>
          <w:lang w:val="zh-CN"/>
        </w:rPr>
      </w:pPr>
    </w:p>
    <w:tbl>
      <w:tblPr>
        <w:tblStyle w:val="21"/>
        <w:tblW w:w="8578" w:type="dxa"/>
        <w:tblInd w:w="12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60"/>
        <w:gridCol w:w="3921"/>
        <w:gridCol w:w="1380"/>
        <w:gridCol w:w="15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9" w:hRule="atLeast"/>
        </w:trPr>
        <w:tc>
          <w:tcPr>
            <w:tcW w:w="1760" w:type="dxa"/>
            <w:vAlign w:val="center"/>
          </w:tcPr>
          <w:p>
            <w:pPr>
              <w:jc w:val="center"/>
              <w:rPr>
                <w:b/>
                <w:szCs w:val="21"/>
                <w:highlight w:val="none"/>
              </w:rPr>
            </w:pPr>
            <w:r>
              <w:rPr>
                <w:rFonts w:hint="eastAsia"/>
                <w:b/>
                <w:szCs w:val="21"/>
                <w:highlight w:val="none"/>
              </w:rPr>
              <w:t>评分项目</w:t>
            </w:r>
          </w:p>
        </w:tc>
        <w:tc>
          <w:tcPr>
            <w:tcW w:w="3921" w:type="dxa"/>
            <w:vAlign w:val="center"/>
          </w:tcPr>
          <w:p>
            <w:pPr>
              <w:jc w:val="center"/>
              <w:rPr>
                <w:b/>
                <w:szCs w:val="21"/>
                <w:highlight w:val="none"/>
              </w:rPr>
            </w:pPr>
            <w:r>
              <w:rPr>
                <w:rFonts w:hint="eastAsia"/>
                <w:b/>
                <w:szCs w:val="21"/>
                <w:highlight w:val="none"/>
              </w:rPr>
              <w:t>评标要求</w:t>
            </w:r>
          </w:p>
        </w:tc>
        <w:tc>
          <w:tcPr>
            <w:tcW w:w="1380" w:type="dxa"/>
            <w:vAlign w:val="center"/>
          </w:tcPr>
          <w:p>
            <w:pPr>
              <w:jc w:val="center"/>
              <w:rPr>
                <w:b/>
                <w:szCs w:val="21"/>
                <w:highlight w:val="none"/>
              </w:rPr>
            </w:pPr>
            <w:r>
              <w:rPr>
                <w:rFonts w:hint="eastAsia"/>
                <w:b/>
                <w:szCs w:val="21"/>
                <w:highlight w:val="none"/>
              </w:rPr>
              <w:t>分值</w:t>
            </w:r>
          </w:p>
        </w:tc>
        <w:tc>
          <w:tcPr>
            <w:tcW w:w="1517" w:type="dxa"/>
            <w:vAlign w:val="center"/>
          </w:tcPr>
          <w:p>
            <w:pPr>
              <w:jc w:val="center"/>
              <w:rPr>
                <w:b/>
                <w:szCs w:val="21"/>
                <w:highlight w:val="none"/>
              </w:rPr>
            </w:pPr>
            <w:r>
              <w:rPr>
                <w:rFonts w:hint="eastAsia"/>
                <w:b/>
                <w:szCs w:val="21"/>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21" w:hRule="atLeast"/>
        </w:trPr>
        <w:tc>
          <w:tcPr>
            <w:tcW w:w="1760" w:type="dxa"/>
            <w:vAlign w:val="center"/>
          </w:tcPr>
          <w:p>
            <w:pPr>
              <w:spacing w:line="360" w:lineRule="exact"/>
              <w:jc w:val="center"/>
              <w:rPr>
                <w:rFonts w:hAnsi="宋体"/>
                <w:szCs w:val="21"/>
                <w:highlight w:val="none"/>
              </w:rPr>
            </w:pPr>
          </w:p>
        </w:tc>
        <w:tc>
          <w:tcPr>
            <w:tcW w:w="3921" w:type="dxa"/>
            <w:vAlign w:val="center"/>
          </w:tcPr>
          <w:p>
            <w:pPr>
              <w:adjustRightInd w:val="0"/>
              <w:snapToGrid w:val="0"/>
              <w:spacing w:line="360" w:lineRule="exact"/>
              <w:ind w:left="210" w:hanging="210" w:hangingChars="100"/>
              <w:rPr>
                <w:rFonts w:hAnsi="宋体" w:cs="宋体"/>
                <w:bCs/>
                <w:szCs w:val="21"/>
                <w:highlight w:val="none"/>
              </w:rPr>
            </w:pPr>
          </w:p>
        </w:tc>
        <w:tc>
          <w:tcPr>
            <w:tcW w:w="1380" w:type="dxa"/>
            <w:vAlign w:val="center"/>
          </w:tcPr>
          <w:p>
            <w:pPr>
              <w:adjustRightInd w:val="0"/>
              <w:snapToGrid w:val="0"/>
              <w:jc w:val="center"/>
              <w:rPr>
                <w:rFonts w:hAnsi="宋体" w:cs="宋体"/>
                <w:bCs/>
                <w:szCs w:val="21"/>
                <w:highlight w:val="none"/>
              </w:rPr>
            </w:pPr>
          </w:p>
        </w:tc>
        <w:tc>
          <w:tcPr>
            <w:tcW w:w="1517" w:type="dxa"/>
            <w:vAlign w:val="center"/>
          </w:tcPr>
          <w:p>
            <w:pPr>
              <w:spacing w:line="360" w:lineRule="exact"/>
              <w:jc w:val="left"/>
              <w:rPr>
                <w:rFonts w:hAnsi="宋体"/>
                <w:szCs w:val="21"/>
                <w:highlight w:val="none"/>
                <w:u w:val="doubl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11" w:hRule="atLeast"/>
        </w:trPr>
        <w:tc>
          <w:tcPr>
            <w:tcW w:w="1760" w:type="dxa"/>
            <w:vAlign w:val="center"/>
          </w:tcPr>
          <w:p>
            <w:pPr>
              <w:spacing w:line="360" w:lineRule="exact"/>
              <w:jc w:val="center"/>
              <w:rPr>
                <w:rFonts w:hAnsi="宋体"/>
                <w:szCs w:val="21"/>
                <w:highlight w:val="none"/>
              </w:rPr>
            </w:pPr>
          </w:p>
        </w:tc>
        <w:tc>
          <w:tcPr>
            <w:tcW w:w="3921" w:type="dxa"/>
            <w:vAlign w:val="center"/>
          </w:tcPr>
          <w:p>
            <w:pPr>
              <w:adjustRightInd w:val="0"/>
              <w:snapToGrid w:val="0"/>
              <w:spacing w:line="360" w:lineRule="exact"/>
              <w:rPr>
                <w:rFonts w:hAnsi="宋体" w:cs="宋体"/>
                <w:bCs/>
                <w:szCs w:val="21"/>
                <w:highlight w:val="none"/>
              </w:rPr>
            </w:pPr>
          </w:p>
        </w:tc>
        <w:tc>
          <w:tcPr>
            <w:tcW w:w="1380" w:type="dxa"/>
            <w:vAlign w:val="center"/>
          </w:tcPr>
          <w:p>
            <w:pPr>
              <w:adjustRightInd w:val="0"/>
              <w:snapToGrid w:val="0"/>
              <w:jc w:val="center"/>
              <w:rPr>
                <w:rFonts w:hAnsi="宋体" w:cs="宋体"/>
                <w:bCs/>
                <w:szCs w:val="21"/>
                <w:highlight w:val="none"/>
              </w:rPr>
            </w:pPr>
          </w:p>
        </w:tc>
        <w:tc>
          <w:tcPr>
            <w:tcW w:w="1517" w:type="dxa"/>
            <w:vAlign w:val="center"/>
          </w:tcPr>
          <w:p>
            <w:pPr>
              <w:spacing w:line="360" w:lineRule="exact"/>
              <w:jc w:val="left"/>
              <w:rPr>
                <w:rFonts w:hAnsi="宋体"/>
                <w:szCs w:val="21"/>
                <w:highlight w:val="none"/>
                <w:u w:val="doubl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94" w:hRule="atLeast"/>
        </w:trPr>
        <w:tc>
          <w:tcPr>
            <w:tcW w:w="1760" w:type="dxa"/>
            <w:vAlign w:val="center"/>
          </w:tcPr>
          <w:p>
            <w:pPr>
              <w:spacing w:line="360" w:lineRule="exact"/>
              <w:rPr>
                <w:rFonts w:hAnsi="宋体"/>
                <w:szCs w:val="21"/>
                <w:highlight w:val="none"/>
                <w:shd w:val="clear" w:color="auto" w:fill="D9D9D9"/>
              </w:rPr>
            </w:pPr>
          </w:p>
        </w:tc>
        <w:tc>
          <w:tcPr>
            <w:tcW w:w="3921" w:type="dxa"/>
            <w:vAlign w:val="center"/>
          </w:tcPr>
          <w:p>
            <w:pPr>
              <w:adjustRightInd w:val="0"/>
              <w:snapToGrid w:val="0"/>
              <w:spacing w:line="360" w:lineRule="exact"/>
              <w:textAlignment w:val="baseline"/>
              <w:rPr>
                <w:rFonts w:hAnsi="宋体" w:cs="宋体"/>
                <w:bCs/>
                <w:szCs w:val="21"/>
                <w:highlight w:val="none"/>
              </w:rPr>
            </w:pPr>
          </w:p>
        </w:tc>
        <w:tc>
          <w:tcPr>
            <w:tcW w:w="1380" w:type="dxa"/>
            <w:vAlign w:val="center"/>
          </w:tcPr>
          <w:p>
            <w:pPr>
              <w:adjustRightInd w:val="0"/>
              <w:snapToGrid w:val="0"/>
              <w:jc w:val="center"/>
              <w:textAlignment w:val="baseline"/>
              <w:rPr>
                <w:rFonts w:hAnsi="宋体" w:cs="宋体"/>
                <w:bCs/>
                <w:szCs w:val="21"/>
                <w:highlight w:val="none"/>
              </w:rPr>
            </w:pPr>
          </w:p>
        </w:tc>
        <w:tc>
          <w:tcPr>
            <w:tcW w:w="1517" w:type="dxa"/>
            <w:vAlign w:val="center"/>
          </w:tcPr>
          <w:p>
            <w:pPr>
              <w:spacing w:line="360" w:lineRule="exact"/>
              <w:jc w:val="left"/>
              <w:rPr>
                <w:rFonts w:hAnsi="宋体"/>
                <w:szCs w:val="21"/>
                <w:highlight w:val="none"/>
              </w:rPr>
            </w:pPr>
          </w:p>
        </w:tc>
      </w:tr>
    </w:tbl>
    <w:p>
      <w:pPr>
        <w:autoSpaceDE w:val="0"/>
        <w:autoSpaceDN w:val="0"/>
        <w:adjustRightInd w:val="0"/>
        <w:spacing w:line="400" w:lineRule="exact"/>
        <w:rPr>
          <w:rFonts w:hAnsi="宋体"/>
          <w:b/>
          <w:sz w:val="24"/>
          <w:highlight w:val="none"/>
        </w:rPr>
      </w:pPr>
      <w:r>
        <w:rPr>
          <w:rFonts w:hAnsi="宋体"/>
          <w:b/>
          <w:sz w:val="24"/>
          <w:highlight w:val="none"/>
        </w:rPr>
        <w:t>注：按招标文件评标办法（客观分）评分项列入。</w:t>
      </w:r>
    </w:p>
    <w:p>
      <w:pPr>
        <w:autoSpaceDE w:val="0"/>
        <w:autoSpaceDN w:val="0"/>
        <w:adjustRightInd w:val="0"/>
        <w:spacing w:line="380" w:lineRule="exact"/>
        <w:rPr>
          <w:b/>
          <w:bCs/>
          <w:sz w:val="32"/>
          <w:szCs w:val="32"/>
          <w:highlight w:val="none"/>
        </w:rPr>
      </w:pPr>
    </w:p>
    <w:p>
      <w:pPr>
        <w:autoSpaceDE w:val="0"/>
        <w:autoSpaceDN w:val="0"/>
        <w:adjustRightInd w:val="0"/>
        <w:spacing w:line="400" w:lineRule="exact"/>
        <w:rPr>
          <w:rFonts w:hAnsi="宋体"/>
          <w:sz w:val="24"/>
          <w:szCs w:val="24"/>
          <w:highlight w:val="none"/>
          <w:u w:val="single"/>
        </w:rPr>
      </w:pPr>
      <w:r>
        <w:rPr>
          <w:rFonts w:hint="eastAsia" w:hAnsi="宋体"/>
          <w:sz w:val="24"/>
          <w:highlight w:val="none"/>
        </w:rPr>
        <w:t>投标人全称（盖章或电子签章）：</w:t>
      </w:r>
    </w:p>
    <w:p>
      <w:pPr>
        <w:snapToGrid w:val="0"/>
        <w:spacing w:line="400" w:lineRule="exact"/>
        <w:rPr>
          <w:rFonts w:hAnsi="宋体"/>
          <w:sz w:val="24"/>
          <w:szCs w:val="24"/>
          <w:highlight w:val="none"/>
        </w:rPr>
      </w:pPr>
      <w:r>
        <w:rPr>
          <w:rFonts w:hint="eastAsia" w:hAnsi="宋体"/>
          <w:sz w:val="24"/>
          <w:szCs w:val="24"/>
          <w:highlight w:val="none"/>
        </w:rPr>
        <w:t>法定代表人或其授权代表（签字或盖章或电子签章）：</w:t>
      </w:r>
    </w:p>
    <w:p>
      <w:pPr>
        <w:adjustRightInd w:val="0"/>
        <w:spacing w:line="500" w:lineRule="exact"/>
        <w:textAlignment w:val="baseline"/>
        <w:rPr>
          <w:rFonts w:hAnsi="宋体"/>
          <w:sz w:val="24"/>
          <w:highlight w:val="none"/>
        </w:rPr>
      </w:pPr>
      <w:r>
        <w:rPr>
          <w:rFonts w:hint="eastAsia" w:hAnsi="宋体"/>
          <w:sz w:val="24"/>
          <w:highlight w:val="none"/>
        </w:rPr>
        <w:t xml:space="preserve">日    期：    </w:t>
      </w:r>
    </w:p>
    <w:p>
      <w:pPr>
        <w:autoSpaceDE w:val="0"/>
        <w:autoSpaceDN w:val="0"/>
        <w:adjustRightInd w:val="0"/>
        <w:spacing w:line="380" w:lineRule="exact"/>
        <w:rPr>
          <w:b/>
          <w:bCs/>
          <w:sz w:val="32"/>
          <w:szCs w:val="32"/>
          <w:highlight w:val="none"/>
        </w:rPr>
      </w:pPr>
    </w:p>
    <w:p>
      <w:pPr>
        <w:spacing w:line="600" w:lineRule="exact"/>
        <w:jc w:val="center"/>
        <w:rPr>
          <w:rFonts w:ascii="宋体" w:hAnsi="宋体" w:cs="宋体"/>
          <w:b/>
          <w:bCs/>
          <w:sz w:val="28"/>
          <w:szCs w:val="28"/>
          <w:highlight w:val="none"/>
        </w:rPr>
      </w:pPr>
    </w:p>
    <w:p>
      <w:pPr>
        <w:spacing w:line="600" w:lineRule="exact"/>
        <w:jc w:val="center"/>
        <w:rPr>
          <w:rFonts w:ascii="宋体" w:hAnsi="宋体" w:cs="宋体"/>
          <w:b/>
          <w:bCs/>
          <w:sz w:val="28"/>
          <w:szCs w:val="28"/>
          <w:highlight w:val="none"/>
        </w:rPr>
      </w:pPr>
    </w:p>
    <w:p>
      <w:pPr>
        <w:spacing w:line="600" w:lineRule="exact"/>
        <w:jc w:val="center"/>
        <w:rPr>
          <w:rFonts w:ascii="宋体" w:hAnsi="宋体" w:cs="宋体"/>
          <w:b/>
          <w:bCs/>
          <w:sz w:val="28"/>
          <w:szCs w:val="28"/>
          <w:highlight w:val="none"/>
        </w:rPr>
      </w:pPr>
    </w:p>
    <w:p>
      <w:pPr>
        <w:spacing w:line="600" w:lineRule="exact"/>
        <w:jc w:val="center"/>
        <w:rPr>
          <w:rFonts w:ascii="宋体" w:hAnsi="宋体" w:cs="宋体"/>
          <w:b/>
          <w:bCs/>
          <w:sz w:val="28"/>
          <w:szCs w:val="28"/>
          <w:highlight w:val="none"/>
        </w:rPr>
      </w:pPr>
    </w:p>
    <w:p>
      <w:pPr>
        <w:spacing w:line="600" w:lineRule="exact"/>
        <w:jc w:val="center"/>
        <w:rPr>
          <w:rFonts w:ascii="宋体" w:hAnsi="宋体" w:cs="宋体"/>
          <w:b/>
          <w:bCs/>
          <w:sz w:val="28"/>
          <w:szCs w:val="28"/>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偏离表</w:t>
      </w:r>
    </w:p>
    <w:p>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color w:val="auto"/>
          <w:sz w:val="24"/>
          <w:szCs w:val="24"/>
          <w:highlight w:val="none"/>
        </w:rPr>
      </w:pPr>
    </w:p>
    <w:tbl>
      <w:tblPr>
        <w:tblStyle w:val="21"/>
        <w:tblW w:w="8776"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294"/>
        <w:gridCol w:w="1988"/>
        <w:gridCol w:w="1964"/>
        <w:gridCol w:w="135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6"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类别</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招标要求</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投标响应</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是否偏离</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6"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29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19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9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6"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29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9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9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6"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29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9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9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6"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29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19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9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6"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294" w:type="dxa"/>
            <w:vMerge w:val="continue"/>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9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9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294"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9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9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bl>
    <w:p>
      <w:pPr>
        <w:keepNext w:val="0"/>
        <w:keepLines w:val="0"/>
        <w:pageBreakBefore w:val="0"/>
        <w:widowControl w:val="0"/>
        <w:kinsoku/>
        <w:wordWrap/>
        <w:overflowPunct/>
        <w:topLinePunct w:val="0"/>
        <w:bidi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对采购文件有任何偏离（包括正偏离及负偏离）均应汇总并填写在此表中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若不填写或只填写“无”视作完全响应采购文件的要求。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2、此表可在不改变格式的情况下自行制作。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不填写此表视作完全响应本采购文件要求。</w:t>
      </w:r>
    </w:p>
    <w:p>
      <w:pPr>
        <w:keepNext w:val="0"/>
        <w:keepLines w:val="0"/>
        <w:pageBreakBefore w:val="0"/>
        <w:widowControl w:val="0"/>
        <w:kinsoku/>
        <w:wordWrap/>
        <w:overflowPunct/>
        <w:topLinePunct w:val="0"/>
        <w:bidi w:val="0"/>
        <w:snapToGrid/>
        <w:spacing w:line="60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供应商名称（盖章或电子签章）</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法定代表人或其授权代表（签字或盖章或电子签章）：</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2"/>
        <w:rPr>
          <w:rFonts w:hint="eastAsia" w:ascii="宋体" w:hAnsi="宋体" w:eastAsia="宋体" w:cs="宋体"/>
          <w:color w:val="auto"/>
          <w:sz w:val="24"/>
          <w:szCs w:val="24"/>
          <w:highlight w:val="none"/>
          <w:u w:val="single"/>
        </w:rPr>
      </w:pPr>
    </w:p>
    <w:p>
      <w:pPr>
        <w:pStyle w:val="7"/>
        <w:rPr>
          <w:rFonts w:hint="eastAsia" w:ascii="宋体" w:hAnsi="宋体" w:eastAsia="宋体" w:cs="宋体"/>
          <w:color w:val="auto"/>
          <w:sz w:val="24"/>
          <w:szCs w:val="24"/>
          <w:highlight w:val="none"/>
          <w:u w:val="single"/>
        </w:rPr>
      </w:pPr>
    </w:p>
    <w:p>
      <w:pPr>
        <w:pStyle w:val="6"/>
        <w:rPr>
          <w:rFonts w:hint="eastAsia" w:ascii="宋体" w:hAnsi="宋体" w:eastAsia="宋体" w:cs="宋体"/>
          <w:color w:val="auto"/>
          <w:sz w:val="24"/>
          <w:szCs w:val="24"/>
          <w:highlight w:val="none"/>
          <w:u w:val="single"/>
        </w:rPr>
      </w:pPr>
    </w:p>
    <w:p>
      <w:pPr>
        <w:rPr>
          <w:rFonts w:hint="eastAsia"/>
          <w:highlight w:val="none"/>
        </w:rPr>
      </w:pPr>
    </w:p>
    <w:p>
      <w:pPr>
        <w:spacing w:line="600" w:lineRule="exact"/>
        <w:jc w:val="center"/>
        <w:rPr>
          <w:rFonts w:ascii="宋体" w:hAnsi="宋体" w:cs="宋体"/>
          <w:b/>
          <w:bCs/>
          <w:sz w:val="28"/>
          <w:szCs w:val="28"/>
          <w:highlight w:val="none"/>
        </w:rPr>
      </w:pPr>
      <w:r>
        <w:rPr>
          <w:rFonts w:hint="eastAsia" w:ascii="宋体" w:hAnsi="宋体" w:cs="宋体"/>
          <w:b/>
          <w:bCs/>
          <w:sz w:val="28"/>
          <w:szCs w:val="28"/>
          <w:highlight w:val="none"/>
        </w:rPr>
        <w:t>投 标 函</w:t>
      </w:r>
    </w:p>
    <w:p>
      <w:pPr>
        <w:pStyle w:val="2"/>
        <w:spacing w:line="600" w:lineRule="exact"/>
        <w:ind w:firstLine="0" w:firstLineChars="0"/>
        <w:rPr>
          <w:rFonts w:ascii="宋体" w:hAnsi="宋体" w:cs="宋体"/>
          <w:kern w:val="0"/>
          <w:sz w:val="24"/>
          <w:highlight w:val="none"/>
          <w:u w:val="single"/>
          <w:lang w:bidi="ar"/>
        </w:rPr>
      </w:pPr>
      <w:r>
        <w:rPr>
          <w:rFonts w:hint="eastAsia" w:ascii="宋体" w:hAnsi="宋体" w:cs="宋体"/>
          <w:kern w:val="0"/>
          <w:sz w:val="24"/>
          <w:highlight w:val="none"/>
          <w:u w:val="single"/>
          <w:lang w:bidi="ar"/>
        </w:rPr>
        <w:t xml:space="preserve">          （采购人）：</w:t>
      </w:r>
    </w:p>
    <w:p>
      <w:pPr>
        <w:spacing w:line="420" w:lineRule="exact"/>
        <w:ind w:firstLine="456" w:firstLineChars="190"/>
        <w:rPr>
          <w:rFonts w:ascii="宋体" w:hAnsi="宋体" w:cs="宋体"/>
          <w:kern w:val="0"/>
          <w:sz w:val="24"/>
          <w:szCs w:val="24"/>
          <w:highlight w:val="none"/>
          <w:u w:val="single"/>
          <w:lang w:bidi="ar"/>
        </w:rPr>
      </w:pPr>
      <w:r>
        <w:rPr>
          <w:rFonts w:hint="eastAsia" w:ascii="宋体" w:hAnsi="宋体" w:cs="宋体"/>
          <w:kern w:val="0"/>
          <w:sz w:val="24"/>
          <w:szCs w:val="24"/>
          <w:highlight w:val="none"/>
          <w:u w:val="single"/>
          <w:lang w:bidi="ar"/>
        </w:rPr>
        <w:t xml:space="preserve">           （采购代理机构）：</w:t>
      </w:r>
    </w:p>
    <w:p>
      <w:pPr>
        <w:spacing w:line="420" w:lineRule="exact"/>
        <w:ind w:firstLine="456" w:firstLineChars="190"/>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项目（采购编号：</w:t>
      </w:r>
      <w:r>
        <w:rPr>
          <w:rFonts w:hint="eastAsia" w:ascii="宋体" w:hAnsi="宋体" w:cs="宋体"/>
          <w:b/>
          <w:sz w:val="24"/>
          <w:highlight w:val="none"/>
          <w:u w:val="single"/>
        </w:rPr>
        <w:t xml:space="preserve">               </w:t>
      </w:r>
      <w:r>
        <w:rPr>
          <w:rFonts w:hint="eastAsia" w:ascii="宋体" w:hAnsi="宋体" w:cs="宋体"/>
          <w:b/>
          <w:sz w:val="24"/>
          <w:highlight w:val="none"/>
        </w:rPr>
        <w:t xml:space="preserve"> </w:t>
      </w:r>
      <w:r>
        <w:rPr>
          <w:rFonts w:hint="eastAsia" w:ascii="宋体" w:hAnsi="宋体" w:cs="宋体"/>
          <w:sz w:val="24"/>
          <w:highlight w:val="none"/>
        </w:rPr>
        <w:t>）的采购文件，我方作为供应商正式授权</w:t>
      </w:r>
      <w:r>
        <w:rPr>
          <w:rFonts w:hint="eastAsia" w:ascii="宋体" w:hAnsi="宋体" w:cs="宋体"/>
          <w:sz w:val="24"/>
          <w:highlight w:val="none"/>
          <w:u w:val="single"/>
        </w:rPr>
        <w:t xml:space="preserve">　           </w:t>
      </w:r>
      <w:r>
        <w:rPr>
          <w:rFonts w:hint="eastAsia" w:ascii="宋体" w:hAnsi="宋体" w:cs="宋体"/>
          <w:sz w:val="24"/>
          <w:highlight w:val="none"/>
        </w:rPr>
        <w:t>（授权代表全名，职务）代表我方处理有关本项目公开招标的一切事宜。为此：</w:t>
      </w:r>
    </w:p>
    <w:p>
      <w:pPr>
        <w:numPr>
          <w:ilvl w:val="0"/>
          <w:numId w:val="13"/>
        </w:numPr>
        <w:spacing w:line="420" w:lineRule="exact"/>
        <w:ind w:firstLine="456" w:firstLineChars="190"/>
        <w:rPr>
          <w:rFonts w:ascii="宋体" w:hAnsi="宋体" w:cs="宋体"/>
          <w:sz w:val="24"/>
          <w:szCs w:val="24"/>
          <w:highlight w:val="none"/>
        </w:rPr>
      </w:pPr>
      <w:r>
        <w:rPr>
          <w:rFonts w:hint="eastAsia" w:ascii="宋体" w:hAnsi="宋体" w:cs="宋体"/>
          <w:sz w:val="24"/>
          <w:szCs w:val="24"/>
          <w:highlight w:val="none"/>
        </w:rPr>
        <w:t>我方承诺投标有效期从提交投标文件的截止之日起</w:t>
      </w:r>
      <w:r>
        <w:rPr>
          <w:rFonts w:hint="eastAsia" w:ascii="宋体" w:hAnsi="宋体" w:cs="宋体"/>
          <w:sz w:val="24"/>
          <w:szCs w:val="24"/>
          <w:highlight w:val="none"/>
          <w:u w:val="single"/>
        </w:rPr>
        <w:t xml:space="preserve">     </w:t>
      </w:r>
      <w:r>
        <w:rPr>
          <w:rFonts w:hint="eastAsia" w:ascii="宋体" w:hAnsi="宋体" w:cs="宋体"/>
          <w:sz w:val="24"/>
          <w:szCs w:val="24"/>
          <w:highlight w:val="none"/>
        </w:rPr>
        <w:t>天，（不少于90天），本投标文件在投标有效期满之前均具有约束力。</w:t>
      </w:r>
    </w:p>
    <w:p>
      <w:pPr>
        <w:numPr>
          <w:ilvl w:val="0"/>
          <w:numId w:val="13"/>
        </w:numPr>
        <w:spacing w:line="420" w:lineRule="exact"/>
        <w:ind w:firstLine="456" w:firstLineChars="190"/>
        <w:rPr>
          <w:rFonts w:ascii="宋体" w:hAnsi="宋体" w:cs="宋体"/>
          <w:sz w:val="24"/>
          <w:szCs w:val="24"/>
          <w:highlight w:val="none"/>
        </w:rPr>
      </w:pPr>
      <w:r>
        <w:rPr>
          <w:rFonts w:hint="eastAsia" w:ascii="宋体" w:hAnsi="宋体" w:cs="宋体"/>
          <w:sz w:val="24"/>
          <w:szCs w:val="24"/>
          <w:highlight w:val="none"/>
        </w:rPr>
        <w:t>提供采购文件中规定的全部投标文件。</w:t>
      </w:r>
    </w:p>
    <w:p>
      <w:pPr>
        <w:numPr>
          <w:ilvl w:val="0"/>
          <w:numId w:val="13"/>
        </w:numPr>
        <w:spacing w:line="420" w:lineRule="exact"/>
        <w:ind w:firstLine="456" w:firstLineChars="190"/>
        <w:rPr>
          <w:rFonts w:ascii="宋体" w:hAnsi="宋体" w:cs="宋体"/>
          <w:sz w:val="24"/>
          <w:szCs w:val="24"/>
          <w:highlight w:val="none"/>
        </w:rPr>
      </w:pPr>
      <w:r>
        <w:rPr>
          <w:rFonts w:hint="eastAsia" w:ascii="宋体" w:hAnsi="宋体" w:cs="宋体"/>
          <w:sz w:val="24"/>
          <w:szCs w:val="24"/>
          <w:highlight w:val="none"/>
        </w:rPr>
        <w:t>我方承诺除投标文件列出的偏离外，我方响应采购文件的全部要求。</w:t>
      </w:r>
    </w:p>
    <w:p>
      <w:pPr>
        <w:numPr>
          <w:ilvl w:val="0"/>
          <w:numId w:val="13"/>
        </w:numPr>
        <w:spacing w:line="420" w:lineRule="exact"/>
        <w:ind w:firstLine="456" w:firstLineChars="190"/>
        <w:rPr>
          <w:rFonts w:ascii="宋体" w:hAnsi="宋体" w:cs="宋体"/>
          <w:sz w:val="24"/>
          <w:szCs w:val="24"/>
          <w:highlight w:val="none"/>
        </w:rPr>
      </w:pPr>
      <w:r>
        <w:rPr>
          <w:rFonts w:hint="eastAsia" w:ascii="宋体" w:hAnsi="宋体" w:cs="宋体"/>
          <w:sz w:val="24"/>
          <w:szCs w:val="24"/>
          <w:highlight w:val="none"/>
        </w:rPr>
        <w:t>保证遵守采购文件中的其他有关规定。</w:t>
      </w:r>
    </w:p>
    <w:p>
      <w:pPr>
        <w:numPr>
          <w:ilvl w:val="0"/>
          <w:numId w:val="13"/>
        </w:numPr>
        <w:spacing w:line="420" w:lineRule="exact"/>
        <w:ind w:firstLine="456" w:firstLineChars="190"/>
        <w:rPr>
          <w:rFonts w:ascii="宋体" w:hAnsi="宋体" w:cs="宋体"/>
          <w:sz w:val="24"/>
          <w:szCs w:val="24"/>
          <w:highlight w:val="none"/>
        </w:rPr>
      </w:pPr>
      <w:r>
        <w:rPr>
          <w:rFonts w:hint="eastAsia" w:ascii="宋体" w:hAnsi="宋体" w:cs="宋体"/>
          <w:sz w:val="24"/>
          <w:szCs w:val="24"/>
          <w:highlight w:val="none"/>
        </w:rPr>
        <w:t>我方愿意向贵方提供任何与该项目响应有关的数据、情况和技术资料。若贵方需要，我方愿意提供我方作出的一切承诺的证明材料。</w:t>
      </w:r>
    </w:p>
    <w:p>
      <w:pPr>
        <w:numPr>
          <w:ilvl w:val="0"/>
          <w:numId w:val="13"/>
        </w:numPr>
        <w:spacing w:line="420" w:lineRule="exact"/>
        <w:ind w:firstLine="456" w:firstLineChars="190"/>
        <w:rPr>
          <w:rFonts w:ascii="宋体" w:hAnsi="宋体" w:cs="宋体"/>
          <w:sz w:val="24"/>
          <w:szCs w:val="24"/>
          <w:highlight w:val="none"/>
        </w:rPr>
      </w:pPr>
      <w:r>
        <w:rPr>
          <w:rFonts w:hint="eastAsia" w:ascii="宋体" w:hAnsi="宋体" w:cs="宋体"/>
          <w:sz w:val="24"/>
          <w:szCs w:val="24"/>
          <w:highlight w:val="none"/>
        </w:rPr>
        <w:t>我方已详细阅读全部采购文件，包括采购文件“更正（延期）公告”（如果有）、参考资料及有关附件，确认无误。</w:t>
      </w:r>
    </w:p>
    <w:p>
      <w:pPr>
        <w:numPr>
          <w:ilvl w:val="0"/>
          <w:numId w:val="13"/>
        </w:numPr>
        <w:spacing w:line="420" w:lineRule="exact"/>
        <w:ind w:firstLine="456" w:firstLineChars="190"/>
        <w:rPr>
          <w:rFonts w:ascii="宋体" w:hAnsi="宋体" w:cs="宋体"/>
          <w:sz w:val="24"/>
          <w:szCs w:val="24"/>
          <w:highlight w:val="none"/>
        </w:rPr>
      </w:pPr>
      <w:r>
        <w:rPr>
          <w:rFonts w:hint="eastAsia" w:ascii="宋体" w:hAnsi="宋体" w:cs="宋体"/>
          <w:sz w:val="24"/>
          <w:szCs w:val="24"/>
          <w:highlight w:val="none"/>
        </w:rPr>
        <w:t>如我方中标，我方承诺：</w:t>
      </w:r>
    </w:p>
    <w:p>
      <w:pPr>
        <w:spacing w:line="420" w:lineRule="exact"/>
        <w:ind w:firstLine="480" w:firstLineChars="200"/>
        <w:rPr>
          <w:rFonts w:ascii="宋体" w:hAnsi="宋体" w:cs="宋体"/>
          <w:sz w:val="24"/>
          <w:szCs w:val="24"/>
          <w:highlight w:val="none"/>
        </w:rPr>
      </w:pPr>
      <w:r>
        <w:rPr>
          <w:rFonts w:hint="eastAsia" w:ascii="宋体" w:hAnsi="宋体" w:cs="宋体"/>
          <w:sz w:val="24"/>
          <w:szCs w:val="24"/>
          <w:highlight w:val="none"/>
        </w:rPr>
        <w:t>7.1、在收到中标通知书后，在中标通知书规定的期限内与你方签订合同；</w:t>
      </w:r>
    </w:p>
    <w:p>
      <w:pPr>
        <w:spacing w:line="420" w:lineRule="exact"/>
        <w:ind w:firstLine="480" w:firstLineChars="200"/>
        <w:rPr>
          <w:rFonts w:ascii="宋体" w:hAnsi="宋体" w:cs="宋体"/>
          <w:sz w:val="24"/>
          <w:szCs w:val="24"/>
          <w:highlight w:val="none"/>
        </w:rPr>
      </w:pPr>
      <w:r>
        <w:rPr>
          <w:rFonts w:hint="eastAsia" w:ascii="宋体" w:hAnsi="宋体" w:cs="宋体"/>
          <w:sz w:val="24"/>
          <w:szCs w:val="24"/>
          <w:highlight w:val="none"/>
        </w:rPr>
        <w:t>7.2、在签订合同时不向你方提出附加条件；</w:t>
      </w:r>
    </w:p>
    <w:p>
      <w:pPr>
        <w:spacing w:line="420" w:lineRule="exact"/>
        <w:ind w:firstLine="480" w:firstLineChars="200"/>
        <w:rPr>
          <w:rFonts w:ascii="宋体" w:hAnsi="宋体" w:cs="宋体"/>
          <w:sz w:val="24"/>
          <w:szCs w:val="24"/>
          <w:highlight w:val="none"/>
        </w:rPr>
      </w:pPr>
      <w:r>
        <w:rPr>
          <w:rFonts w:hint="eastAsia" w:ascii="宋体" w:hAnsi="宋体" w:cs="宋体"/>
          <w:sz w:val="24"/>
          <w:szCs w:val="24"/>
          <w:highlight w:val="none"/>
        </w:rPr>
        <w:t>7.3、按照采购文件要求提交履约保证金；</w:t>
      </w:r>
    </w:p>
    <w:p>
      <w:pPr>
        <w:spacing w:line="420" w:lineRule="exact"/>
        <w:ind w:firstLine="480" w:firstLineChars="200"/>
        <w:rPr>
          <w:rFonts w:ascii="宋体" w:hAnsi="宋体" w:cs="宋体"/>
          <w:sz w:val="24"/>
          <w:szCs w:val="24"/>
          <w:highlight w:val="none"/>
        </w:rPr>
      </w:pPr>
      <w:r>
        <w:rPr>
          <w:rFonts w:hint="eastAsia" w:ascii="宋体" w:hAnsi="宋体" w:cs="宋体"/>
          <w:sz w:val="24"/>
          <w:szCs w:val="24"/>
          <w:highlight w:val="none"/>
        </w:rPr>
        <w:t>7.4、在合同约定的期限内完成合同规定的全部义务。</w:t>
      </w:r>
    </w:p>
    <w:p>
      <w:pPr>
        <w:spacing w:line="420" w:lineRule="exact"/>
        <w:ind w:firstLine="480" w:firstLineChars="200"/>
        <w:rPr>
          <w:rFonts w:ascii="宋体" w:hAnsi="宋体" w:cs="宋体"/>
          <w:sz w:val="24"/>
          <w:highlight w:val="none"/>
        </w:rPr>
      </w:pPr>
      <w:r>
        <w:rPr>
          <w:rFonts w:hint="eastAsia" w:ascii="宋体" w:hAnsi="宋体" w:cs="宋体"/>
          <w:sz w:val="24"/>
          <w:szCs w:val="24"/>
          <w:highlight w:val="none"/>
        </w:rPr>
        <w:t xml:space="preserve">8、其他补充说明: </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spacing w:line="420" w:lineRule="exact"/>
        <w:ind w:firstLine="435"/>
        <w:rPr>
          <w:rFonts w:ascii="宋体" w:hAnsi="宋体" w:cs="宋体"/>
          <w:sz w:val="24"/>
          <w:highlight w:val="none"/>
          <w:u w:val="single"/>
        </w:rPr>
      </w:pPr>
    </w:p>
    <w:p>
      <w:pPr>
        <w:spacing w:line="420" w:lineRule="exact"/>
        <w:ind w:firstLine="435"/>
        <w:jc w:val="left"/>
        <w:rPr>
          <w:rFonts w:ascii="宋体" w:hAnsi="宋体" w:cs="宋体"/>
          <w:sz w:val="24"/>
          <w:highlight w:val="none"/>
        </w:rPr>
      </w:pPr>
      <w:r>
        <w:rPr>
          <w:rFonts w:hint="eastAsia" w:ascii="宋体" w:hAnsi="宋体" w:cs="宋体"/>
          <w:sz w:val="24"/>
          <w:highlight w:val="none"/>
        </w:rPr>
        <w:t xml:space="preserve">   </w:t>
      </w:r>
    </w:p>
    <w:p>
      <w:pPr>
        <w:spacing w:line="420" w:lineRule="exact"/>
        <w:ind w:firstLine="435"/>
        <w:jc w:val="left"/>
        <w:rPr>
          <w:rFonts w:ascii="宋体" w:hAnsi="宋体" w:cs="宋体"/>
          <w:sz w:val="24"/>
          <w:highlight w:val="none"/>
        </w:rPr>
      </w:pPr>
    </w:p>
    <w:p>
      <w:pPr>
        <w:spacing w:line="420" w:lineRule="exact"/>
        <w:ind w:firstLine="435"/>
        <w:jc w:val="left"/>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kern w:val="0"/>
          <w:sz w:val="24"/>
          <w:szCs w:val="24"/>
          <w:highlight w:val="none"/>
        </w:rPr>
        <w:t>（盖章或电子签章）</w:t>
      </w:r>
      <w:r>
        <w:rPr>
          <w:rFonts w:hint="eastAsia" w:ascii="宋体" w:hAnsi="宋体" w:cs="宋体"/>
          <w:sz w:val="24"/>
          <w:highlight w:val="none"/>
          <w:u w:val="single"/>
        </w:rPr>
        <w:t xml:space="preserve">                  </w:t>
      </w:r>
    </w:p>
    <w:p>
      <w:pPr>
        <w:spacing w:line="420" w:lineRule="exact"/>
        <w:ind w:firstLine="435"/>
        <w:jc w:val="left"/>
        <w:rPr>
          <w:rFonts w:ascii="宋体" w:hAnsi="宋体" w:cs="宋体"/>
          <w:sz w:val="24"/>
          <w:highlight w:val="none"/>
        </w:rPr>
      </w:pPr>
      <w:r>
        <w:rPr>
          <w:rFonts w:hint="eastAsia" w:ascii="宋体" w:hAnsi="宋体" w:cs="宋体"/>
          <w:sz w:val="24"/>
          <w:highlight w:val="none"/>
        </w:rPr>
        <w:t>法定代表人或其授权代表</w:t>
      </w:r>
      <w:r>
        <w:rPr>
          <w:rFonts w:hint="eastAsia" w:hAnsi="宋体"/>
          <w:sz w:val="24"/>
          <w:szCs w:val="24"/>
          <w:highlight w:val="none"/>
        </w:rPr>
        <w:t>（签字或盖章或电子签章）</w:t>
      </w:r>
      <w:r>
        <w:rPr>
          <w:rFonts w:hint="eastAsia" w:ascii="宋体" w:hAnsi="宋体" w:cs="宋体"/>
          <w:sz w:val="24"/>
          <w:highlight w:val="none"/>
        </w:rPr>
        <w:t>：</w:t>
      </w:r>
      <w:r>
        <w:rPr>
          <w:rFonts w:hint="eastAsia" w:ascii="宋体" w:hAnsi="宋体" w:cs="宋体"/>
          <w:sz w:val="24"/>
          <w:highlight w:val="none"/>
          <w:u w:val="single"/>
        </w:rPr>
        <w:t xml:space="preserve">                   </w:t>
      </w:r>
    </w:p>
    <w:p>
      <w:pPr>
        <w:spacing w:line="600" w:lineRule="exact"/>
        <w:ind w:firstLine="435"/>
        <w:jc w:val="left"/>
        <w:rPr>
          <w:rFonts w:ascii="宋体" w:hAnsi="宋体" w:cs="宋体"/>
          <w:sz w:val="28"/>
          <w:szCs w:val="28"/>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8"/>
          <w:szCs w:val="28"/>
          <w:highlight w:val="none"/>
          <w:u w:val="single"/>
        </w:rPr>
        <w:t xml:space="preserve"> </w:t>
      </w:r>
    </w:p>
    <w:p>
      <w:pPr>
        <w:pStyle w:val="2"/>
        <w:ind w:firstLine="0" w:firstLineChars="0"/>
        <w:rPr>
          <w:rFonts w:ascii="宋体" w:hAnsi="宋体" w:cs="宋体"/>
          <w:b/>
          <w:bCs/>
          <w:sz w:val="28"/>
          <w:szCs w:val="28"/>
          <w:highlight w:val="none"/>
        </w:rPr>
      </w:pPr>
    </w:p>
    <w:p>
      <w:pPr>
        <w:pStyle w:val="6"/>
        <w:ind w:firstLine="210"/>
        <w:rPr>
          <w:rFonts w:ascii="宋体" w:hAnsi="宋体" w:cs="宋体"/>
          <w:highlight w:val="none"/>
        </w:rPr>
      </w:pPr>
    </w:p>
    <w:p>
      <w:pPr>
        <w:pStyle w:val="2"/>
        <w:ind w:firstLine="0" w:firstLineChars="0"/>
        <w:rPr>
          <w:rFonts w:ascii="宋体" w:hAnsi="宋体" w:cs="宋体"/>
          <w:b/>
          <w:bCs/>
          <w:sz w:val="28"/>
          <w:szCs w:val="28"/>
          <w:highlight w:val="none"/>
        </w:rPr>
      </w:pPr>
    </w:p>
    <w:p>
      <w:pPr>
        <w:autoSpaceDE w:val="0"/>
        <w:autoSpaceDN w:val="0"/>
        <w:adjustRightInd w:val="0"/>
        <w:spacing w:line="500" w:lineRule="exact"/>
        <w:jc w:val="center"/>
        <w:rPr>
          <w:rFonts w:ascii="宋体" w:hAnsi="宋体" w:cs="宋体"/>
          <w:b/>
          <w:bCs/>
          <w:sz w:val="24"/>
          <w:szCs w:val="24"/>
          <w:highlight w:val="none"/>
          <w:lang w:val="zh-CN"/>
        </w:rPr>
      </w:pPr>
      <w:r>
        <w:rPr>
          <w:rFonts w:hint="eastAsia" w:ascii="宋体" w:hAnsi="宋体" w:cs="宋体"/>
          <w:b/>
          <w:bCs/>
          <w:sz w:val="24"/>
          <w:szCs w:val="24"/>
          <w:highlight w:val="none"/>
        </w:rPr>
        <w:t>法定代表人资格证明书</w:t>
      </w:r>
    </w:p>
    <w:p>
      <w:pPr>
        <w:spacing w:line="500" w:lineRule="exact"/>
        <w:ind w:firstLine="424" w:firstLineChars="177"/>
        <w:rPr>
          <w:rFonts w:ascii="宋体" w:hAnsi="宋体" w:cs="宋体"/>
          <w:sz w:val="24"/>
          <w:szCs w:val="24"/>
          <w:highlight w:val="none"/>
        </w:rPr>
      </w:pPr>
      <w:r>
        <w:rPr>
          <w:rFonts w:hint="eastAsia" w:ascii="宋体" w:hAnsi="宋体" w:cs="宋体"/>
          <w:sz w:val="24"/>
          <w:szCs w:val="24"/>
          <w:highlight w:val="none"/>
        </w:rPr>
        <w:t>投 标 人：</w:t>
      </w:r>
      <w:r>
        <w:rPr>
          <w:rFonts w:hint="eastAsia" w:ascii="宋体" w:hAnsi="宋体" w:cs="宋体"/>
          <w:sz w:val="24"/>
          <w:szCs w:val="24"/>
          <w:highlight w:val="none"/>
          <w:u w:val="single"/>
        </w:rPr>
        <w:t xml:space="preserve">                                                        </w:t>
      </w:r>
    </w:p>
    <w:p>
      <w:pPr>
        <w:spacing w:line="500" w:lineRule="exact"/>
        <w:ind w:firstLine="424" w:firstLineChars="177"/>
        <w:rPr>
          <w:rFonts w:ascii="宋体" w:hAnsi="宋体" w:cs="宋体"/>
          <w:sz w:val="24"/>
          <w:szCs w:val="24"/>
          <w:highlight w:val="none"/>
        </w:rPr>
      </w:pPr>
      <w:r>
        <w:rPr>
          <w:rFonts w:hint="eastAsia" w:ascii="宋体" w:hAnsi="宋体" w:cs="宋体"/>
          <w:sz w:val="24"/>
          <w:szCs w:val="24"/>
          <w:highlight w:val="none"/>
        </w:rPr>
        <w:t>单位性质：</w:t>
      </w:r>
      <w:r>
        <w:rPr>
          <w:rFonts w:hint="eastAsia" w:ascii="宋体" w:hAnsi="宋体" w:cs="宋体"/>
          <w:sz w:val="24"/>
          <w:szCs w:val="24"/>
          <w:highlight w:val="none"/>
          <w:u w:val="single"/>
        </w:rPr>
        <w:t xml:space="preserve">                                                        </w:t>
      </w:r>
    </w:p>
    <w:p>
      <w:pPr>
        <w:spacing w:line="500" w:lineRule="exact"/>
        <w:ind w:firstLine="424" w:firstLineChars="177"/>
        <w:rPr>
          <w:rFonts w:ascii="宋体" w:hAnsi="宋体" w:cs="宋体"/>
          <w:sz w:val="24"/>
          <w:szCs w:val="24"/>
          <w:highlight w:val="none"/>
        </w:rPr>
      </w:pPr>
      <w:r>
        <w:rPr>
          <w:rFonts w:hint="eastAsia" w:ascii="宋体" w:hAnsi="宋体" w:cs="宋体"/>
          <w:sz w:val="24"/>
          <w:szCs w:val="24"/>
          <w:highlight w:val="none"/>
        </w:rPr>
        <w:t>地    址：</w:t>
      </w:r>
      <w:r>
        <w:rPr>
          <w:rFonts w:hint="eastAsia" w:ascii="宋体" w:hAnsi="宋体" w:cs="宋体"/>
          <w:sz w:val="24"/>
          <w:szCs w:val="24"/>
          <w:highlight w:val="none"/>
          <w:u w:val="single"/>
        </w:rPr>
        <w:t xml:space="preserve">                                                        </w:t>
      </w:r>
    </w:p>
    <w:p>
      <w:pPr>
        <w:spacing w:line="500" w:lineRule="exact"/>
        <w:ind w:firstLine="424" w:firstLineChars="177"/>
        <w:rPr>
          <w:rFonts w:ascii="宋体" w:hAnsi="宋体" w:cs="宋体"/>
          <w:sz w:val="24"/>
          <w:szCs w:val="24"/>
          <w:highlight w:val="none"/>
        </w:rPr>
      </w:pPr>
      <w:r>
        <w:rPr>
          <w:rFonts w:hint="eastAsia" w:ascii="宋体" w:hAnsi="宋体" w:cs="宋体"/>
          <w:sz w:val="24"/>
          <w:szCs w:val="24"/>
          <w:highlight w:val="none"/>
        </w:rPr>
        <w:t>成立时间：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spacing w:line="500" w:lineRule="exact"/>
        <w:ind w:firstLine="424" w:firstLineChars="177"/>
        <w:rPr>
          <w:rFonts w:ascii="宋体" w:hAnsi="宋体" w:cs="宋体"/>
          <w:sz w:val="24"/>
          <w:szCs w:val="24"/>
          <w:highlight w:val="none"/>
        </w:rPr>
      </w:pPr>
      <w:r>
        <w:rPr>
          <w:rFonts w:hint="eastAsia" w:ascii="宋体" w:hAnsi="宋体" w:cs="宋体"/>
          <w:sz w:val="24"/>
          <w:szCs w:val="24"/>
          <w:highlight w:val="none"/>
        </w:rPr>
        <w:t>经营期限：</w:t>
      </w:r>
      <w:r>
        <w:rPr>
          <w:rFonts w:hint="eastAsia" w:ascii="宋体" w:hAnsi="宋体" w:cs="宋体"/>
          <w:sz w:val="24"/>
          <w:szCs w:val="24"/>
          <w:highlight w:val="none"/>
          <w:u w:val="single"/>
        </w:rPr>
        <w:t xml:space="preserve">                                                        </w:t>
      </w:r>
    </w:p>
    <w:p>
      <w:pPr>
        <w:spacing w:line="500" w:lineRule="exact"/>
        <w:ind w:firstLine="424" w:firstLineChars="177"/>
        <w:rPr>
          <w:rFonts w:ascii="宋体" w:hAnsi="宋体" w:cs="宋体"/>
          <w:sz w:val="24"/>
          <w:szCs w:val="24"/>
          <w:highlight w:val="none"/>
        </w:rPr>
      </w:pPr>
      <w:r>
        <w:rPr>
          <w:rFonts w:hint="eastAsia" w:ascii="宋体" w:hAnsi="宋体" w:cs="宋体"/>
          <w:sz w:val="24"/>
          <w:szCs w:val="24"/>
          <w:highlight w:val="none"/>
        </w:rPr>
        <w:t>姓    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性        别：</w:t>
      </w:r>
      <w:r>
        <w:rPr>
          <w:rFonts w:hint="eastAsia" w:ascii="宋体" w:hAnsi="宋体" w:cs="宋体"/>
          <w:sz w:val="24"/>
          <w:szCs w:val="24"/>
          <w:highlight w:val="none"/>
          <w:u w:val="single"/>
        </w:rPr>
        <w:t xml:space="preserve">                </w:t>
      </w:r>
    </w:p>
    <w:p>
      <w:pPr>
        <w:spacing w:line="500" w:lineRule="exact"/>
        <w:ind w:firstLine="424" w:firstLineChars="177"/>
        <w:rPr>
          <w:rFonts w:ascii="宋体" w:hAnsi="宋体" w:cs="宋体"/>
          <w:sz w:val="24"/>
          <w:szCs w:val="24"/>
          <w:highlight w:val="none"/>
        </w:rPr>
      </w:pPr>
      <w:r>
        <w:rPr>
          <w:rFonts w:hint="eastAsia" w:ascii="宋体" w:hAnsi="宋体" w:cs="宋体"/>
          <w:sz w:val="24"/>
          <w:szCs w:val="24"/>
          <w:highlight w:val="none"/>
        </w:rPr>
        <w:t>职    务：</w:t>
      </w:r>
      <w:r>
        <w:rPr>
          <w:rFonts w:hint="eastAsia" w:ascii="宋体" w:hAnsi="宋体" w:cs="宋体"/>
          <w:sz w:val="24"/>
          <w:szCs w:val="24"/>
          <w:highlight w:val="none"/>
          <w:u w:val="single"/>
        </w:rPr>
        <w:t xml:space="preserve">            </w:t>
      </w:r>
      <w:r>
        <w:rPr>
          <w:rFonts w:hint="eastAsia" w:ascii="宋体" w:hAnsi="宋体" w:cs="宋体"/>
          <w:sz w:val="24"/>
          <w:szCs w:val="24"/>
          <w:highlight w:val="none"/>
        </w:rPr>
        <w:t>系</w:t>
      </w:r>
      <w:r>
        <w:rPr>
          <w:rFonts w:hint="eastAsia" w:ascii="宋体" w:hAnsi="宋体" w:cs="宋体"/>
          <w:sz w:val="24"/>
          <w:szCs w:val="24"/>
          <w:highlight w:val="none"/>
          <w:u w:val="single"/>
        </w:rPr>
        <w:t xml:space="preserve">                            </w:t>
      </w:r>
      <w:r>
        <w:rPr>
          <w:rFonts w:hint="eastAsia" w:ascii="宋体" w:hAnsi="宋体" w:cs="宋体"/>
          <w:sz w:val="24"/>
          <w:szCs w:val="24"/>
          <w:highlight w:val="none"/>
        </w:rPr>
        <w:t>（投标人名称）的法定代表人。</w:t>
      </w:r>
    </w:p>
    <w:p>
      <w:pPr>
        <w:spacing w:line="500" w:lineRule="exact"/>
        <w:ind w:firstLine="424" w:firstLineChars="177"/>
        <w:rPr>
          <w:rFonts w:ascii="宋体" w:hAnsi="宋体" w:cs="宋体"/>
          <w:sz w:val="24"/>
          <w:szCs w:val="24"/>
          <w:highlight w:val="none"/>
        </w:rPr>
      </w:pPr>
      <w:r>
        <w:rPr>
          <w:rFonts w:hint="eastAsia" w:ascii="宋体" w:hAnsi="宋体" w:cs="宋体"/>
          <w:sz w:val="24"/>
          <w:szCs w:val="24"/>
          <w:highlight w:val="none"/>
        </w:rPr>
        <w:t>特此证明。</w:t>
      </w:r>
    </w:p>
    <w:p>
      <w:pPr>
        <w:spacing w:line="500" w:lineRule="exact"/>
        <w:ind w:firstLine="424" w:firstLineChars="177"/>
        <w:rPr>
          <w:rFonts w:ascii="宋体" w:hAnsi="宋体" w:cs="宋体"/>
          <w:sz w:val="24"/>
          <w:szCs w:val="24"/>
          <w:highlight w:val="none"/>
        </w:rPr>
      </w:pPr>
    </w:p>
    <w:p>
      <w:pPr>
        <w:spacing w:line="500" w:lineRule="exact"/>
        <w:jc w:val="right"/>
        <w:rPr>
          <w:rFonts w:ascii="宋体" w:hAnsi="宋体" w:cs="宋体"/>
          <w:sz w:val="24"/>
          <w:szCs w:val="24"/>
          <w:highlight w:val="none"/>
        </w:rPr>
      </w:pPr>
    </w:p>
    <w:p>
      <w:pPr>
        <w:spacing w:line="500" w:lineRule="exact"/>
        <w:jc w:val="right"/>
        <w:rPr>
          <w:rFonts w:ascii="宋体" w:hAnsi="宋体" w:cs="宋体"/>
          <w:sz w:val="24"/>
          <w:szCs w:val="24"/>
          <w:highlight w:val="none"/>
        </w:rPr>
      </w:pPr>
      <w:r>
        <w:rPr>
          <w:rFonts w:hint="eastAsia" w:ascii="宋体" w:hAnsi="宋体" w:cs="宋体"/>
          <w:sz w:val="24"/>
          <w:highlight w:val="none"/>
        </w:rPr>
        <w:t>供应商</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（盖单位章）</w:t>
      </w:r>
    </w:p>
    <w:p>
      <w:pPr>
        <w:spacing w:line="500" w:lineRule="exact"/>
        <w:jc w:val="right"/>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日 </w:t>
      </w:r>
    </w:p>
    <w:p>
      <w:pPr>
        <w:pStyle w:val="31"/>
        <w:spacing w:line="500" w:lineRule="exact"/>
        <w:rPr>
          <w:rFonts w:ascii="宋体" w:hAnsi="宋体" w:eastAsia="宋体" w:cs="宋体"/>
          <w:szCs w:val="24"/>
          <w:highlight w:val="none"/>
        </w:rPr>
      </w:pPr>
    </w:p>
    <w:p>
      <w:pPr>
        <w:pStyle w:val="31"/>
        <w:spacing w:line="500" w:lineRule="exact"/>
        <w:rPr>
          <w:rFonts w:ascii="宋体" w:hAnsi="宋体" w:eastAsia="宋体" w:cs="宋体"/>
          <w:szCs w:val="24"/>
          <w:highlight w:val="none"/>
        </w:rPr>
      </w:pPr>
      <w:r>
        <w:rPr>
          <w:rFonts w:hint="eastAsia" w:ascii="宋体" w:hAnsi="宋体" w:eastAsia="宋体" w:cs="宋体"/>
          <w:szCs w:val="24"/>
          <w:highlight w:val="none"/>
        </w:rPr>
        <w:t>附：法定代表人身份证扫描件</w:t>
      </w:r>
    </w:p>
    <w:tbl>
      <w:tblPr>
        <w:tblStyle w:val="21"/>
        <w:tblW w:w="8330" w:type="dxa"/>
        <w:tblInd w:w="0" w:type="dxa"/>
        <w:tblLayout w:type="fixed"/>
        <w:tblCellMar>
          <w:top w:w="0" w:type="dxa"/>
          <w:left w:w="108" w:type="dxa"/>
          <w:bottom w:w="0" w:type="dxa"/>
          <w:right w:w="108" w:type="dxa"/>
        </w:tblCellMar>
      </w:tblPr>
      <w:tblGrid>
        <w:gridCol w:w="4077"/>
        <w:gridCol w:w="4253"/>
      </w:tblGrid>
      <w:tr>
        <w:tblPrEx>
          <w:tblLayout w:type="fixed"/>
          <w:tblCellMar>
            <w:top w:w="0" w:type="dxa"/>
            <w:left w:w="108" w:type="dxa"/>
            <w:bottom w:w="0" w:type="dxa"/>
            <w:right w:w="108" w:type="dxa"/>
          </w:tblCellMar>
        </w:tblPrEx>
        <w:trPr>
          <w:trHeight w:val="2423" w:hRule="atLeast"/>
        </w:trPr>
        <w:tc>
          <w:tcPr>
            <w:tcW w:w="4077" w:type="dxa"/>
            <w:tcBorders>
              <w:top w:val="single" w:color="auto" w:sz="4" w:space="0"/>
              <w:left w:val="single" w:color="auto" w:sz="4" w:space="0"/>
              <w:bottom w:val="single" w:color="auto" w:sz="4" w:space="0"/>
              <w:right w:val="single" w:color="auto" w:sz="4" w:space="0"/>
            </w:tcBorders>
          </w:tcPr>
          <w:p>
            <w:pPr>
              <w:widowControl/>
              <w:tabs>
                <w:tab w:val="right" w:leader="dot" w:pos="8295"/>
              </w:tabs>
              <w:snapToGrid w:val="0"/>
              <w:spacing w:line="500" w:lineRule="exact"/>
              <w:ind w:left="5250" w:firstLine="480"/>
              <w:jc w:val="center"/>
              <w:rPr>
                <w:rFonts w:ascii="宋体" w:hAnsi="宋体" w:cs="宋体"/>
                <w:kern w:val="0"/>
                <w:sz w:val="24"/>
                <w:szCs w:val="24"/>
                <w:highlight w:val="none"/>
              </w:rPr>
            </w:pPr>
          </w:p>
          <w:p>
            <w:pPr>
              <w:widowControl/>
              <w:tabs>
                <w:tab w:val="right" w:leader="dot" w:pos="8295"/>
              </w:tabs>
              <w:snapToGrid w:val="0"/>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法定代表人身份证扫描件</w:t>
            </w:r>
          </w:p>
          <w:p>
            <w:pPr>
              <w:pStyle w:val="31"/>
              <w:spacing w:line="500" w:lineRule="exact"/>
              <w:ind w:firstLine="0"/>
              <w:jc w:val="center"/>
              <w:rPr>
                <w:rFonts w:ascii="宋体" w:hAnsi="宋体" w:eastAsia="宋体" w:cs="宋体"/>
                <w:szCs w:val="24"/>
                <w:highlight w:val="none"/>
              </w:rPr>
            </w:pPr>
            <w:r>
              <w:rPr>
                <w:rFonts w:hint="eastAsia" w:ascii="宋体" w:hAnsi="宋体" w:eastAsia="宋体" w:cs="宋体"/>
                <w:szCs w:val="24"/>
                <w:highlight w:val="none"/>
              </w:rPr>
              <w:t>（国徽面）</w:t>
            </w:r>
          </w:p>
          <w:p>
            <w:pPr>
              <w:widowControl/>
              <w:tabs>
                <w:tab w:val="right" w:leader="dot" w:pos="8295"/>
              </w:tabs>
              <w:snapToGrid w:val="0"/>
              <w:spacing w:line="500" w:lineRule="exact"/>
              <w:ind w:left="5250" w:firstLine="480"/>
              <w:jc w:val="center"/>
              <w:rPr>
                <w:rFonts w:ascii="宋体" w:hAnsi="宋体" w:cs="宋体"/>
                <w:kern w:val="0"/>
                <w:sz w:val="24"/>
                <w:szCs w:val="24"/>
                <w:highlight w:val="none"/>
              </w:rPr>
            </w:pPr>
          </w:p>
        </w:tc>
        <w:tc>
          <w:tcPr>
            <w:tcW w:w="4253" w:type="dxa"/>
            <w:tcBorders>
              <w:top w:val="single" w:color="auto" w:sz="4" w:space="0"/>
              <w:left w:val="single" w:color="auto" w:sz="4" w:space="0"/>
              <w:bottom w:val="single" w:color="auto" w:sz="4" w:space="0"/>
              <w:right w:val="single" w:color="auto" w:sz="4" w:space="0"/>
            </w:tcBorders>
          </w:tcPr>
          <w:p>
            <w:pPr>
              <w:widowControl/>
              <w:tabs>
                <w:tab w:val="right" w:leader="dot" w:pos="8295"/>
              </w:tabs>
              <w:snapToGrid w:val="0"/>
              <w:spacing w:line="500" w:lineRule="exact"/>
              <w:ind w:left="5250" w:firstLine="480"/>
              <w:jc w:val="center"/>
              <w:rPr>
                <w:rFonts w:ascii="宋体" w:hAnsi="宋体" w:cs="宋体"/>
                <w:kern w:val="0"/>
                <w:sz w:val="24"/>
                <w:szCs w:val="24"/>
                <w:highlight w:val="none"/>
              </w:rPr>
            </w:pPr>
          </w:p>
          <w:p>
            <w:pPr>
              <w:widowControl/>
              <w:tabs>
                <w:tab w:val="right" w:leader="dot" w:pos="8295"/>
              </w:tabs>
              <w:snapToGrid w:val="0"/>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法定代表人身份证扫描件</w:t>
            </w:r>
          </w:p>
          <w:p>
            <w:pPr>
              <w:pStyle w:val="31"/>
              <w:spacing w:line="500" w:lineRule="exact"/>
              <w:ind w:firstLine="0"/>
              <w:jc w:val="center"/>
              <w:rPr>
                <w:rFonts w:ascii="宋体" w:hAnsi="宋体" w:eastAsia="宋体" w:cs="宋体"/>
                <w:szCs w:val="24"/>
                <w:highlight w:val="none"/>
              </w:rPr>
            </w:pPr>
            <w:r>
              <w:rPr>
                <w:rFonts w:hint="eastAsia" w:ascii="宋体" w:hAnsi="宋体" w:eastAsia="宋体" w:cs="宋体"/>
                <w:szCs w:val="24"/>
                <w:highlight w:val="none"/>
              </w:rPr>
              <w:t>（头像面）</w:t>
            </w:r>
          </w:p>
          <w:p>
            <w:pPr>
              <w:widowControl/>
              <w:tabs>
                <w:tab w:val="right" w:leader="dot" w:pos="8295"/>
              </w:tabs>
              <w:snapToGrid w:val="0"/>
              <w:spacing w:line="500" w:lineRule="exact"/>
              <w:ind w:left="5250" w:firstLine="480"/>
              <w:rPr>
                <w:rFonts w:ascii="宋体" w:hAnsi="宋体" w:cs="宋体"/>
                <w:kern w:val="0"/>
                <w:sz w:val="24"/>
                <w:szCs w:val="24"/>
                <w:highlight w:val="none"/>
              </w:rPr>
            </w:pPr>
          </w:p>
        </w:tc>
      </w:tr>
    </w:tbl>
    <w:p>
      <w:pPr>
        <w:rPr>
          <w:highlight w:val="none"/>
        </w:rPr>
      </w:pPr>
    </w:p>
    <w:p>
      <w:pPr>
        <w:pStyle w:val="31"/>
        <w:rPr>
          <w:highlight w:val="none"/>
        </w:rPr>
      </w:pPr>
    </w:p>
    <w:p>
      <w:pPr>
        <w:pageBreakBefore/>
        <w:adjustRightInd w:val="0"/>
        <w:spacing w:line="500" w:lineRule="exact"/>
        <w:jc w:val="center"/>
        <w:textAlignment w:val="baseline"/>
        <w:rPr>
          <w:rFonts w:ascii="宋体" w:hAnsi="宋体" w:cs="宋体"/>
          <w:b/>
          <w:bCs/>
          <w:sz w:val="24"/>
          <w:szCs w:val="24"/>
          <w:highlight w:val="none"/>
        </w:rPr>
      </w:pPr>
      <w:r>
        <w:rPr>
          <w:rFonts w:hint="eastAsia" w:ascii="宋体" w:hAnsi="宋体" w:cs="宋体"/>
          <w:b/>
          <w:bCs/>
          <w:sz w:val="24"/>
          <w:szCs w:val="24"/>
          <w:highlight w:val="none"/>
        </w:rPr>
        <w:t>法定代表人授权书</w:t>
      </w:r>
    </w:p>
    <w:p>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cs="宋体"/>
          <w:sz w:val="24"/>
          <w:szCs w:val="24"/>
          <w:highlight w:val="none"/>
          <w:u w:val="single"/>
        </w:rPr>
      </w:pPr>
      <w:r>
        <w:rPr>
          <w:rFonts w:hint="eastAsia" w:ascii="宋体" w:hAnsi="宋体" w:cs="宋体"/>
          <w:sz w:val="24"/>
          <w:szCs w:val="24"/>
          <w:highlight w:val="none"/>
          <w:lang w:val="zh-CN"/>
        </w:rPr>
        <w:t>致：</w:t>
      </w:r>
      <w:r>
        <w:rPr>
          <w:rFonts w:hint="eastAsia" w:ascii="宋体" w:hAnsi="宋体" w:cs="宋体"/>
          <w:sz w:val="24"/>
          <w:szCs w:val="24"/>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本授权委托书声明：我</w:t>
      </w:r>
      <w:r>
        <w:rPr>
          <w:rFonts w:hint="eastAsia" w:ascii="宋体" w:hAnsi="宋体" w:cs="宋体"/>
          <w:sz w:val="24"/>
          <w:szCs w:val="24"/>
          <w:highlight w:val="none"/>
          <w:u w:val="single"/>
          <w:lang w:val="zh-CN"/>
        </w:rPr>
        <w:t>（法定代表人姓名）</w:t>
      </w:r>
      <w:r>
        <w:rPr>
          <w:rFonts w:hint="eastAsia" w:ascii="宋体" w:hAnsi="宋体" w:cs="宋体"/>
          <w:sz w:val="24"/>
          <w:szCs w:val="24"/>
          <w:highlight w:val="none"/>
          <w:lang w:val="zh-CN"/>
        </w:rPr>
        <w:t>系</w:t>
      </w:r>
      <w:r>
        <w:rPr>
          <w:rFonts w:hint="eastAsia" w:ascii="宋体" w:hAnsi="宋体" w:cs="宋体"/>
          <w:sz w:val="24"/>
          <w:szCs w:val="24"/>
          <w:highlight w:val="none"/>
          <w:u w:val="single"/>
          <w:lang w:val="zh-CN"/>
        </w:rPr>
        <w:t>（投标人名称）</w:t>
      </w:r>
      <w:r>
        <w:rPr>
          <w:rFonts w:hint="eastAsia" w:ascii="宋体" w:hAnsi="宋体" w:cs="宋体"/>
          <w:sz w:val="24"/>
          <w:szCs w:val="24"/>
          <w:highlight w:val="none"/>
          <w:lang w:val="zh-CN"/>
        </w:rPr>
        <w:t>的法定代表人，现授权委托</w:t>
      </w:r>
      <w:r>
        <w:rPr>
          <w:rFonts w:hint="eastAsia" w:ascii="宋体" w:hAnsi="宋体" w:cs="宋体"/>
          <w:sz w:val="24"/>
          <w:szCs w:val="24"/>
          <w:highlight w:val="none"/>
          <w:u w:val="single"/>
          <w:lang w:val="zh-CN"/>
        </w:rPr>
        <w:t>（单位名称）</w:t>
      </w:r>
      <w:r>
        <w:rPr>
          <w:rFonts w:hint="eastAsia" w:ascii="宋体" w:hAnsi="宋体" w:cs="宋体"/>
          <w:sz w:val="24"/>
          <w:szCs w:val="24"/>
          <w:highlight w:val="none"/>
          <w:lang w:val="zh-CN"/>
        </w:rPr>
        <w:t>的</w:t>
      </w:r>
      <w:r>
        <w:rPr>
          <w:rFonts w:hint="eastAsia" w:ascii="宋体" w:hAnsi="宋体" w:cs="宋体"/>
          <w:sz w:val="24"/>
          <w:szCs w:val="24"/>
          <w:highlight w:val="none"/>
          <w:u w:val="single"/>
          <w:lang w:val="zh-CN"/>
        </w:rPr>
        <w:t>（授权代表姓名）</w:t>
      </w:r>
      <w:r>
        <w:rPr>
          <w:rFonts w:hint="eastAsia" w:ascii="宋体" w:hAnsi="宋体" w:cs="宋体"/>
          <w:sz w:val="24"/>
          <w:szCs w:val="24"/>
          <w:highlight w:val="none"/>
          <w:lang w:val="zh-CN"/>
        </w:rPr>
        <w:t>为我公司法定代表人授权代表，参加贵单位组织的</w:t>
      </w:r>
      <w:r>
        <w:rPr>
          <w:rFonts w:hint="eastAsia" w:ascii="宋体" w:hAnsi="宋体" w:cs="宋体"/>
          <w:sz w:val="24"/>
          <w:szCs w:val="24"/>
          <w:highlight w:val="none"/>
          <w:u w:val="single"/>
          <w:lang w:val="zh-CN"/>
        </w:rPr>
        <w:t xml:space="preserve"> （采购项目名称、项目编号）</w:t>
      </w:r>
      <w:r>
        <w:rPr>
          <w:rFonts w:hint="eastAsia" w:ascii="宋体" w:hAnsi="宋体" w:cs="宋体"/>
          <w:sz w:val="24"/>
          <w:szCs w:val="24"/>
          <w:highlight w:val="none"/>
          <w:lang w:val="zh-CN"/>
        </w:rPr>
        <w:t>项目采购，并代表我方全权处理本次采购活动中的一切事宜，并签署相关文件，我方对被授权人的签名事项负全部责任。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授权代表无转授权，特此授权。</w:t>
      </w:r>
    </w:p>
    <w:p>
      <w:pPr>
        <w:pStyle w:val="23"/>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附：</w:t>
      </w:r>
    </w:p>
    <w:p>
      <w:pPr>
        <w:pStyle w:val="23"/>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1.法定代表人及授权代表人身份证扫描件</w:t>
      </w:r>
    </w:p>
    <w:p>
      <w:pPr>
        <w:pStyle w:val="23"/>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2.授权代表为投标人在职员工的证明文件（投标人为其缴纳的社保记录或劳务合同等）。</w:t>
      </w:r>
    </w:p>
    <w:p>
      <w:pPr>
        <w:pStyle w:val="23"/>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cs="宋体"/>
          <w:sz w:val="24"/>
          <w:szCs w:val="24"/>
          <w:highlight w:val="none"/>
          <w:u w:val="single"/>
          <w:lang w:val="zh-CN"/>
        </w:rPr>
      </w:pPr>
      <w:r>
        <w:rPr>
          <w:rFonts w:hint="eastAsia" w:ascii="宋体" w:hAnsi="宋体" w:cs="宋体"/>
          <w:sz w:val="24"/>
          <w:szCs w:val="24"/>
          <w:highlight w:val="none"/>
          <w:lang w:val="zh-CN"/>
        </w:rPr>
        <w:t>授权代表（签字或盖章）：</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 xml:space="preserve">  性别：</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年龄：</w:t>
      </w:r>
      <w:r>
        <w:rPr>
          <w:rFonts w:hint="eastAsia" w:ascii="宋体" w:hAnsi="宋体" w:cs="宋体"/>
          <w:sz w:val="24"/>
          <w:szCs w:val="24"/>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cs="宋体"/>
          <w:sz w:val="24"/>
          <w:szCs w:val="24"/>
          <w:highlight w:val="none"/>
          <w:u w:val="single"/>
          <w:lang w:val="zh-CN"/>
        </w:rPr>
      </w:pPr>
      <w:r>
        <w:rPr>
          <w:rFonts w:hint="eastAsia" w:ascii="宋体" w:hAnsi="宋体" w:cs="宋体"/>
          <w:sz w:val="24"/>
          <w:szCs w:val="24"/>
          <w:highlight w:val="none"/>
          <w:lang w:val="zh-CN"/>
        </w:rPr>
        <w:t>身份证号码：</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 xml:space="preserve">  职务：</w:t>
      </w:r>
      <w:r>
        <w:rPr>
          <w:rFonts w:hint="eastAsia" w:ascii="宋体" w:hAnsi="宋体" w:cs="宋体"/>
          <w:sz w:val="24"/>
          <w:szCs w:val="24"/>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cs="宋体"/>
          <w:sz w:val="24"/>
          <w:szCs w:val="24"/>
          <w:highlight w:val="none"/>
          <w:u w:val="single"/>
          <w:lang w:val="zh-CN"/>
        </w:rPr>
      </w:pPr>
      <w:r>
        <w:rPr>
          <w:rFonts w:hint="eastAsia" w:ascii="宋体" w:hAnsi="宋体" w:cs="宋体"/>
          <w:sz w:val="24"/>
          <w:szCs w:val="24"/>
          <w:highlight w:val="none"/>
          <w:lang w:val="zh-CN"/>
        </w:rPr>
        <w:t>详细通讯地址：</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 xml:space="preserve">  邮政编码：</w:t>
      </w:r>
      <w:r>
        <w:rPr>
          <w:rFonts w:hint="eastAsia" w:ascii="宋体" w:hAnsi="宋体" w:cs="宋体"/>
          <w:sz w:val="24"/>
          <w:szCs w:val="24"/>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cs="宋体"/>
          <w:sz w:val="24"/>
          <w:szCs w:val="24"/>
          <w:highlight w:val="none"/>
          <w:u w:val="single"/>
          <w:lang w:val="zh-CN"/>
        </w:rPr>
      </w:pPr>
      <w:r>
        <w:rPr>
          <w:rFonts w:hint="eastAsia" w:ascii="宋体" w:hAnsi="宋体" w:cs="宋体"/>
          <w:sz w:val="24"/>
          <w:szCs w:val="24"/>
          <w:highlight w:val="none"/>
          <w:lang w:val="zh-CN"/>
        </w:rPr>
        <w:t>联系电话：</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 xml:space="preserve">  传真： </w:t>
      </w:r>
      <w:r>
        <w:rPr>
          <w:rFonts w:hint="eastAsia" w:ascii="宋体" w:hAnsi="宋体" w:cs="宋体"/>
          <w:sz w:val="24"/>
          <w:szCs w:val="24"/>
          <w:highlight w:val="none"/>
          <w:u w:val="single"/>
          <w:lang w:val="zh-CN"/>
        </w:rPr>
        <w:t xml:space="preserve">                          </w:t>
      </w:r>
    </w:p>
    <w:p>
      <w:pPr>
        <w:keepNext w:val="0"/>
        <w:keepLines w:val="0"/>
        <w:pageBreakBefore w:val="0"/>
        <w:widowControl w:val="0"/>
        <w:kinsoku/>
        <w:wordWrap/>
        <w:overflowPunct/>
        <w:topLinePunct w:val="0"/>
        <w:bidi w:val="0"/>
        <w:snapToGrid/>
        <w:spacing w:line="400" w:lineRule="exact"/>
        <w:ind w:firstLine="4800" w:firstLineChars="2000"/>
        <w:textAlignment w:val="baseline"/>
        <w:rPr>
          <w:rFonts w:ascii="宋体" w:hAnsi="宋体" w:cs="宋体"/>
          <w:sz w:val="24"/>
          <w:szCs w:val="24"/>
          <w:highlight w:val="none"/>
        </w:rPr>
      </w:pPr>
      <w:r>
        <w:rPr>
          <w:rFonts w:hint="eastAsia" w:ascii="宋体" w:hAnsi="宋体" w:cs="宋体"/>
          <w:sz w:val="24"/>
          <w:highlight w:val="none"/>
        </w:rPr>
        <w:t>供应商名称</w:t>
      </w:r>
      <w:r>
        <w:rPr>
          <w:rFonts w:hint="eastAsia" w:ascii="宋体" w:hAnsi="宋体" w:cs="宋体"/>
          <w:sz w:val="24"/>
          <w:szCs w:val="24"/>
          <w:highlight w:val="none"/>
        </w:rPr>
        <w:t>（盖章）：</w:t>
      </w:r>
    </w:p>
    <w:p>
      <w:pPr>
        <w:keepNext w:val="0"/>
        <w:keepLines w:val="0"/>
        <w:pageBreakBefore w:val="0"/>
        <w:widowControl w:val="0"/>
        <w:kinsoku/>
        <w:wordWrap/>
        <w:overflowPunct/>
        <w:topLinePunct w:val="0"/>
        <w:bidi w:val="0"/>
        <w:snapToGrid/>
        <w:spacing w:line="400" w:lineRule="exact"/>
        <w:ind w:firstLine="4800" w:firstLineChars="2000"/>
        <w:textAlignment w:val="baseline"/>
        <w:rPr>
          <w:rFonts w:ascii="宋体" w:hAnsi="宋体" w:cs="宋体"/>
          <w:sz w:val="24"/>
          <w:szCs w:val="24"/>
          <w:highlight w:val="none"/>
        </w:rPr>
      </w:pPr>
      <w:r>
        <w:rPr>
          <w:rFonts w:hint="eastAsia" w:ascii="宋体" w:hAnsi="宋体" w:cs="宋体"/>
          <w:sz w:val="24"/>
          <w:szCs w:val="24"/>
          <w:highlight w:val="none"/>
        </w:rPr>
        <w:t>法定代表人（盖章或签字）：</w:t>
      </w:r>
    </w:p>
    <w:p>
      <w:pPr>
        <w:keepNext w:val="0"/>
        <w:keepLines w:val="0"/>
        <w:pageBreakBefore w:val="0"/>
        <w:widowControl w:val="0"/>
        <w:kinsoku/>
        <w:wordWrap/>
        <w:overflowPunct/>
        <w:topLinePunct w:val="0"/>
        <w:bidi w:val="0"/>
        <w:snapToGrid/>
        <w:spacing w:line="400" w:lineRule="exact"/>
        <w:ind w:firstLine="4800" w:firstLineChars="2000"/>
        <w:textAlignment w:val="baseline"/>
        <w:rPr>
          <w:rFonts w:ascii="宋体" w:hAnsi="宋体" w:cs="宋体"/>
          <w:sz w:val="24"/>
          <w:szCs w:val="24"/>
          <w:highlight w:val="none"/>
        </w:rPr>
      </w:pPr>
      <w:r>
        <w:rPr>
          <w:rFonts w:hint="eastAsia" w:ascii="宋体" w:hAnsi="宋体" w:cs="宋体"/>
          <w:sz w:val="24"/>
          <w:szCs w:val="24"/>
          <w:highlight w:val="none"/>
        </w:rPr>
        <w:t xml:space="preserve">日    期：  </w:t>
      </w:r>
    </w:p>
    <w:p>
      <w:pPr>
        <w:pStyle w:val="31"/>
        <w:spacing w:line="500" w:lineRule="exact"/>
        <w:rPr>
          <w:rFonts w:ascii="宋体" w:hAnsi="宋体" w:eastAsia="宋体" w:cs="宋体"/>
          <w:szCs w:val="24"/>
          <w:highlight w:val="none"/>
        </w:rPr>
      </w:pPr>
      <w:r>
        <w:rPr>
          <w:rFonts w:hint="eastAsia" w:ascii="宋体" w:hAnsi="宋体" w:eastAsia="宋体" w:cs="宋体"/>
          <w:szCs w:val="24"/>
          <w:highlight w:val="none"/>
        </w:rPr>
        <w:t>附：法定代表人身份证扫描件</w:t>
      </w:r>
    </w:p>
    <w:tbl>
      <w:tblPr>
        <w:tblStyle w:val="21"/>
        <w:tblW w:w="8339" w:type="dxa"/>
        <w:tblInd w:w="0" w:type="dxa"/>
        <w:tblLayout w:type="fixed"/>
        <w:tblCellMar>
          <w:top w:w="0" w:type="dxa"/>
          <w:left w:w="108" w:type="dxa"/>
          <w:bottom w:w="0" w:type="dxa"/>
          <w:right w:w="108" w:type="dxa"/>
        </w:tblCellMar>
      </w:tblPr>
      <w:tblGrid>
        <w:gridCol w:w="4081"/>
        <w:gridCol w:w="4258"/>
      </w:tblGrid>
      <w:tr>
        <w:tblPrEx>
          <w:tblLayout w:type="fixed"/>
          <w:tblCellMar>
            <w:top w:w="0" w:type="dxa"/>
            <w:left w:w="108" w:type="dxa"/>
            <w:bottom w:w="0" w:type="dxa"/>
            <w:right w:w="108" w:type="dxa"/>
          </w:tblCellMar>
        </w:tblPrEx>
        <w:trPr>
          <w:trHeight w:val="1270" w:hRule="atLeast"/>
        </w:trPr>
        <w:tc>
          <w:tcPr>
            <w:tcW w:w="4081" w:type="dxa"/>
            <w:tcBorders>
              <w:top w:val="single" w:color="auto" w:sz="4" w:space="0"/>
              <w:left w:val="single" w:color="auto" w:sz="4" w:space="0"/>
              <w:bottom w:val="single" w:color="auto" w:sz="4" w:space="0"/>
              <w:right w:val="single" w:color="auto" w:sz="4" w:space="0"/>
            </w:tcBorders>
          </w:tcPr>
          <w:p>
            <w:pPr>
              <w:widowControl/>
              <w:tabs>
                <w:tab w:val="right" w:leader="dot" w:pos="8295"/>
              </w:tabs>
              <w:snapToGrid w:val="0"/>
              <w:spacing w:line="500" w:lineRule="exact"/>
              <w:ind w:left="5250" w:firstLine="480"/>
              <w:jc w:val="center"/>
              <w:rPr>
                <w:rFonts w:ascii="宋体" w:hAnsi="宋体" w:cs="宋体"/>
                <w:kern w:val="0"/>
                <w:sz w:val="24"/>
                <w:szCs w:val="24"/>
                <w:highlight w:val="none"/>
              </w:rPr>
            </w:pPr>
          </w:p>
          <w:p>
            <w:pPr>
              <w:widowControl/>
              <w:tabs>
                <w:tab w:val="right" w:leader="dot" w:pos="8295"/>
              </w:tabs>
              <w:snapToGrid w:val="0"/>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法定代表人身份证扫描件</w:t>
            </w:r>
          </w:p>
          <w:p>
            <w:pPr>
              <w:pStyle w:val="31"/>
              <w:spacing w:line="500" w:lineRule="exact"/>
              <w:ind w:firstLine="0"/>
              <w:jc w:val="center"/>
              <w:rPr>
                <w:rFonts w:ascii="宋体" w:hAnsi="宋体" w:cs="宋体"/>
                <w:kern w:val="0"/>
                <w:sz w:val="24"/>
                <w:szCs w:val="24"/>
                <w:highlight w:val="none"/>
              </w:rPr>
            </w:pPr>
            <w:r>
              <w:rPr>
                <w:rFonts w:hint="eastAsia" w:ascii="宋体" w:hAnsi="宋体" w:eastAsia="宋体" w:cs="宋体"/>
                <w:szCs w:val="24"/>
                <w:highlight w:val="none"/>
              </w:rPr>
              <w:t>（国徽面）</w:t>
            </w:r>
          </w:p>
        </w:tc>
        <w:tc>
          <w:tcPr>
            <w:tcW w:w="4258" w:type="dxa"/>
            <w:tcBorders>
              <w:top w:val="single" w:color="auto" w:sz="4" w:space="0"/>
              <w:left w:val="single" w:color="auto" w:sz="4" w:space="0"/>
              <w:bottom w:val="single" w:color="auto" w:sz="4" w:space="0"/>
              <w:right w:val="single" w:color="auto" w:sz="4" w:space="0"/>
            </w:tcBorders>
          </w:tcPr>
          <w:p>
            <w:pPr>
              <w:widowControl/>
              <w:tabs>
                <w:tab w:val="right" w:leader="dot" w:pos="8295"/>
              </w:tabs>
              <w:snapToGrid w:val="0"/>
              <w:spacing w:line="500" w:lineRule="exact"/>
              <w:ind w:left="5250" w:firstLine="480"/>
              <w:jc w:val="center"/>
              <w:rPr>
                <w:rFonts w:ascii="宋体" w:hAnsi="宋体" w:cs="宋体"/>
                <w:kern w:val="0"/>
                <w:sz w:val="24"/>
                <w:szCs w:val="24"/>
                <w:highlight w:val="none"/>
              </w:rPr>
            </w:pPr>
          </w:p>
          <w:p>
            <w:pPr>
              <w:widowControl/>
              <w:tabs>
                <w:tab w:val="right" w:leader="dot" w:pos="8295"/>
              </w:tabs>
              <w:snapToGrid w:val="0"/>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法定代表人身份证扫描件</w:t>
            </w:r>
          </w:p>
          <w:p>
            <w:pPr>
              <w:pStyle w:val="31"/>
              <w:spacing w:line="500" w:lineRule="exact"/>
              <w:ind w:firstLine="0"/>
              <w:jc w:val="center"/>
              <w:rPr>
                <w:rFonts w:ascii="宋体" w:hAnsi="宋体" w:cs="宋体"/>
                <w:kern w:val="0"/>
                <w:sz w:val="24"/>
                <w:szCs w:val="24"/>
                <w:highlight w:val="none"/>
              </w:rPr>
            </w:pPr>
            <w:r>
              <w:rPr>
                <w:rFonts w:hint="eastAsia" w:ascii="宋体" w:hAnsi="宋体" w:eastAsia="宋体" w:cs="宋体"/>
                <w:szCs w:val="24"/>
                <w:highlight w:val="none"/>
              </w:rPr>
              <w:t>（头像面）</w:t>
            </w:r>
          </w:p>
        </w:tc>
      </w:tr>
    </w:tbl>
    <w:p>
      <w:pPr>
        <w:pStyle w:val="31"/>
        <w:spacing w:line="500" w:lineRule="exact"/>
        <w:rPr>
          <w:rFonts w:ascii="宋体" w:hAnsi="宋体" w:eastAsia="宋体" w:cs="宋体"/>
          <w:szCs w:val="24"/>
          <w:highlight w:val="none"/>
        </w:rPr>
      </w:pPr>
      <w:r>
        <w:rPr>
          <w:rFonts w:hint="eastAsia" w:ascii="宋体" w:hAnsi="宋体" w:eastAsia="宋体" w:cs="宋体"/>
          <w:szCs w:val="24"/>
          <w:highlight w:val="none"/>
        </w:rPr>
        <w:t>附：授权代表人身份证扫描件</w:t>
      </w:r>
    </w:p>
    <w:tbl>
      <w:tblPr>
        <w:tblStyle w:val="21"/>
        <w:tblW w:w="8339" w:type="dxa"/>
        <w:tblInd w:w="0" w:type="dxa"/>
        <w:tblLayout w:type="fixed"/>
        <w:tblCellMar>
          <w:top w:w="0" w:type="dxa"/>
          <w:left w:w="108" w:type="dxa"/>
          <w:bottom w:w="0" w:type="dxa"/>
          <w:right w:w="108" w:type="dxa"/>
        </w:tblCellMar>
      </w:tblPr>
      <w:tblGrid>
        <w:gridCol w:w="4081"/>
        <w:gridCol w:w="4258"/>
      </w:tblGrid>
      <w:tr>
        <w:tblPrEx>
          <w:tblLayout w:type="fixed"/>
          <w:tblCellMar>
            <w:top w:w="0" w:type="dxa"/>
            <w:left w:w="108" w:type="dxa"/>
            <w:bottom w:w="0" w:type="dxa"/>
            <w:right w:w="108" w:type="dxa"/>
          </w:tblCellMar>
        </w:tblPrEx>
        <w:trPr>
          <w:trHeight w:val="1820" w:hRule="atLeast"/>
        </w:trPr>
        <w:tc>
          <w:tcPr>
            <w:tcW w:w="4081" w:type="dxa"/>
            <w:tcBorders>
              <w:top w:val="single" w:color="auto" w:sz="4" w:space="0"/>
              <w:left w:val="single" w:color="auto" w:sz="4" w:space="0"/>
              <w:bottom w:val="single" w:color="auto" w:sz="4" w:space="0"/>
              <w:right w:val="single" w:color="auto" w:sz="4" w:space="0"/>
            </w:tcBorders>
          </w:tcPr>
          <w:p>
            <w:pPr>
              <w:widowControl/>
              <w:tabs>
                <w:tab w:val="right" w:leader="dot" w:pos="8295"/>
              </w:tabs>
              <w:snapToGrid w:val="0"/>
              <w:spacing w:line="500" w:lineRule="exact"/>
              <w:ind w:left="5250" w:firstLine="480"/>
              <w:jc w:val="center"/>
              <w:rPr>
                <w:rFonts w:ascii="宋体" w:hAnsi="宋体" w:cs="宋体"/>
                <w:kern w:val="0"/>
                <w:sz w:val="24"/>
                <w:szCs w:val="24"/>
                <w:highlight w:val="none"/>
              </w:rPr>
            </w:pPr>
          </w:p>
          <w:p>
            <w:pPr>
              <w:widowControl/>
              <w:tabs>
                <w:tab w:val="right" w:leader="dot" w:pos="8295"/>
              </w:tabs>
              <w:snapToGrid w:val="0"/>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授权代表人身份证扫描件</w:t>
            </w:r>
          </w:p>
          <w:p>
            <w:pPr>
              <w:pStyle w:val="31"/>
              <w:spacing w:line="500" w:lineRule="exact"/>
              <w:ind w:firstLine="0"/>
              <w:jc w:val="center"/>
              <w:rPr>
                <w:rFonts w:ascii="宋体" w:hAnsi="宋体" w:cs="宋体"/>
                <w:kern w:val="0"/>
                <w:sz w:val="24"/>
                <w:szCs w:val="24"/>
                <w:highlight w:val="none"/>
              </w:rPr>
            </w:pPr>
            <w:r>
              <w:rPr>
                <w:rFonts w:hint="eastAsia" w:ascii="宋体" w:hAnsi="宋体" w:eastAsia="宋体" w:cs="宋体"/>
                <w:kern w:val="0"/>
                <w:szCs w:val="24"/>
                <w:highlight w:val="none"/>
              </w:rPr>
              <w:t>（国徽面）</w:t>
            </w:r>
          </w:p>
        </w:tc>
        <w:tc>
          <w:tcPr>
            <w:tcW w:w="4258" w:type="dxa"/>
            <w:tcBorders>
              <w:top w:val="single" w:color="auto" w:sz="4" w:space="0"/>
              <w:left w:val="single" w:color="auto" w:sz="4" w:space="0"/>
              <w:bottom w:val="single" w:color="auto" w:sz="4" w:space="0"/>
              <w:right w:val="single" w:color="auto" w:sz="4" w:space="0"/>
            </w:tcBorders>
          </w:tcPr>
          <w:p>
            <w:pPr>
              <w:widowControl/>
              <w:tabs>
                <w:tab w:val="right" w:leader="dot" w:pos="8295"/>
              </w:tabs>
              <w:snapToGrid w:val="0"/>
              <w:spacing w:line="500" w:lineRule="exact"/>
              <w:ind w:left="5250" w:firstLine="480"/>
              <w:jc w:val="center"/>
              <w:rPr>
                <w:rFonts w:ascii="宋体" w:hAnsi="宋体" w:cs="宋体"/>
                <w:kern w:val="0"/>
                <w:sz w:val="24"/>
                <w:szCs w:val="24"/>
                <w:highlight w:val="none"/>
              </w:rPr>
            </w:pPr>
          </w:p>
          <w:p>
            <w:pPr>
              <w:widowControl/>
              <w:tabs>
                <w:tab w:val="right" w:leader="dot" w:pos="8295"/>
              </w:tabs>
              <w:snapToGrid w:val="0"/>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授权代表人身份证扫描件</w:t>
            </w:r>
          </w:p>
          <w:p>
            <w:pPr>
              <w:pStyle w:val="31"/>
              <w:spacing w:line="500" w:lineRule="exact"/>
              <w:ind w:firstLine="0"/>
              <w:jc w:val="center"/>
              <w:rPr>
                <w:rFonts w:ascii="宋体" w:hAnsi="宋体" w:cs="宋体"/>
                <w:kern w:val="0"/>
                <w:sz w:val="24"/>
                <w:szCs w:val="24"/>
                <w:highlight w:val="none"/>
              </w:rPr>
            </w:pPr>
            <w:r>
              <w:rPr>
                <w:rFonts w:hint="eastAsia" w:ascii="宋体" w:hAnsi="宋体" w:eastAsia="宋体" w:cs="宋体"/>
                <w:kern w:val="0"/>
                <w:szCs w:val="24"/>
                <w:highlight w:val="none"/>
              </w:rPr>
              <w:t>（头像面）</w:t>
            </w:r>
          </w:p>
        </w:tc>
      </w:tr>
    </w:tbl>
    <w:p>
      <w:pPr>
        <w:pStyle w:val="10"/>
        <w:tabs>
          <w:tab w:val="right" w:leader="dot" w:pos="9061"/>
        </w:tabs>
        <w:spacing w:line="360" w:lineRule="auto"/>
        <w:ind w:left="0" w:leftChars="0"/>
        <w:jc w:val="center"/>
        <w:outlineLvl w:val="0"/>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业绩</w:t>
      </w:r>
    </w:p>
    <w:p>
      <w:pPr>
        <w:spacing w:line="440" w:lineRule="exact"/>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 xml:space="preserve">项目名称:                                         项目编号：                   </w:t>
      </w:r>
    </w:p>
    <w:tbl>
      <w:tblPr>
        <w:tblStyle w:val="21"/>
        <w:tblW w:w="9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673"/>
        <w:gridCol w:w="3151"/>
        <w:gridCol w:w="1292"/>
        <w:gridCol w:w="1194"/>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629" w:type="dxa"/>
            <w:noWrap w:val="0"/>
            <w:vAlign w:val="center"/>
          </w:tcPr>
          <w:p>
            <w:pPr>
              <w:spacing w:line="440" w:lineRule="exact"/>
              <w:jc w:val="center"/>
              <w:outlineLvl w:val="2"/>
              <w:rPr>
                <w:rFonts w:hint="eastAsia" w:ascii="宋体" w:hAnsi="宋体" w:cs="宋体"/>
                <w:color w:val="000000"/>
                <w:sz w:val="21"/>
                <w:szCs w:val="21"/>
                <w:highlight w:val="none"/>
                <w:lang w:eastAsia="zh-CN"/>
              </w:rPr>
            </w:pPr>
            <w:bookmarkStart w:id="51" w:name="_Toc8079"/>
            <w:r>
              <w:rPr>
                <w:rFonts w:hint="eastAsia" w:ascii="宋体" w:hAnsi="宋体" w:cs="宋体"/>
                <w:color w:val="000000"/>
                <w:sz w:val="21"/>
                <w:szCs w:val="21"/>
                <w:highlight w:val="none"/>
                <w:lang w:eastAsia="zh-CN"/>
              </w:rPr>
              <w:t>序号</w:t>
            </w:r>
            <w:bookmarkEnd w:id="51"/>
          </w:p>
        </w:tc>
        <w:tc>
          <w:tcPr>
            <w:tcW w:w="1673" w:type="dxa"/>
            <w:noWrap w:val="0"/>
            <w:vAlign w:val="center"/>
          </w:tcPr>
          <w:p>
            <w:pPr>
              <w:spacing w:line="440" w:lineRule="exact"/>
              <w:jc w:val="center"/>
              <w:outlineLvl w:val="2"/>
              <w:rPr>
                <w:rFonts w:hint="eastAsia" w:ascii="宋体" w:hAnsi="宋体" w:cs="宋体"/>
                <w:color w:val="000000"/>
                <w:sz w:val="21"/>
                <w:szCs w:val="21"/>
                <w:highlight w:val="none"/>
                <w:lang w:eastAsia="zh-CN"/>
              </w:rPr>
            </w:pPr>
            <w:bookmarkStart w:id="52" w:name="_Toc32703"/>
            <w:r>
              <w:rPr>
                <w:rFonts w:hint="eastAsia" w:ascii="宋体" w:hAnsi="宋体" w:cs="宋体"/>
                <w:color w:val="000000"/>
                <w:sz w:val="21"/>
                <w:szCs w:val="21"/>
                <w:highlight w:val="none"/>
                <w:lang w:eastAsia="zh-CN"/>
              </w:rPr>
              <w:t>采购单位名称</w:t>
            </w:r>
            <w:bookmarkEnd w:id="52"/>
          </w:p>
        </w:tc>
        <w:tc>
          <w:tcPr>
            <w:tcW w:w="3151" w:type="dxa"/>
            <w:noWrap w:val="0"/>
            <w:vAlign w:val="center"/>
          </w:tcPr>
          <w:p>
            <w:pPr>
              <w:spacing w:line="440" w:lineRule="exact"/>
              <w:jc w:val="center"/>
              <w:outlineLvl w:val="2"/>
              <w:rPr>
                <w:rFonts w:hint="eastAsia" w:ascii="宋体" w:hAnsi="宋体" w:cs="宋体"/>
                <w:color w:val="000000"/>
                <w:sz w:val="21"/>
                <w:szCs w:val="21"/>
                <w:highlight w:val="none"/>
                <w:lang w:eastAsia="zh-CN"/>
              </w:rPr>
            </w:pPr>
            <w:bookmarkStart w:id="53" w:name="_Toc22025"/>
            <w:r>
              <w:rPr>
                <w:rFonts w:hint="eastAsia" w:ascii="宋体" w:hAnsi="宋体" w:cs="宋体"/>
                <w:color w:val="000000"/>
                <w:sz w:val="21"/>
                <w:szCs w:val="21"/>
                <w:highlight w:val="none"/>
                <w:lang w:eastAsia="zh-CN"/>
              </w:rPr>
              <w:t>项目名称</w:t>
            </w:r>
            <w:bookmarkEnd w:id="53"/>
          </w:p>
        </w:tc>
        <w:tc>
          <w:tcPr>
            <w:tcW w:w="1292" w:type="dxa"/>
            <w:noWrap w:val="0"/>
            <w:vAlign w:val="center"/>
          </w:tcPr>
          <w:p>
            <w:pPr>
              <w:spacing w:line="440" w:lineRule="exact"/>
              <w:jc w:val="center"/>
              <w:outlineLvl w:val="2"/>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合同签订时间</w:t>
            </w:r>
          </w:p>
        </w:tc>
        <w:tc>
          <w:tcPr>
            <w:tcW w:w="1194" w:type="dxa"/>
            <w:noWrap w:val="0"/>
            <w:vAlign w:val="center"/>
          </w:tcPr>
          <w:p>
            <w:pPr>
              <w:spacing w:line="440" w:lineRule="exact"/>
              <w:jc w:val="center"/>
              <w:outlineLvl w:val="2"/>
              <w:rPr>
                <w:rFonts w:hint="eastAsia" w:ascii="宋体" w:hAnsi="宋体" w:cs="宋体"/>
                <w:color w:val="000000"/>
                <w:sz w:val="21"/>
                <w:szCs w:val="21"/>
                <w:highlight w:val="none"/>
                <w:lang w:eastAsia="zh-CN"/>
              </w:rPr>
            </w:pPr>
            <w:bookmarkStart w:id="54" w:name="_Toc28957"/>
            <w:r>
              <w:rPr>
                <w:rFonts w:hint="eastAsia" w:ascii="宋体" w:hAnsi="宋体" w:cs="宋体"/>
                <w:color w:val="000000"/>
                <w:sz w:val="21"/>
                <w:szCs w:val="21"/>
                <w:highlight w:val="none"/>
                <w:lang w:eastAsia="zh-CN"/>
              </w:rPr>
              <w:t>合同金额（万元）</w:t>
            </w:r>
            <w:bookmarkEnd w:id="54"/>
          </w:p>
        </w:tc>
        <w:tc>
          <w:tcPr>
            <w:tcW w:w="1741" w:type="dxa"/>
            <w:noWrap w:val="0"/>
            <w:vAlign w:val="center"/>
          </w:tcPr>
          <w:p>
            <w:pPr>
              <w:spacing w:line="440" w:lineRule="exact"/>
              <w:jc w:val="center"/>
              <w:outlineLvl w:val="2"/>
              <w:rPr>
                <w:rFonts w:hint="eastAsia" w:ascii="宋体" w:hAnsi="宋体" w:cs="宋体"/>
                <w:color w:val="000000"/>
                <w:sz w:val="21"/>
                <w:szCs w:val="21"/>
                <w:highlight w:val="none"/>
                <w:lang w:eastAsia="zh-CN"/>
              </w:rPr>
            </w:pPr>
            <w:bookmarkStart w:id="55" w:name="_Toc24083"/>
            <w:r>
              <w:rPr>
                <w:rFonts w:hint="eastAsia" w:ascii="宋体" w:hAnsi="宋体" w:cs="宋体"/>
                <w:color w:val="000000"/>
                <w:sz w:val="21"/>
                <w:szCs w:val="21"/>
                <w:highlight w:val="none"/>
                <w:lang w:eastAsia="zh-CN"/>
              </w:rPr>
              <w:t>采购单位联系人及联系电话</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629" w:type="dxa"/>
            <w:noWrap w:val="0"/>
            <w:vAlign w:val="center"/>
          </w:tcPr>
          <w:p>
            <w:pPr>
              <w:spacing w:line="440" w:lineRule="exact"/>
              <w:jc w:val="center"/>
              <w:outlineLvl w:val="2"/>
              <w:rPr>
                <w:rFonts w:hint="eastAsia" w:ascii="宋体" w:hAnsi="宋体" w:cs="宋体"/>
                <w:color w:val="000000"/>
                <w:sz w:val="21"/>
                <w:szCs w:val="21"/>
                <w:highlight w:val="none"/>
                <w:lang w:eastAsia="zh-CN"/>
              </w:rPr>
            </w:pPr>
            <w:bookmarkStart w:id="56" w:name="_Toc28243"/>
            <w:r>
              <w:rPr>
                <w:rFonts w:hint="eastAsia" w:ascii="宋体" w:hAnsi="宋体" w:cs="宋体"/>
                <w:color w:val="000000"/>
                <w:sz w:val="21"/>
                <w:szCs w:val="21"/>
                <w:highlight w:val="none"/>
                <w:lang w:eastAsia="zh-CN"/>
              </w:rPr>
              <w:t>1</w:t>
            </w:r>
            <w:bookmarkEnd w:id="56"/>
          </w:p>
        </w:tc>
        <w:tc>
          <w:tcPr>
            <w:tcW w:w="1673"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3151"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292"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194"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741"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29" w:type="dxa"/>
            <w:noWrap w:val="0"/>
            <w:vAlign w:val="center"/>
          </w:tcPr>
          <w:p>
            <w:pPr>
              <w:spacing w:line="440" w:lineRule="exact"/>
              <w:jc w:val="center"/>
              <w:outlineLvl w:val="2"/>
              <w:rPr>
                <w:rFonts w:hint="eastAsia" w:ascii="宋体" w:hAnsi="宋体" w:cs="宋体"/>
                <w:color w:val="000000"/>
                <w:sz w:val="21"/>
                <w:szCs w:val="21"/>
                <w:highlight w:val="none"/>
                <w:lang w:eastAsia="zh-CN"/>
              </w:rPr>
            </w:pPr>
            <w:bookmarkStart w:id="57" w:name="_Toc11099"/>
            <w:r>
              <w:rPr>
                <w:rFonts w:hint="eastAsia" w:ascii="宋体" w:hAnsi="宋体" w:cs="宋体"/>
                <w:color w:val="000000"/>
                <w:sz w:val="21"/>
                <w:szCs w:val="21"/>
                <w:highlight w:val="none"/>
                <w:lang w:eastAsia="zh-CN"/>
              </w:rPr>
              <w:t>2</w:t>
            </w:r>
            <w:bookmarkEnd w:id="57"/>
          </w:p>
        </w:tc>
        <w:tc>
          <w:tcPr>
            <w:tcW w:w="1673"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3151"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292"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194"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741"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629" w:type="dxa"/>
            <w:noWrap w:val="0"/>
            <w:vAlign w:val="center"/>
          </w:tcPr>
          <w:p>
            <w:pPr>
              <w:spacing w:line="440" w:lineRule="exact"/>
              <w:jc w:val="center"/>
              <w:outlineLvl w:val="2"/>
              <w:rPr>
                <w:rFonts w:hint="eastAsia" w:ascii="宋体" w:hAnsi="宋体" w:cs="宋体"/>
                <w:color w:val="000000"/>
                <w:sz w:val="21"/>
                <w:szCs w:val="21"/>
                <w:highlight w:val="none"/>
                <w:lang w:eastAsia="zh-CN"/>
              </w:rPr>
            </w:pPr>
            <w:bookmarkStart w:id="58" w:name="_Toc4447"/>
            <w:r>
              <w:rPr>
                <w:rFonts w:hint="eastAsia" w:ascii="宋体" w:hAnsi="宋体" w:cs="宋体"/>
                <w:color w:val="000000"/>
                <w:sz w:val="21"/>
                <w:szCs w:val="21"/>
                <w:highlight w:val="none"/>
                <w:lang w:eastAsia="zh-CN"/>
              </w:rPr>
              <w:t>3</w:t>
            </w:r>
            <w:bookmarkEnd w:id="58"/>
          </w:p>
        </w:tc>
        <w:tc>
          <w:tcPr>
            <w:tcW w:w="1673"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3151"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292"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194"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741"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29" w:type="dxa"/>
            <w:noWrap w:val="0"/>
            <w:vAlign w:val="center"/>
          </w:tcPr>
          <w:p>
            <w:pPr>
              <w:spacing w:line="440" w:lineRule="exact"/>
              <w:jc w:val="center"/>
              <w:outlineLvl w:val="2"/>
              <w:rPr>
                <w:rFonts w:hint="eastAsia" w:ascii="宋体" w:hAnsi="宋体" w:cs="宋体"/>
                <w:color w:val="000000"/>
                <w:sz w:val="21"/>
                <w:szCs w:val="21"/>
                <w:highlight w:val="none"/>
                <w:lang w:eastAsia="zh-CN"/>
              </w:rPr>
            </w:pPr>
            <w:bookmarkStart w:id="59" w:name="_Toc5297"/>
            <w:r>
              <w:rPr>
                <w:rFonts w:hint="eastAsia" w:ascii="宋体" w:hAnsi="宋体" w:cs="宋体"/>
                <w:color w:val="000000"/>
                <w:sz w:val="21"/>
                <w:szCs w:val="21"/>
                <w:highlight w:val="none"/>
                <w:lang w:eastAsia="zh-CN"/>
              </w:rPr>
              <w:t>4</w:t>
            </w:r>
            <w:bookmarkEnd w:id="59"/>
          </w:p>
        </w:tc>
        <w:tc>
          <w:tcPr>
            <w:tcW w:w="1673"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3151"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292"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194"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741"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629" w:type="dxa"/>
            <w:noWrap w:val="0"/>
            <w:vAlign w:val="center"/>
          </w:tcPr>
          <w:p>
            <w:pPr>
              <w:spacing w:line="440" w:lineRule="exact"/>
              <w:jc w:val="center"/>
              <w:outlineLvl w:val="2"/>
              <w:rPr>
                <w:rFonts w:hint="eastAsia" w:ascii="宋体" w:hAnsi="宋体" w:cs="宋体"/>
                <w:color w:val="000000"/>
                <w:sz w:val="21"/>
                <w:szCs w:val="21"/>
                <w:highlight w:val="none"/>
                <w:lang w:eastAsia="zh-CN"/>
              </w:rPr>
            </w:pPr>
            <w:bookmarkStart w:id="60" w:name="_Toc1169"/>
            <w:r>
              <w:rPr>
                <w:rFonts w:hint="eastAsia" w:ascii="宋体" w:hAnsi="宋体" w:cs="宋体"/>
                <w:color w:val="000000"/>
                <w:sz w:val="21"/>
                <w:szCs w:val="21"/>
                <w:highlight w:val="none"/>
                <w:lang w:eastAsia="zh-CN"/>
              </w:rPr>
              <w:t>5</w:t>
            </w:r>
            <w:bookmarkEnd w:id="60"/>
          </w:p>
        </w:tc>
        <w:tc>
          <w:tcPr>
            <w:tcW w:w="1673"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3151"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292"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194"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741"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29" w:type="dxa"/>
            <w:noWrap w:val="0"/>
            <w:vAlign w:val="center"/>
          </w:tcPr>
          <w:p>
            <w:pPr>
              <w:spacing w:line="440" w:lineRule="exact"/>
              <w:jc w:val="center"/>
              <w:outlineLvl w:val="2"/>
              <w:rPr>
                <w:rFonts w:hint="eastAsia" w:ascii="宋体" w:hAnsi="宋体" w:cs="宋体"/>
                <w:color w:val="000000"/>
                <w:sz w:val="21"/>
                <w:szCs w:val="21"/>
                <w:highlight w:val="none"/>
                <w:lang w:eastAsia="zh-CN"/>
              </w:rPr>
            </w:pPr>
            <w:bookmarkStart w:id="61" w:name="_Toc14747"/>
            <w:r>
              <w:rPr>
                <w:rFonts w:hint="eastAsia" w:ascii="宋体" w:hAnsi="宋体" w:cs="宋体"/>
                <w:color w:val="000000"/>
                <w:sz w:val="21"/>
                <w:szCs w:val="21"/>
                <w:highlight w:val="none"/>
                <w:lang w:eastAsia="zh-CN"/>
              </w:rPr>
              <w:t>6</w:t>
            </w:r>
            <w:bookmarkEnd w:id="61"/>
          </w:p>
        </w:tc>
        <w:tc>
          <w:tcPr>
            <w:tcW w:w="1673"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3151"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292"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194"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741"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629" w:type="dxa"/>
            <w:noWrap w:val="0"/>
            <w:vAlign w:val="center"/>
          </w:tcPr>
          <w:p>
            <w:pPr>
              <w:spacing w:line="440" w:lineRule="exact"/>
              <w:jc w:val="center"/>
              <w:outlineLvl w:val="2"/>
              <w:rPr>
                <w:rFonts w:hint="eastAsia" w:ascii="宋体" w:hAnsi="宋体" w:cs="宋体"/>
                <w:color w:val="000000"/>
                <w:sz w:val="21"/>
                <w:szCs w:val="21"/>
                <w:highlight w:val="none"/>
                <w:lang w:eastAsia="zh-CN"/>
              </w:rPr>
            </w:pPr>
            <w:bookmarkStart w:id="62" w:name="_Toc30187"/>
            <w:r>
              <w:rPr>
                <w:rFonts w:hint="eastAsia" w:ascii="宋体" w:hAnsi="宋体" w:cs="宋体"/>
                <w:color w:val="000000"/>
                <w:sz w:val="21"/>
                <w:szCs w:val="21"/>
                <w:highlight w:val="none"/>
                <w:lang w:eastAsia="zh-CN"/>
              </w:rPr>
              <w:t>…</w:t>
            </w:r>
            <w:bookmarkEnd w:id="62"/>
          </w:p>
        </w:tc>
        <w:tc>
          <w:tcPr>
            <w:tcW w:w="1673"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3151"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292"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194"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c>
          <w:tcPr>
            <w:tcW w:w="1741" w:type="dxa"/>
            <w:noWrap w:val="0"/>
            <w:vAlign w:val="center"/>
          </w:tcPr>
          <w:p>
            <w:pPr>
              <w:spacing w:line="440" w:lineRule="exact"/>
              <w:jc w:val="center"/>
              <w:outlineLvl w:val="9"/>
              <w:rPr>
                <w:rFonts w:hint="eastAsia" w:ascii="宋体" w:hAnsi="宋体" w:cs="宋体"/>
                <w:color w:val="000000"/>
                <w:sz w:val="21"/>
                <w:szCs w:val="21"/>
                <w:highlight w:val="none"/>
                <w:lang w:eastAsia="zh-CN"/>
              </w:rPr>
            </w:pPr>
          </w:p>
        </w:tc>
      </w:tr>
    </w:tbl>
    <w:p>
      <w:pPr>
        <w:keepNext w:val="0"/>
        <w:keepLines w:val="0"/>
        <w:kinsoku/>
        <w:wordWrap/>
        <w:overflowPunct/>
        <w:topLinePunct w:val="0"/>
        <w:autoSpaceDE w:val="0"/>
        <w:autoSpaceDN w:val="0"/>
        <w:bidi w:val="0"/>
        <w:adjustRightInd w:val="0"/>
        <w:spacing w:line="500" w:lineRule="exact"/>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注：1、提供证明材料详见评分标准表，否则不得分；</w:t>
      </w:r>
    </w:p>
    <w:p>
      <w:pPr>
        <w:keepNext w:val="0"/>
        <w:keepLines w:val="0"/>
        <w:kinsoku/>
        <w:wordWrap/>
        <w:overflowPunct/>
        <w:topLinePunct w:val="0"/>
        <w:autoSpaceDE w:val="0"/>
        <w:autoSpaceDN w:val="0"/>
        <w:bidi w:val="0"/>
        <w:adjustRightInd w:val="0"/>
        <w:spacing w:line="500" w:lineRule="exact"/>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 xml:space="preserve">2、在填写时，如本表格不适合投标人的实际情况，可根据本表格式自行划表填写。 </w:t>
      </w:r>
    </w:p>
    <w:p>
      <w:pPr>
        <w:keepNext w:val="0"/>
        <w:keepLines w:val="0"/>
        <w:kinsoku/>
        <w:wordWrap/>
        <w:overflowPunct/>
        <w:topLinePunct w:val="0"/>
        <w:autoSpaceDE w:val="0"/>
        <w:autoSpaceDN w:val="0"/>
        <w:bidi w:val="0"/>
        <w:adjustRightInd w:val="0"/>
        <w:spacing w:line="500" w:lineRule="exact"/>
        <w:ind w:firstLine="480" w:firstLineChars="200"/>
        <w:rPr>
          <w:rFonts w:hint="eastAsia" w:ascii="宋体" w:hAnsi="宋体" w:eastAsia="宋体" w:cs="宋体"/>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460" w:lineRule="exact"/>
        <w:ind w:firstLine="437"/>
        <w:jc w:val="left"/>
        <w:textAlignment w:val="auto"/>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kern w:val="0"/>
          <w:sz w:val="24"/>
          <w:szCs w:val="24"/>
          <w:highlight w:val="none"/>
        </w:rPr>
        <w:t>（盖章或电子签章）</w:t>
      </w:r>
      <w:r>
        <w:rPr>
          <w:rFonts w:hint="eastAsia" w:ascii="宋体" w:hAnsi="宋体" w:cs="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37"/>
        <w:jc w:val="left"/>
        <w:textAlignment w:val="auto"/>
        <w:rPr>
          <w:rFonts w:ascii="宋体" w:hAnsi="宋体" w:cs="宋体"/>
          <w:sz w:val="24"/>
          <w:highlight w:val="none"/>
        </w:rPr>
      </w:pPr>
      <w:r>
        <w:rPr>
          <w:rFonts w:hint="eastAsia" w:ascii="宋体" w:hAnsi="宋体" w:cs="宋体"/>
          <w:sz w:val="24"/>
          <w:highlight w:val="none"/>
        </w:rPr>
        <w:t>法定代表人或其授权代表</w:t>
      </w:r>
      <w:r>
        <w:rPr>
          <w:rFonts w:hint="eastAsia" w:hAnsi="宋体"/>
          <w:sz w:val="24"/>
          <w:szCs w:val="24"/>
          <w:highlight w:val="none"/>
        </w:rPr>
        <w:t>（签字或盖章或电子签章）</w:t>
      </w:r>
      <w:r>
        <w:rPr>
          <w:rFonts w:hint="eastAsia" w:ascii="宋体" w:hAnsi="宋体" w:cs="宋体"/>
          <w:sz w:val="24"/>
          <w:highlight w:val="none"/>
        </w:rPr>
        <w:t>：</w:t>
      </w:r>
      <w:r>
        <w:rPr>
          <w:rFonts w:hint="eastAsia" w:ascii="宋体" w:hAnsi="宋体" w:cs="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37"/>
        <w:jc w:val="left"/>
        <w:textAlignment w:val="auto"/>
        <w:rPr>
          <w:rFonts w:ascii="宋体" w:hAnsi="宋体" w:cs="宋体"/>
          <w:sz w:val="28"/>
          <w:szCs w:val="28"/>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24"/>
          <w:szCs w:val="24"/>
          <w:highlight w:val="none"/>
          <w:lang w:val="en-US" w:eastAsia="zh-CN" w:bidi="ar-SA"/>
        </w:rPr>
      </w:pPr>
    </w:p>
    <w:p>
      <w:pPr>
        <w:pStyle w:val="36"/>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24"/>
          <w:szCs w:val="24"/>
          <w:highlight w:val="none"/>
          <w:lang w:val="en-US" w:eastAsia="zh-CN" w:bidi="ar-SA"/>
        </w:rPr>
      </w:pPr>
    </w:p>
    <w:p>
      <w:pPr>
        <w:pStyle w:val="36"/>
        <w:rPr>
          <w:rFonts w:hint="eastAsia" w:ascii="宋体" w:hAnsi="宋体" w:eastAsia="宋体" w:cs="宋体"/>
          <w:b/>
          <w:bCs/>
          <w:color w:val="auto"/>
          <w:kern w:val="0"/>
          <w:sz w:val="24"/>
          <w:szCs w:val="24"/>
          <w:highlight w:val="none"/>
          <w:lang w:val="en-US" w:eastAsia="zh-CN" w:bidi="ar-SA"/>
        </w:rPr>
      </w:pPr>
    </w:p>
    <w:p>
      <w:pPr>
        <w:rPr>
          <w:rFonts w:hint="eastAsia" w:ascii="宋体" w:hAnsi="宋体" w:eastAsia="宋体" w:cs="宋体"/>
          <w:b/>
          <w:bCs/>
          <w:color w:val="auto"/>
          <w:kern w:val="0"/>
          <w:sz w:val="24"/>
          <w:szCs w:val="24"/>
          <w:highlight w:val="none"/>
          <w:lang w:val="en-US" w:eastAsia="zh-CN" w:bidi="ar-SA"/>
        </w:rPr>
      </w:pPr>
    </w:p>
    <w:p>
      <w:pPr>
        <w:pStyle w:val="36"/>
        <w:rPr>
          <w:rFonts w:hint="eastAsia" w:ascii="宋体" w:hAnsi="宋体" w:eastAsia="宋体" w:cs="宋体"/>
          <w:b/>
          <w:bCs/>
          <w:color w:val="auto"/>
          <w:kern w:val="0"/>
          <w:sz w:val="24"/>
          <w:szCs w:val="24"/>
          <w:highlight w:val="none"/>
          <w:lang w:val="en-US" w:eastAsia="zh-CN" w:bidi="ar-SA"/>
        </w:rPr>
      </w:pPr>
    </w:p>
    <w:p>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项目组成员</w:t>
      </w:r>
    </w:p>
    <w:p>
      <w:pPr>
        <w:pStyle w:val="3"/>
        <w:rPr>
          <w:rFonts w:hint="eastAsia" w:ascii="宋体" w:hAnsi="宋体" w:eastAsia="宋体" w:cs="宋体"/>
          <w:highlight w:val="none"/>
        </w:rPr>
      </w:pPr>
    </w:p>
    <w:p>
      <w:pPr>
        <w:tabs>
          <w:tab w:val="left" w:pos="3165"/>
        </w:tabs>
        <w:rPr>
          <w:rFonts w:hint="eastAsia" w:ascii="宋体" w:hAnsi="宋体" w:eastAsia="宋体" w:cs="宋体"/>
          <w:bCs/>
          <w:szCs w:val="21"/>
          <w:highlight w:val="none"/>
        </w:rPr>
      </w:pPr>
      <w:r>
        <w:rPr>
          <w:rFonts w:hint="eastAsia" w:ascii="宋体" w:hAnsi="宋体" w:eastAsia="宋体" w:cs="宋体"/>
          <w:bCs/>
          <w:szCs w:val="21"/>
          <w:highlight w:val="none"/>
        </w:rPr>
        <w:t>项目编号：                                       项目名称：</w:t>
      </w:r>
    </w:p>
    <w:tbl>
      <w:tblPr>
        <w:tblStyle w:val="21"/>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758"/>
        <w:gridCol w:w="758"/>
        <w:gridCol w:w="759"/>
        <w:gridCol w:w="939"/>
        <w:gridCol w:w="1441"/>
        <w:gridCol w:w="942"/>
        <w:gridCol w:w="1032"/>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74" w:type="dxa"/>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758" w:type="dxa"/>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姓名</w:t>
            </w:r>
          </w:p>
        </w:tc>
        <w:tc>
          <w:tcPr>
            <w:tcW w:w="758" w:type="dxa"/>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年龄</w:t>
            </w:r>
          </w:p>
        </w:tc>
        <w:tc>
          <w:tcPr>
            <w:tcW w:w="759" w:type="dxa"/>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学历</w:t>
            </w:r>
          </w:p>
        </w:tc>
        <w:tc>
          <w:tcPr>
            <w:tcW w:w="939" w:type="dxa"/>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身份证</w:t>
            </w:r>
          </w:p>
          <w:p>
            <w:pPr>
              <w:jc w:val="center"/>
              <w:rPr>
                <w:rFonts w:hint="eastAsia" w:ascii="宋体" w:hAnsi="宋体" w:eastAsia="宋体" w:cs="宋体"/>
                <w:bCs/>
                <w:szCs w:val="21"/>
                <w:highlight w:val="none"/>
              </w:rPr>
            </w:pPr>
            <w:r>
              <w:rPr>
                <w:rFonts w:hint="eastAsia" w:ascii="宋体" w:hAnsi="宋体" w:eastAsia="宋体" w:cs="宋体"/>
                <w:bCs/>
                <w:szCs w:val="21"/>
                <w:highlight w:val="none"/>
              </w:rPr>
              <w:t>号码</w:t>
            </w:r>
          </w:p>
        </w:tc>
        <w:tc>
          <w:tcPr>
            <w:tcW w:w="1441" w:type="dxa"/>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职称或职务</w:t>
            </w:r>
          </w:p>
        </w:tc>
        <w:tc>
          <w:tcPr>
            <w:tcW w:w="942" w:type="dxa"/>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资质证书</w:t>
            </w:r>
          </w:p>
        </w:tc>
        <w:tc>
          <w:tcPr>
            <w:tcW w:w="1032" w:type="dxa"/>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工作资历</w:t>
            </w:r>
          </w:p>
        </w:tc>
        <w:tc>
          <w:tcPr>
            <w:tcW w:w="1032" w:type="dxa"/>
            <w:noWrap w:val="0"/>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trPr>
        <w:tc>
          <w:tcPr>
            <w:tcW w:w="874" w:type="dxa"/>
            <w:noWrap w:val="0"/>
            <w:vAlign w:val="top"/>
          </w:tcPr>
          <w:p>
            <w:pPr>
              <w:rPr>
                <w:rFonts w:hint="eastAsia" w:ascii="宋体" w:hAnsi="宋体" w:eastAsia="宋体" w:cs="宋体"/>
                <w:bCs/>
                <w:szCs w:val="21"/>
                <w:highlight w:val="none"/>
              </w:rPr>
            </w:pPr>
          </w:p>
        </w:tc>
        <w:tc>
          <w:tcPr>
            <w:tcW w:w="758" w:type="dxa"/>
            <w:noWrap w:val="0"/>
            <w:vAlign w:val="top"/>
          </w:tcPr>
          <w:p>
            <w:pPr>
              <w:rPr>
                <w:rFonts w:hint="eastAsia" w:ascii="宋体" w:hAnsi="宋体" w:eastAsia="宋体" w:cs="宋体"/>
                <w:bCs/>
                <w:szCs w:val="21"/>
                <w:highlight w:val="none"/>
              </w:rPr>
            </w:pPr>
          </w:p>
        </w:tc>
        <w:tc>
          <w:tcPr>
            <w:tcW w:w="758" w:type="dxa"/>
            <w:noWrap w:val="0"/>
            <w:vAlign w:val="top"/>
          </w:tcPr>
          <w:p>
            <w:pPr>
              <w:rPr>
                <w:rFonts w:hint="eastAsia" w:ascii="宋体" w:hAnsi="宋体" w:eastAsia="宋体" w:cs="宋体"/>
                <w:bCs/>
                <w:szCs w:val="21"/>
                <w:highlight w:val="none"/>
              </w:rPr>
            </w:pPr>
          </w:p>
        </w:tc>
        <w:tc>
          <w:tcPr>
            <w:tcW w:w="759" w:type="dxa"/>
            <w:noWrap w:val="0"/>
            <w:vAlign w:val="top"/>
          </w:tcPr>
          <w:p>
            <w:pPr>
              <w:rPr>
                <w:rFonts w:hint="eastAsia" w:ascii="宋体" w:hAnsi="宋体" w:eastAsia="宋体" w:cs="宋体"/>
                <w:bCs/>
                <w:szCs w:val="21"/>
                <w:highlight w:val="none"/>
              </w:rPr>
            </w:pPr>
          </w:p>
        </w:tc>
        <w:tc>
          <w:tcPr>
            <w:tcW w:w="939" w:type="dxa"/>
            <w:noWrap w:val="0"/>
            <w:vAlign w:val="top"/>
          </w:tcPr>
          <w:p>
            <w:pPr>
              <w:rPr>
                <w:rFonts w:hint="eastAsia" w:ascii="宋体" w:hAnsi="宋体" w:eastAsia="宋体" w:cs="宋体"/>
                <w:bCs/>
                <w:szCs w:val="21"/>
                <w:highlight w:val="none"/>
              </w:rPr>
            </w:pPr>
          </w:p>
        </w:tc>
        <w:tc>
          <w:tcPr>
            <w:tcW w:w="1441" w:type="dxa"/>
            <w:noWrap w:val="0"/>
            <w:vAlign w:val="top"/>
          </w:tcPr>
          <w:p>
            <w:pPr>
              <w:rPr>
                <w:rFonts w:hint="eastAsia" w:ascii="宋体" w:hAnsi="宋体" w:eastAsia="宋体" w:cs="宋体"/>
                <w:bCs/>
                <w:szCs w:val="21"/>
                <w:highlight w:val="none"/>
              </w:rPr>
            </w:pPr>
            <w:r>
              <w:rPr>
                <w:rFonts w:hint="eastAsia" w:ascii="宋体" w:hAnsi="宋体" w:eastAsia="宋体" w:cs="宋体"/>
                <w:bCs/>
                <w:szCs w:val="21"/>
                <w:highlight w:val="none"/>
              </w:rPr>
              <w:t>项目负责人</w:t>
            </w:r>
          </w:p>
        </w:tc>
        <w:tc>
          <w:tcPr>
            <w:tcW w:w="942" w:type="dxa"/>
            <w:noWrap w:val="0"/>
            <w:vAlign w:val="top"/>
          </w:tcPr>
          <w:p>
            <w:pPr>
              <w:rPr>
                <w:rFonts w:hint="eastAsia" w:ascii="宋体" w:hAnsi="宋体" w:eastAsia="宋体" w:cs="宋体"/>
                <w:bCs/>
                <w:szCs w:val="21"/>
                <w:highlight w:val="none"/>
              </w:rPr>
            </w:pPr>
          </w:p>
        </w:tc>
        <w:tc>
          <w:tcPr>
            <w:tcW w:w="1032" w:type="dxa"/>
            <w:noWrap w:val="0"/>
            <w:vAlign w:val="top"/>
          </w:tcPr>
          <w:p>
            <w:pPr>
              <w:rPr>
                <w:rFonts w:hint="eastAsia" w:ascii="宋体" w:hAnsi="宋体" w:eastAsia="宋体" w:cs="宋体"/>
                <w:bCs/>
                <w:szCs w:val="21"/>
                <w:highlight w:val="none"/>
              </w:rPr>
            </w:pPr>
          </w:p>
        </w:tc>
        <w:tc>
          <w:tcPr>
            <w:tcW w:w="1032" w:type="dxa"/>
            <w:noWrap w:val="0"/>
            <w:vAlign w:val="top"/>
          </w:tcPr>
          <w:p>
            <w:pP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874" w:type="dxa"/>
            <w:noWrap w:val="0"/>
            <w:vAlign w:val="top"/>
          </w:tcPr>
          <w:p>
            <w:pPr>
              <w:rPr>
                <w:rFonts w:hint="eastAsia" w:ascii="宋体" w:hAnsi="宋体" w:eastAsia="宋体" w:cs="宋体"/>
                <w:bCs/>
                <w:szCs w:val="21"/>
                <w:highlight w:val="none"/>
              </w:rPr>
            </w:pPr>
          </w:p>
        </w:tc>
        <w:tc>
          <w:tcPr>
            <w:tcW w:w="758" w:type="dxa"/>
            <w:noWrap w:val="0"/>
            <w:vAlign w:val="top"/>
          </w:tcPr>
          <w:p>
            <w:pPr>
              <w:rPr>
                <w:rFonts w:hint="eastAsia" w:ascii="宋体" w:hAnsi="宋体" w:eastAsia="宋体" w:cs="宋体"/>
                <w:bCs/>
                <w:szCs w:val="21"/>
                <w:highlight w:val="none"/>
              </w:rPr>
            </w:pPr>
          </w:p>
        </w:tc>
        <w:tc>
          <w:tcPr>
            <w:tcW w:w="758" w:type="dxa"/>
            <w:noWrap w:val="0"/>
            <w:vAlign w:val="top"/>
          </w:tcPr>
          <w:p>
            <w:pPr>
              <w:rPr>
                <w:rFonts w:hint="eastAsia" w:ascii="宋体" w:hAnsi="宋体" w:eastAsia="宋体" w:cs="宋体"/>
                <w:bCs/>
                <w:szCs w:val="21"/>
                <w:highlight w:val="none"/>
              </w:rPr>
            </w:pPr>
          </w:p>
        </w:tc>
        <w:tc>
          <w:tcPr>
            <w:tcW w:w="759" w:type="dxa"/>
            <w:noWrap w:val="0"/>
            <w:vAlign w:val="top"/>
          </w:tcPr>
          <w:p>
            <w:pPr>
              <w:rPr>
                <w:rFonts w:hint="eastAsia" w:ascii="宋体" w:hAnsi="宋体" w:eastAsia="宋体" w:cs="宋体"/>
                <w:bCs/>
                <w:szCs w:val="21"/>
                <w:highlight w:val="none"/>
              </w:rPr>
            </w:pPr>
          </w:p>
        </w:tc>
        <w:tc>
          <w:tcPr>
            <w:tcW w:w="939" w:type="dxa"/>
            <w:noWrap w:val="0"/>
            <w:vAlign w:val="top"/>
          </w:tcPr>
          <w:p>
            <w:pPr>
              <w:rPr>
                <w:rFonts w:hint="eastAsia" w:ascii="宋体" w:hAnsi="宋体" w:eastAsia="宋体" w:cs="宋体"/>
                <w:bCs/>
                <w:szCs w:val="21"/>
                <w:highlight w:val="none"/>
              </w:rPr>
            </w:pPr>
          </w:p>
        </w:tc>
        <w:tc>
          <w:tcPr>
            <w:tcW w:w="1441" w:type="dxa"/>
            <w:noWrap w:val="0"/>
            <w:vAlign w:val="top"/>
          </w:tcPr>
          <w:p>
            <w:pP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技术负责人</w:t>
            </w:r>
          </w:p>
        </w:tc>
        <w:tc>
          <w:tcPr>
            <w:tcW w:w="942" w:type="dxa"/>
            <w:noWrap w:val="0"/>
            <w:vAlign w:val="top"/>
          </w:tcPr>
          <w:p>
            <w:pPr>
              <w:rPr>
                <w:rFonts w:hint="eastAsia" w:ascii="宋体" w:hAnsi="宋体" w:eastAsia="宋体" w:cs="宋体"/>
                <w:bCs/>
                <w:szCs w:val="21"/>
                <w:highlight w:val="none"/>
              </w:rPr>
            </w:pPr>
          </w:p>
        </w:tc>
        <w:tc>
          <w:tcPr>
            <w:tcW w:w="1032" w:type="dxa"/>
            <w:noWrap w:val="0"/>
            <w:vAlign w:val="top"/>
          </w:tcPr>
          <w:p>
            <w:pPr>
              <w:rPr>
                <w:rFonts w:hint="eastAsia" w:ascii="宋体" w:hAnsi="宋体" w:eastAsia="宋体" w:cs="宋体"/>
                <w:bCs/>
                <w:szCs w:val="21"/>
                <w:highlight w:val="none"/>
              </w:rPr>
            </w:pPr>
          </w:p>
        </w:tc>
        <w:tc>
          <w:tcPr>
            <w:tcW w:w="1032" w:type="dxa"/>
            <w:noWrap w:val="0"/>
            <w:vAlign w:val="top"/>
          </w:tcPr>
          <w:p>
            <w:pP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874" w:type="dxa"/>
            <w:noWrap w:val="0"/>
            <w:vAlign w:val="top"/>
          </w:tcPr>
          <w:p>
            <w:pPr>
              <w:rPr>
                <w:rFonts w:hint="eastAsia" w:ascii="宋体" w:hAnsi="宋体" w:eastAsia="宋体" w:cs="宋体"/>
                <w:bCs/>
                <w:szCs w:val="21"/>
                <w:highlight w:val="none"/>
              </w:rPr>
            </w:pPr>
          </w:p>
        </w:tc>
        <w:tc>
          <w:tcPr>
            <w:tcW w:w="758" w:type="dxa"/>
            <w:noWrap w:val="0"/>
            <w:vAlign w:val="top"/>
          </w:tcPr>
          <w:p>
            <w:pPr>
              <w:rPr>
                <w:rFonts w:hint="eastAsia" w:ascii="宋体" w:hAnsi="宋体" w:eastAsia="宋体" w:cs="宋体"/>
                <w:bCs/>
                <w:szCs w:val="21"/>
                <w:highlight w:val="none"/>
              </w:rPr>
            </w:pPr>
          </w:p>
        </w:tc>
        <w:tc>
          <w:tcPr>
            <w:tcW w:w="758" w:type="dxa"/>
            <w:noWrap w:val="0"/>
            <w:vAlign w:val="top"/>
          </w:tcPr>
          <w:p>
            <w:pPr>
              <w:rPr>
                <w:rFonts w:hint="eastAsia" w:ascii="宋体" w:hAnsi="宋体" w:eastAsia="宋体" w:cs="宋体"/>
                <w:bCs/>
                <w:szCs w:val="21"/>
                <w:highlight w:val="none"/>
              </w:rPr>
            </w:pPr>
          </w:p>
        </w:tc>
        <w:tc>
          <w:tcPr>
            <w:tcW w:w="759" w:type="dxa"/>
            <w:noWrap w:val="0"/>
            <w:vAlign w:val="top"/>
          </w:tcPr>
          <w:p>
            <w:pPr>
              <w:rPr>
                <w:rFonts w:hint="eastAsia" w:ascii="宋体" w:hAnsi="宋体" w:eastAsia="宋体" w:cs="宋体"/>
                <w:bCs/>
                <w:szCs w:val="21"/>
                <w:highlight w:val="none"/>
              </w:rPr>
            </w:pPr>
          </w:p>
        </w:tc>
        <w:tc>
          <w:tcPr>
            <w:tcW w:w="939" w:type="dxa"/>
            <w:noWrap w:val="0"/>
            <w:vAlign w:val="top"/>
          </w:tcPr>
          <w:p>
            <w:pPr>
              <w:rPr>
                <w:rFonts w:hint="eastAsia" w:ascii="宋体" w:hAnsi="宋体" w:eastAsia="宋体" w:cs="宋体"/>
                <w:bCs/>
                <w:szCs w:val="21"/>
                <w:highlight w:val="none"/>
              </w:rPr>
            </w:pPr>
          </w:p>
        </w:tc>
        <w:tc>
          <w:tcPr>
            <w:tcW w:w="1441" w:type="dxa"/>
            <w:noWrap w:val="0"/>
            <w:vAlign w:val="top"/>
          </w:tcPr>
          <w:p>
            <w:pPr>
              <w:rPr>
                <w:rFonts w:hint="eastAsia" w:ascii="宋体" w:hAnsi="宋体" w:eastAsia="宋体" w:cs="宋体"/>
                <w:bCs/>
                <w:szCs w:val="21"/>
                <w:highlight w:val="none"/>
              </w:rPr>
            </w:pPr>
            <w:r>
              <w:rPr>
                <w:rFonts w:hint="eastAsia" w:ascii="宋体" w:hAnsi="宋体" w:eastAsia="宋体" w:cs="宋体"/>
                <w:bCs/>
                <w:szCs w:val="21"/>
                <w:highlight w:val="none"/>
              </w:rPr>
              <w:t>……</w:t>
            </w:r>
          </w:p>
        </w:tc>
        <w:tc>
          <w:tcPr>
            <w:tcW w:w="942" w:type="dxa"/>
            <w:noWrap w:val="0"/>
            <w:vAlign w:val="top"/>
          </w:tcPr>
          <w:p>
            <w:pPr>
              <w:rPr>
                <w:rFonts w:hint="eastAsia" w:ascii="宋体" w:hAnsi="宋体" w:eastAsia="宋体" w:cs="宋体"/>
                <w:bCs/>
                <w:szCs w:val="21"/>
                <w:highlight w:val="none"/>
              </w:rPr>
            </w:pPr>
          </w:p>
        </w:tc>
        <w:tc>
          <w:tcPr>
            <w:tcW w:w="1032" w:type="dxa"/>
            <w:noWrap w:val="0"/>
            <w:vAlign w:val="top"/>
          </w:tcPr>
          <w:p>
            <w:pPr>
              <w:rPr>
                <w:rFonts w:hint="eastAsia" w:ascii="宋体" w:hAnsi="宋体" w:eastAsia="宋体" w:cs="宋体"/>
                <w:bCs/>
                <w:szCs w:val="21"/>
                <w:highlight w:val="none"/>
              </w:rPr>
            </w:pPr>
          </w:p>
        </w:tc>
        <w:tc>
          <w:tcPr>
            <w:tcW w:w="1032" w:type="dxa"/>
            <w:noWrap w:val="0"/>
            <w:vAlign w:val="top"/>
          </w:tcPr>
          <w:p>
            <w:pP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trPr>
        <w:tc>
          <w:tcPr>
            <w:tcW w:w="874" w:type="dxa"/>
            <w:noWrap w:val="0"/>
            <w:vAlign w:val="top"/>
          </w:tcPr>
          <w:p>
            <w:pPr>
              <w:rPr>
                <w:rFonts w:hint="eastAsia" w:ascii="宋体" w:hAnsi="宋体" w:eastAsia="宋体" w:cs="宋体"/>
                <w:bCs/>
                <w:szCs w:val="21"/>
                <w:highlight w:val="none"/>
              </w:rPr>
            </w:pPr>
          </w:p>
        </w:tc>
        <w:tc>
          <w:tcPr>
            <w:tcW w:w="758" w:type="dxa"/>
            <w:noWrap w:val="0"/>
            <w:vAlign w:val="top"/>
          </w:tcPr>
          <w:p>
            <w:pPr>
              <w:rPr>
                <w:rFonts w:hint="eastAsia" w:ascii="宋体" w:hAnsi="宋体" w:eastAsia="宋体" w:cs="宋体"/>
                <w:bCs/>
                <w:szCs w:val="21"/>
                <w:highlight w:val="none"/>
              </w:rPr>
            </w:pPr>
          </w:p>
        </w:tc>
        <w:tc>
          <w:tcPr>
            <w:tcW w:w="758" w:type="dxa"/>
            <w:noWrap w:val="0"/>
            <w:vAlign w:val="top"/>
          </w:tcPr>
          <w:p>
            <w:pPr>
              <w:rPr>
                <w:rFonts w:hint="eastAsia" w:ascii="宋体" w:hAnsi="宋体" w:eastAsia="宋体" w:cs="宋体"/>
                <w:bCs/>
                <w:szCs w:val="21"/>
                <w:highlight w:val="none"/>
              </w:rPr>
            </w:pPr>
          </w:p>
        </w:tc>
        <w:tc>
          <w:tcPr>
            <w:tcW w:w="759" w:type="dxa"/>
            <w:noWrap w:val="0"/>
            <w:vAlign w:val="top"/>
          </w:tcPr>
          <w:p>
            <w:pPr>
              <w:rPr>
                <w:rFonts w:hint="eastAsia" w:ascii="宋体" w:hAnsi="宋体" w:eastAsia="宋体" w:cs="宋体"/>
                <w:bCs/>
                <w:szCs w:val="21"/>
                <w:highlight w:val="none"/>
              </w:rPr>
            </w:pPr>
          </w:p>
        </w:tc>
        <w:tc>
          <w:tcPr>
            <w:tcW w:w="939" w:type="dxa"/>
            <w:noWrap w:val="0"/>
            <w:vAlign w:val="top"/>
          </w:tcPr>
          <w:p>
            <w:pPr>
              <w:rPr>
                <w:rFonts w:hint="eastAsia" w:ascii="宋体" w:hAnsi="宋体" w:eastAsia="宋体" w:cs="宋体"/>
                <w:bCs/>
                <w:szCs w:val="21"/>
                <w:highlight w:val="none"/>
              </w:rPr>
            </w:pPr>
          </w:p>
        </w:tc>
        <w:tc>
          <w:tcPr>
            <w:tcW w:w="1441" w:type="dxa"/>
            <w:noWrap w:val="0"/>
            <w:vAlign w:val="top"/>
          </w:tcPr>
          <w:p>
            <w:pPr>
              <w:rPr>
                <w:rFonts w:hint="eastAsia" w:ascii="宋体" w:hAnsi="宋体" w:eastAsia="宋体" w:cs="宋体"/>
                <w:bCs/>
                <w:szCs w:val="21"/>
                <w:highlight w:val="none"/>
              </w:rPr>
            </w:pPr>
          </w:p>
        </w:tc>
        <w:tc>
          <w:tcPr>
            <w:tcW w:w="942" w:type="dxa"/>
            <w:noWrap w:val="0"/>
            <w:vAlign w:val="top"/>
          </w:tcPr>
          <w:p>
            <w:pPr>
              <w:rPr>
                <w:rFonts w:hint="eastAsia" w:ascii="宋体" w:hAnsi="宋体" w:eastAsia="宋体" w:cs="宋体"/>
                <w:bCs/>
                <w:szCs w:val="21"/>
                <w:highlight w:val="none"/>
              </w:rPr>
            </w:pPr>
          </w:p>
        </w:tc>
        <w:tc>
          <w:tcPr>
            <w:tcW w:w="1032" w:type="dxa"/>
            <w:noWrap w:val="0"/>
            <w:vAlign w:val="top"/>
          </w:tcPr>
          <w:p>
            <w:pPr>
              <w:rPr>
                <w:rFonts w:hint="eastAsia" w:ascii="宋体" w:hAnsi="宋体" w:eastAsia="宋体" w:cs="宋体"/>
                <w:bCs/>
                <w:szCs w:val="21"/>
                <w:highlight w:val="none"/>
              </w:rPr>
            </w:pPr>
          </w:p>
        </w:tc>
        <w:tc>
          <w:tcPr>
            <w:tcW w:w="1032" w:type="dxa"/>
            <w:noWrap w:val="0"/>
            <w:vAlign w:val="top"/>
          </w:tcPr>
          <w:p>
            <w:pPr>
              <w:jc w:val="center"/>
              <w:rPr>
                <w:rFonts w:hint="default" w:ascii="宋体" w:hAnsi="宋体" w:eastAsia="宋体" w:cs="宋体"/>
                <w:bCs/>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874" w:type="dxa"/>
            <w:noWrap w:val="0"/>
            <w:vAlign w:val="top"/>
          </w:tcPr>
          <w:p>
            <w:pPr>
              <w:rPr>
                <w:rFonts w:hint="eastAsia" w:ascii="宋体" w:hAnsi="宋体" w:eastAsia="宋体" w:cs="宋体"/>
                <w:bCs/>
                <w:szCs w:val="21"/>
                <w:highlight w:val="none"/>
              </w:rPr>
            </w:pPr>
          </w:p>
        </w:tc>
        <w:tc>
          <w:tcPr>
            <w:tcW w:w="758" w:type="dxa"/>
            <w:noWrap w:val="0"/>
            <w:vAlign w:val="top"/>
          </w:tcPr>
          <w:p>
            <w:pPr>
              <w:rPr>
                <w:rFonts w:hint="eastAsia" w:ascii="宋体" w:hAnsi="宋体" w:eastAsia="宋体" w:cs="宋体"/>
                <w:bCs/>
                <w:szCs w:val="21"/>
                <w:highlight w:val="none"/>
              </w:rPr>
            </w:pPr>
          </w:p>
        </w:tc>
        <w:tc>
          <w:tcPr>
            <w:tcW w:w="758" w:type="dxa"/>
            <w:noWrap w:val="0"/>
            <w:vAlign w:val="top"/>
          </w:tcPr>
          <w:p>
            <w:pPr>
              <w:rPr>
                <w:rFonts w:hint="eastAsia" w:ascii="宋体" w:hAnsi="宋体" w:eastAsia="宋体" w:cs="宋体"/>
                <w:bCs/>
                <w:szCs w:val="21"/>
                <w:highlight w:val="none"/>
              </w:rPr>
            </w:pPr>
          </w:p>
        </w:tc>
        <w:tc>
          <w:tcPr>
            <w:tcW w:w="759" w:type="dxa"/>
            <w:noWrap w:val="0"/>
            <w:vAlign w:val="top"/>
          </w:tcPr>
          <w:p>
            <w:pPr>
              <w:rPr>
                <w:rFonts w:hint="eastAsia" w:ascii="宋体" w:hAnsi="宋体" w:eastAsia="宋体" w:cs="宋体"/>
                <w:bCs/>
                <w:szCs w:val="21"/>
                <w:highlight w:val="none"/>
              </w:rPr>
            </w:pPr>
          </w:p>
        </w:tc>
        <w:tc>
          <w:tcPr>
            <w:tcW w:w="939" w:type="dxa"/>
            <w:noWrap w:val="0"/>
            <w:vAlign w:val="top"/>
          </w:tcPr>
          <w:p>
            <w:pPr>
              <w:rPr>
                <w:rFonts w:hint="eastAsia" w:ascii="宋体" w:hAnsi="宋体" w:eastAsia="宋体" w:cs="宋体"/>
                <w:bCs/>
                <w:szCs w:val="21"/>
                <w:highlight w:val="none"/>
              </w:rPr>
            </w:pPr>
          </w:p>
        </w:tc>
        <w:tc>
          <w:tcPr>
            <w:tcW w:w="1441" w:type="dxa"/>
            <w:noWrap w:val="0"/>
            <w:vAlign w:val="top"/>
          </w:tcPr>
          <w:p>
            <w:pPr>
              <w:rPr>
                <w:rFonts w:hint="eastAsia" w:ascii="宋体" w:hAnsi="宋体" w:eastAsia="宋体" w:cs="宋体"/>
                <w:bCs/>
                <w:szCs w:val="21"/>
                <w:highlight w:val="none"/>
              </w:rPr>
            </w:pPr>
          </w:p>
        </w:tc>
        <w:tc>
          <w:tcPr>
            <w:tcW w:w="942" w:type="dxa"/>
            <w:noWrap w:val="0"/>
            <w:vAlign w:val="top"/>
          </w:tcPr>
          <w:p>
            <w:pPr>
              <w:rPr>
                <w:rFonts w:hint="eastAsia" w:ascii="宋体" w:hAnsi="宋体" w:eastAsia="宋体" w:cs="宋体"/>
                <w:bCs/>
                <w:szCs w:val="21"/>
                <w:highlight w:val="none"/>
              </w:rPr>
            </w:pPr>
          </w:p>
        </w:tc>
        <w:tc>
          <w:tcPr>
            <w:tcW w:w="1032" w:type="dxa"/>
            <w:noWrap w:val="0"/>
            <w:vAlign w:val="top"/>
          </w:tcPr>
          <w:p>
            <w:pPr>
              <w:rPr>
                <w:rFonts w:hint="eastAsia" w:ascii="宋体" w:hAnsi="宋体" w:eastAsia="宋体" w:cs="宋体"/>
                <w:bCs/>
                <w:szCs w:val="21"/>
                <w:highlight w:val="none"/>
              </w:rPr>
            </w:pPr>
          </w:p>
        </w:tc>
        <w:tc>
          <w:tcPr>
            <w:tcW w:w="1032" w:type="dxa"/>
            <w:noWrap w:val="0"/>
            <w:vAlign w:val="top"/>
          </w:tcPr>
          <w:p>
            <w:pPr>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874" w:type="dxa"/>
            <w:noWrap w:val="0"/>
            <w:vAlign w:val="top"/>
          </w:tcPr>
          <w:p>
            <w:pPr>
              <w:rPr>
                <w:rFonts w:hint="eastAsia" w:ascii="宋体" w:hAnsi="宋体" w:eastAsia="宋体" w:cs="宋体"/>
                <w:bCs/>
                <w:szCs w:val="21"/>
                <w:highlight w:val="none"/>
              </w:rPr>
            </w:pPr>
          </w:p>
        </w:tc>
        <w:tc>
          <w:tcPr>
            <w:tcW w:w="758" w:type="dxa"/>
            <w:noWrap w:val="0"/>
            <w:vAlign w:val="top"/>
          </w:tcPr>
          <w:p>
            <w:pPr>
              <w:rPr>
                <w:rFonts w:hint="eastAsia" w:ascii="宋体" w:hAnsi="宋体" w:eastAsia="宋体" w:cs="宋体"/>
                <w:bCs/>
                <w:szCs w:val="21"/>
                <w:highlight w:val="none"/>
              </w:rPr>
            </w:pPr>
          </w:p>
        </w:tc>
        <w:tc>
          <w:tcPr>
            <w:tcW w:w="758" w:type="dxa"/>
            <w:noWrap w:val="0"/>
            <w:vAlign w:val="top"/>
          </w:tcPr>
          <w:p>
            <w:pPr>
              <w:rPr>
                <w:rFonts w:hint="eastAsia" w:ascii="宋体" w:hAnsi="宋体" w:eastAsia="宋体" w:cs="宋体"/>
                <w:bCs/>
                <w:szCs w:val="21"/>
                <w:highlight w:val="none"/>
              </w:rPr>
            </w:pPr>
          </w:p>
        </w:tc>
        <w:tc>
          <w:tcPr>
            <w:tcW w:w="759" w:type="dxa"/>
            <w:noWrap w:val="0"/>
            <w:vAlign w:val="top"/>
          </w:tcPr>
          <w:p>
            <w:pPr>
              <w:rPr>
                <w:rFonts w:hint="eastAsia" w:ascii="宋体" w:hAnsi="宋体" w:eastAsia="宋体" w:cs="宋体"/>
                <w:bCs/>
                <w:szCs w:val="21"/>
                <w:highlight w:val="none"/>
              </w:rPr>
            </w:pPr>
          </w:p>
        </w:tc>
        <w:tc>
          <w:tcPr>
            <w:tcW w:w="939" w:type="dxa"/>
            <w:noWrap w:val="0"/>
            <w:vAlign w:val="top"/>
          </w:tcPr>
          <w:p>
            <w:pPr>
              <w:rPr>
                <w:rFonts w:hint="eastAsia" w:ascii="宋体" w:hAnsi="宋体" w:eastAsia="宋体" w:cs="宋体"/>
                <w:bCs/>
                <w:szCs w:val="21"/>
                <w:highlight w:val="none"/>
              </w:rPr>
            </w:pPr>
          </w:p>
        </w:tc>
        <w:tc>
          <w:tcPr>
            <w:tcW w:w="1441" w:type="dxa"/>
            <w:noWrap w:val="0"/>
            <w:vAlign w:val="top"/>
          </w:tcPr>
          <w:p>
            <w:pPr>
              <w:rPr>
                <w:rFonts w:hint="eastAsia" w:ascii="宋体" w:hAnsi="宋体" w:eastAsia="宋体" w:cs="宋体"/>
                <w:bCs/>
                <w:szCs w:val="21"/>
                <w:highlight w:val="none"/>
              </w:rPr>
            </w:pPr>
          </w:p>
        </w:tc>
        <w:tc>
          <w:tcPr>
            <w:tcW w:w="942" w:type="dxa"/>
            <w:noWrap w:val="0"/>
            <w:vAlign w:val="top"/>
          </w:tcPr>
          <w:p>
            <w:pPr>
              <w:rPr>
                <w:rFonts w:hint="eastAsia" w:ascii="宋体" w:hAnsi="宋体" w:eastAsia="宋体" w:cs="宋体"/>
                <w:bCs/>
                <w:szCs w:val="21"/>
                <w:highlight w:val="none"/>
              </w:rPr>
            </w:pPr>
          </w:p>
        </w:tc>
        <w:tc>
          <w:tcPr>
            <w:tcW w:w="1032" w:type="dxa"/>
            <w:noWrap w:val="0"/>
            <w:vAlign w:val="top"/>
          </w:tcPr>
          <w:p>
            <w:pPr>
              <w:rPr>
                <w:rFonts w:hint="eastAsia" w:ascii="宋体" w:hAnsi="宋体" w:eastAsia="宋体" w:cs="宋体"/>
                <w:bCs/>
                <w:szCs w:val="21"/>
                <w:highlight w:val="none"/>
              </w:rPr>
            </w:pPr>
          </w:p>
        </w:tc>
        <w:tc>
          <w:tcPr>
            <w:tcW w:w="1032" w:type="dxa"/>
            <w:noWrap w:val="0"/>
            <w:vAlign w:val="top"/>
          </w:tcPr>
          <w:p>
            <w:pPr>
              <w:jc w:val="center"/>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常驻人员1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74" w:type="dxa"/>
            <w:noWrap w:val="0"/>
            <w:vAlign w:val="top"/>
          </w:tcPr>
          <w:p>
            <w:pPr>
              <w:rPr>
                <w:rFonts w:hint="eastAsia" w:ascii="宋体" w:hAnsi="宋体" w:eastAsia="宋体" w:cs="宋体"/>
                <w:bCs/>
                <w:szCs w:val="21"/>
                <w:highlight w:val="none"/>
              </w:rPr>
            </w:pPr>
          </w:p>
        </w:tc>
        <w:tc>
          <w:tcPr>
            <w:tcW w:w="758" w:type="dxa"/>
            <w:noWrap w:val="0"/>
            <w:vAlign w:val="top"/>
          </w:tcPr>
          <w:p>
            <w:pPr>
              <w:rPr>
                <w:rFonts w:hint="eastAsia" w:ascii="宋体" w:hAnsi="宋体" w:eastAsia="宋体" w:cs="宋体"/>
                <w:bCs/>
                <w:szCs w:val="21"/>
                <w:highlight w:val="none"/>
              </w:rPr>
            </w:pPr>
          </w:p>
        </w:tc>
        <w:tc>
          <w:tcPr>
            <w:tcW w:w="758" w:type="dxa"/>
            <w:noWrap w:val="0"/>
            <w:vAlign w:val="top"/>
          </w:tcPr>
          <w:p>
            <w:pPr>
              <w:rPr>
                <w:rFonts w:hint="eastAsia" w:ascii="宋体" w:hAnsi="宋体" w:eastAsia="宋体" w:cs="宋体"/>
                <w:bCs/>
                <w:szCs w:val="21"/>
                <w:highlight w:val="none"/>
              </w:rPr>
            </w:pPr>
          </w:p>
        </w:tc>
        <w:tc>
          <w:tcPr>
            <w:tcW w:w="759" w:type="dxa"/>
            <w:noWrap w:val="0"/>
            <w:vAlign w:val="top"/>
          </w:tcPr>
          <w:p>
            <w:pPr>
              <w:rPr>
                <w:rFonts w:hint="eastAsia" w:ascii="宋体" w:hAnsi="宋体" w:eastAsia="宋体" w:cs="宋体"/>
                <w:bCs/>
                <w:szCs w:val="21"/>
                <w:highlight w:val="none"/>
              </w:rPr>
            </w:pPr>
          </w:p>
        </w:tc>
        <w:tc>
          <w:tcPr>
            <w:tcW w:w="939" w:type="dxa"/>
            <w:noWrap w:val="0"/>
            <w:vAlign w:val="top"/>
          </w:tcPr>
          <w:p>
            <w:pPr>
              <w:rPr>
                <w:rFonts w:hint="eastAsia" w:ascii="宋体" w:hAnsi="宋体" w:eastAsia="宋体" w:cs="宋体"/>
                <w:bCs/>
                <w:szCs w:val="21"/>
                <w:highlight w:val="none"/>
              </w:rPr>
            </w:pPr>
          </w:p>
        </w:tc>
        <w:tc>
          <w:tcPr>
            <w:tcW w:w="1441" w:type="dxa"/>
            <w:noWrap w:val="0"/>
            <w:vAlign w:val="top"/>
          </w:tcPr>
          <w:p>
            <w:pPr>
              <w:rPr>
                <w:rFonts w:hint="eastAsia" w:ascii="宋体" w:hAnsi="宋体" w:eastAsia="宋体" w:cs="宋体"/>
                <w:bCs/>
                <w:szCs w:val="21"/>
                <w:highlight w:val="none"/>
              </w:rPr>
            </w:pPr>
          </w:p>
        </w:tc>
        <w:tc>
          <w:tcPr>
            <w:tcW w:w="942" w:type="dxa"/>
            <w:noWrap w:val="0"/>
            <w:vAlign w:val="top"/>
          </w:tcPr>
          <w:p>
            <w:pPr>
              <w:rPr>
                <w:rFonts w:hint="eastAsia" w:ascii="宋体" w:hAnsi="宋体" w:eastAsia="宋体" w:cs="宋体"/>
                <w:bCs/>
                <w:szCs w:val="21"/>
                <w:highlight w:val="none"/>
              </w:rPr>
            </w:pPr>
          </w:p>
        </w:tc>
        <w:tc>
          <w:tcPr>
            <w:tcW w:w="1032" w:type="dxa"/>
            <w:noWrap w:val="0"/>
            <w:vAlign w:val="top"/>
          </w:tcPr>
          <w:p>
            <w:pPr>
              <w:rPr>
                <w:rFonts w:hint="eastAsia" w:ascii="宋体" w:hAnsi="宋体" w:eastAsia="宋体" w:cs="宋体"/>
                <w:bCs/>
                <w:szCs w:val="21"/>
                <w:highlight w:val="none"/>
              </w:rPr>
            </w:pPr>
          </w:p>
        </w:tc>
        <w:tc>
          <w:tcPr>
            <w:tcW w:w="1032" w:type="dxa"/>
            <w:noWrap w:val="0"/>
            <w:vAlign w:val="top"/>
          </w:tcPr>
          <w:p>
            <w:pPr>
              <w:jc w:val="center"/>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常驻人员2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874" w:type="dxa"/>
            <w:noWrap w:val="0"/>
            <w:vAlign w:val="top"/>
          </w:tcPr>
          <w:p>
            <w:pPr>
              <w:rPr>
                <w:rFonts w:hint="eastAsia" w:ascii="宋体" w:hAnsi="宋体" w:eastAsia="宋体" w:cs="宋体"/>
                <w:bCs/>
                <w:szCs w:val="21"/>
                <w:highlight w:val="none"/>
              </w:rPr>
            </w:pPr>
          </w:p>
        </w:tc>
        <w:tc>
          <w:tcPr>
            <w:tcW w:w="758" w:type="dxa"/>
            <w:noWrap w:val="0"/>
            <w:vAlign w:val="top"/>
          </w:tcPr>
          <w:p>
            <w:pPr>
              <w:rPr>
                <w:rFonts w:hint="eastAsia" w:ascii="宋体" w:hAnsi="宋体" w:eastAsia="宋体" w:cs="宋体"/>
                <w:bCs/>
                <w:szCs w:val="21"/>
                <w:highlight w:val="none"/>
              </w:rPr>
            </w:pPr>
          </w:p>
        </w:tc>
        <w:tc>
          <w:tcPr>
            <w:tcW w:w="758" w:type="dxa"/>
            <w:noWrap w:val="0"/>
            <w:vAlign w:val="top"/>
          </w:tcPr>
          <w:p>
            <w:pPr>
              <w:rPr>
                <w:rFonts w:hint="eastAsia" w:ascii="宋体" w:hAnsi="宋体" w:eastAsia="宋体" w:cs="宋体"/>
                <w:bCs/>
                <w:szCs w:val="21"/>
                <w:highlight w:val="none"/>
              </w:rPr>
            </w:pPr>
          </w:p>
        </w:tc>
        <w:tc>
          <w:tcPr>
            <w:tcW w:w="759" w:type="dxa"/>
            <w:noWrap w:val="0"/>
            <w:vAlign w:val="top"/>
          </w:tcPr>
          <w:p>
            <w:pPr>
              <w:rPr>
                <w:rFonts w:hint="eastAsia" w:ascii="宋体" w:hAnsi="宋体" w:eastAsia="宋体" w:cs="宋体"/>
                <w:bCs/>
                <w:szCs w:val="21"/>
                <w:highlight w:val="none"/>
              </w:rPr>
            </w:pPr>
          </w:p>
        </w:tc>
        <w:tc>
          <w:tcPr>
            <w:tcW w:w="939" w:type="dxa"/>
            <w:noWrap w:val="0"/>
            <w:vAlign w:val="top"/>
          </w:tcPr>
          <w:p>
            <w:pPr>
              <w:rPr>
                <w:rFonts w:hint="eastAsia" w:ascii="宋体" w:hAnsi="宋体" w:eastAsia="宋体" w:cs="宋体"/>
                <w:bCs/>
                <w:szCs w:val="21"/>
                <w:highlight w:val="none"/>
              </w:rPr>
            </w:pPr>
          </w:p>
        </w:tc>
        <w:tc>
          <w:tcPr>
            <w:tcW w:w="1441" w:type="dxa"/>
            <w:noWrap w:val="0"/>
            <w:vAlign w:val="top"/>
          </w:tcPr>
          <w:p>
            <w:pPr>
              <w:rPr>
                <w:rFonts w:hint="eastAsia" w:ascii="宋体" w:hAnsi="宋体" w:eastAsia="宋体" w:cs="宋体"/>
                <w:bCs/>
                <w:szCs w:val="21"/>
                <w:highlight w:val="none"/>
              </w:rPr>
            </w:pPr>
          </w:p>
        </w:tc>
        <w:tc>
          <w:tcPr>
            <w:tcW w:w="942" w:type="dxa"/>
            <w:noWrap w:val="0"/>
            <w:vAlign w:val="top"/>
          </w:tcPr>
          <w:p>
            <w:pPr>
              <w:rPr>
                <w:rFonts w:hint="eastAsia" w:ascii="宋体" w:hAnsi="宋体" w:eastAsia="宋体" w:cs="宋体"/>
                <w:bCs/>
                <w:szCs w:val="21"/>
                <w:highlight w:val="none"/>
              </w:rPr>
            </w:pPr>
          </w:p>
        </w:tc>
        <w:tc>
          <w:tcPr>
            <w:tcW w:w="1032" w:type="dxa"/>
            <w:noWrap w:val="0"/>
            <w:vAlign w:val="top"/>
          </w:tcPr>
          <w:p>
            <w:pPr>
              <w:rPr>
                <w:rFonts w:hint="eastAsia" w:ascii="宋体" w:hAnsi="宋体" w:eastAsia="宋体" w:cs="宋体"/>
                <w:bCs/>
                <w:szCs w:val="21"/>
                <w:highlight w:val="none"/>
              </w:rPr>
            </w:pPr>
          </w:p>
        </w:tc>
        <w:tc>
          <w:tcPr>
            <w:tcW w:w="1032" w:type="dxa"/>
            <w:noWrap w:val="0"/>
            <w:vAlign w:val="top"/>
          </w:tcPr>
          <w:p>
            <w:pPr>
              <w:jc w:val="center"/>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常驻人员3</w:t>
            </w:r>
          </w:p>
        </w:tc>
      </w:tr>
    </w:tbl>
    <w:p>
      <w:pPr>
        <w:autoSpaceDE w:val="0"/>
        <w:autoSpaceDN w:val="0"/>
        <w:adjustRightInd w:val="0"/>
        <w:spacing w:line="386" w:lineRule="exact"/>
        <w:jc w:val="left"/>
        <w:rPr>
          <w:rFonts w:hint="eastAsia" w:ascii="宋体" w:hAnsi="宋体" w:eastAsia="宋体" w:cs="宋体"/>
          <w:bCs/>
          <w:szCs w:val="21"/>
          <w:highlight w:val="none"/>
        </w:rPr>
      </w:pPr>
    </w:p>
    <w:p>
      <w:pPr>
        <w:autoSpaceDE w:val="0"/>
        <w:autoSpaceDN w:val="0"/>
        <w:adjustRightInd w:val="0"/>
        <w:spacing w:line="386"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注：1、部门和岗位（工种）的设置及人员的配备由投标方自定；提供上述人员资质、身份证等证明材料、有效的社保证明（社保部门出具并盖章资料）</w:t>
      </w:r>
      <w:r>
        <w:rPr>
          <w:rFonts w:hint="eastAsia" w:ascii="宋体" w:hAnsi="宋体" w:eastAsia="宋体" w:cs="宋体"/>
          <w:b/>
          <w:sz w:val="24"/>
          <w:szCs w:val="24"/>
          <w:highlight w:val="none"/>
          <w:lang w:val="en-US" w:eastAsia="zh-CN"/>
        </w:rPr>
        <w:t>扫描件</w:t>
      </w:r>
      <w:r>
        <w:rPr>
          <w:rFonts w:hint="eastAsia" w:ascii="宋体" w:hAnsi="宋体" w:eastAsia="宋体" w:cs="宋体"/>
          <w:bCs/>
          <w:sz w:val="24"/>
          <w:szCs w:val="24"/>
          <w:highlight w:val="none"/>
        </w:rPr>
        <w:t>，未提供不得分。</w:t>
      </w:r>
    </w:p>
    <w:p>
      <w:pPr>
        <w:autoSpaceDE w:val="0"/>
        <w:autoSpaceDN w:val="0"/>
        <w:adjustRightInd w:val="0"/>
        <w:spacing w:line="386"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2、表格不够用时可自行扩展。</w:t>
      </w:r>
    </w:p>
    <w:p>
      <w:pPr>
        <w:autoSpaceDE w:val="0"/>
        <w:autoSpaceDN w:val="0"/>
        <w:adjustRightInd w:val="0"/>
        <w:spacing w:line="386"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3、以上内容必须是真实的，否则，一经查实，按相关规定处理。</w:t>
      </w:r>
    </w:p>
    <w:p>
      <w:pPr>
        <w:autoSpaceDE w:val="0"/>
        <w:autoSpaceDN w:val="0"/>
        <w:adjustRightInd w:val="0"/>
        <w:spacing w:line="386"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4、此表在不改变表式的情况下，可自行制作。</w:t>
      </w:r>
    </w:p>
    <w:p>
      <w:pPr>
        <w:tabs>
          <w:tab w:val="left" w:pos="3165"/>
        </w:tabs>
        <w:rPr>
          <w:rFonts w:hint="eastAsia" w:ascii="宋体" w:hAnsi="宋体" w:eastAsia="宋体" w:cs="宋体"/>
          <w:bCs/>
          <w:sz w:val="24"/>
          <w:szCs w:val="24"/>
          <w:highlight w:val="none"/>
        </w:rPr>
      </w:pPr>
    </w:p>
    <w:p>
      <w:pPr>
        <w:tabs>
          <w:tab w:val="left" w:pos="3165"/>
        </w:tabs>
        <w:rPr>
          <w:rFonts w:hint="eastAsia" w:ascii="宋体" w:hAnsi="宋体" w:eastAsia="宋体" w:cs="宋体"/>
          <w:bCs/>
          <w:sz w:val="24"/>
          <w:szCs w:val="24"/>
          <w:highlight w:val="none"/>
        </w:rPr>
      </w:pPr>
    </w:p>
    <w:p>
      <w:pPr>
        <w:keepNext w:val="0"/>
        <w:keepLines w:val="0"/>
        <w:kinsoku/>
        <w:wordWrap/>
        <w:overflowPunct/>
        <w:topLinePunct w:val="0"/>
        <w:autoSpaceDE w:val="0"/>
        <w:autoSpaceDN w:val="0"/>
        <w:bidi w:val="0"/>
        <w:adjustRightInd w:val="0"/>
        <w:spacing w:line="500" w:lineRule="exact"/>
        <w:ind w:firstLine="480" w:firstLineChars="200"/>
        <w:rPr>
          <w:rFonts w:hint="eastAsia" w:ascii="宋体" w:hAnsi="宋体" w:eastAsia="宋体" w:cs="宋体"/>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460" w:lineRule="exact"/>
        <w:ind w:firstLine="437"/>
        <w:jc w:val="left"/>
        <w:textAlignment w:val="auto"/>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kern w:val="0"/>
          <w:sz w:val="24"/>
          <w:szCs w:val="24"/>
          <w:highlight w:val="none"/>
        </w:rPr>
        <w:t>（盖章或电子签章）</w:t>
      </w:r>
      <w:r>
        <w:rPr>
          <w:rFonts w:hint="eastAsia" w:ascii="宋体" w:hAnsi="宋体" w:cs="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37"/>
        <w:jc w:val="left"/>
        <w:textAlignment w:val="auto"/>
        <w:rPr>
          <w:rFonts w:ascii="宋体" w:hAnsi="宋体" w:cs="宋体"/>
          <w:sz w:val="24"/>
          <w:highlight w:val="none"/>
        </w:rPr>
      </w:pPr>
      <w:r>
        <w:rPr>
          <w:rFonts w:hint="eastAsia" w:ascii="宋体" w:hAnsi="宋体" w:cs="宋体"/>
          <w:sz w:val="24"/>
          <w:highlight w:val="none"/>
        </w:rPr>
        <w:t>法定代表人或其授权代表</w:t>
      </w:r>
      <w:r>
        <w:rPr>
          <w:rFonts w:hint="eastAsia" w:hAnsi="宋体"/>
          <w:sz w:val="24"/>
          <w:szCs w:val="24"/>
          <w:highlight w:val="none"/>
        </w:rPr>
        <w:t>（签字或盖章或电子签章）</w:t>
      </w:r>
      <w:r>
        <w:rPr>
          <w:rFonts w:hint="eastAsia" w:ascii="宋体" w:hAnsi="宋体" w:cs="宋体"/>
          <w:sz w:val="24"/>
          <w:highlight w:val="none"/>
        </w:rPr>
        <w:t>：</w:t>
      </w:r>
      <w:r>
        <w:rPr>
          <w:rFonts w:hint="eastAsia" w:ascii="宋体" w:hAnsi="宋体" w:cs="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37"/>
        <w:jc w:val="left"/>
        <w:textAlignment w:val="auto"/>
        <w:rPr>
          <w:rFonts w:ascii="宋体" w:hAnsi="宋体" w:cs="宋体"/>
          <w:sz w:val="28"/>
          <w:szCs w:val="28"/>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8"/>
          <w:szCs w:val="28"/>
          <w:highlight w:val="none"/>
          <w:u w:val="single"/>
        </w:rPr>
        <w:t xml:space="preserve"> </w:t>
      </w:r>
    </w:p>
    <w:p>
      <w:pPr>
        <w:spacing w:line="600" w:lineRule="exact"/>
        <w:ind w:firstLine="480" w:firstLineChars="200"/>
        <w:rPr>
          <w:rFonts w:hint="eastAsia" w:ascii="宋体" w:hAnsi="宋体" w:cs="宋体"/>
          <w:sz w:val="24"/>
          <w:szCs w:val="24"/>
          <w:highlight w:val="none"/>
        </w:rPr>
      </w:pPr>
    </w:p>
    <w:p>
      <w:pPr>
        <w:spacing w:line="600" w:lineRule="exact"/>
        <w:ind w:firstLine="480" w:firstLineChars="200"/>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4"/>
          <w:szCs w:val="24"/>
          <w:highlight w:val="none"/>
          <w:lang w:val="en-US" w:eastAsia="zh-CN" w:bidi="ar-SA"/>
        </w:rPr>
        <w:t>其他材料</w:t>
      </w:r>
    </w:p>
    <w:p>
      <w:pPr>
        <w:spacing w:line="600" w:lineRule="exact"/>
        <w:ind w:firstLine="480" w:firstLineChars="200"/>
        <w:rPr>
          <w:rFonts w:ascii="宋体" w:hAnsi="宋体" w:cs="宋体"/>
          <w:sz w:val="24"/>
          <w:szCs w:val="24"/>
          <w:highlight w:val="none"/>
        </w:rPr>
      </w:pPr>
      <w:r>
        <w:rPr>
          <w:rFonts w:hint="eastAsia" w:ascii="宋体" w:hAnsi="宋体" w:cs="宋体"/>
          <w:sz w:val="24"/>
          <w:szCs w:val="24"/>
          <w:highlight w:val="none"/>
        </w:rPr>
        <w:t>根据招标文件的要求及评分内容要求，本部分未提供格式的内容，供应商自行编制</w:t>
      </w:r>
    </w:p>
    <w:p>
      <w:pPr>
        <w:spacing w:line="600" w:lineRule="exact"/>
        <w:rPr>
          <w:rFonts w:ascii="宋体" w:hAnsi="宋体" w:cs="宋体"/>
          <w:sz w:val="28"/>
          <w:szCs w:val="28"/>
          <w:highlight w:val="none"/>
        </w:rPr>
      </w:pPr>
    </w:p>
    <w:p>
      <w:pPr>
        <w:pStyle w:val="2"/>
        <w:ind w:firstLine="0" w:firstLineChars="0"/>
        <w:rPr>
          <w:rFonts w:ascii="宋体" w:hAnsi="宋体" w:cs="宋体"/>
          <w:sz w:val="28"/>
          <w:szCs w:val="28"/>
          <w:highlight w:val="none"/>
        </w:rPr>
      </w:pPr>
    </w:p>
    <w:p>
      <w:pPr>
        <w:pStyle w:val="2"/>
        <w:ind w:firstLine="0" w:firstLineChars="0"/>
        <w:rPr>
          <w:rFonts w:ascii="宋体" w:hAnsi="宋体" w:cs="宋体"/>
          <w:sz w:val="28"/>
          <w:szCs w:val="28"/>
          <w:highlight w:val="none"/>
        </w:rPr>
      </w:pPr>
    </w:p>
    <w:p>
      <w:pPr>
        <w:pStyle w:val="2"/>
        <w:ind w:firstLine="0" w:firstLineChars="0"/>
        <w:rPr>
          <w:rFonts w:ascii="宋体" w:hAnsi="宋体" w:cs="宋体"/>
          <w:sz w:val="28"/>
          <w:szCs w:val="28"/>
          <w:highlight w:val="none"/>
        </w:rPr>
      </w:pPr>
    </w:p>
    <w:p>
      <w:pPr>
        <w:pStyle w:val="2"/>
        <w:ind w:firstLine="0" w:firstLineChars="0"/>
        <w:rPr>
          <w:rFonts w:ascii="宋体" w:hAnsi="宋体" w:cs="宋体"/>
          <w:sz w:val="28"/>
          <w:szCs w:val="28"/>
          <w:highlight w:val="none"/>
        </w:rPr>
      </w:pPr>
    </w:p>
    <w:p>
      <w:pPr>
        <w:pStyle w:val="2"/>
        <w:ind w:firstLine="0" w:firstLineChars="0"/>
        <w:rPr>
          <w:rFonts w:ascii="宋体" w:hAnsi="宋体" w:cs="宋体"/>
          <w:sz w:val="28"/>
          <w:szCs w:val="28"/>
          <w:highlight w:val="none"/>
        </w:rPr>
      </w:pPr>
    </w:p>
    <w:p>
      <w:pPr>
        <w:pStyle w:val="2"/>
        <w:ind w:firstLine="0" w:firstLineChars="0"/>
        <w:rPr>
          <w:rFonts w:ascii="宋体" w:hAnsi="宋体" w:cs="宋体"/>
          <w:sz w:val="28"/>
          <w:szCs w:val="28"/>
          <w:highlight w:val="none"/>
        </w:rPr>
      </w:pPr>
    </w:p>
    <w:p>
      <w:pPr>
        <w:pStyle w:val="2"/>
        <w:ind w:firstLine="0" w:firstLineChars="0"/>
        <w:rPr>
          <w:rFonts w:ascii="宋体" w:hAnsi="宋体" w:cs="宋体"/>
          <w:sz w:val="28"/>
          <w:szCs w:val="28"/>
          <w:highlight w:val="none"/>
        </w:rPr>
      </w:pPr>
    </w:p>
    <w:p>
      <w:pPr>
        <w:pStyle w:val="2"/>
        <w:ind w:firstLine="0" w:firstLineChars="0"/>
        <w:rPr>
          <w:rFonts w:ascii="宋体" w:hAnsi="宋体" w:cs="宋体"/>
          <w:sz w:val="28"/>
          <w:szCs w:val="28"/>
          <w:highlight w:val="none"/>
        </w:rPr>
      </w:pPr>
    </w:p>
    <w:p>
      <w:pPr>
        <w:pStyle w:val="2"/>
        <w:ind w:firstLine="0" w:firstLineChars="0"/>
        <w:rPr>
          <w:rFonts w:ascii="宋体" w:hAnsi="宋体" w:cs="宋体"/>
          <w:sz w:val="28"/>
          <w:szCs w:val="28"/>
          <w:highlight w:val="none"/>
        </w:rPr>
      </w:pPr>
    </w:p>
    <w:p>
      <w:pPr>
        <w:pStyle w:val="2"/>
        <w:ind w:firstLine="0" w:firstLineChars="0"/>
        <w:rPr>
          <w:rFonts w:ascii="宋体" w:hAnsi="宋体" w:cs="宋体"/>
          <w:sz w:val="28"/>
          <w:szCs w:val="28"/>
          <w:highlight w:val="none"/>
        </w:rPr>
      </w:pPr>
    </w:p>
    <w:p>
      <w:pPr>
        <w:pStyle w:val="2"/>
        <w:ind w:firstLine="0" w:firstLineChars="0"/>
        <w:rPr>
          <w:rFonts w:ascii="宋体" w:hAnsi="宋体" w:cs="宋体"/>
          <w:sz w:val="28"/>
          <w:szCs w:val="28"/>
          <w:highlight w:val="none"/>
        </w:rPr>
      </w:pPr>
    </w:p>
    <w:p>
      <w:pPr>
        <w:pStyle w:val="2"/>
        <w:ind w:firstLine="0" w:firstLineChars="0"/>
        <w:rPr>
          <w:rFonts w:ascii="宋体" w:hAnsi="宋体" w:cs="宋体"/>
          <w:sz w:val="28"/>
          <w:szCs w:val="28"/>
          <w:highlight w:val="none"/>
        </w:rPr>
      </w:pPr>
    </w:p>
    <w:p>
      <w:pPr>
        <w:pStyle w:val="2"/>
        <w:ind w:firstLine="0" w:firstLineChars="0"/>
        <w:rPr>
          <w:rFonts w:ascii="宋体" w:hAnsi="宋体" w:cs="宋体"/>
          <w:sz w:val="28"/>
          <w:szCs w:val="28"/>
          <w:highlight w:val="none"/>
        </w:rPr>
      </w:pPr>
    </w:p>
    <w:p>
      <w:pPr>
        <w:pStyle w:val="2"/>
        <w:ind w:firstLine="0" w:firstLineChars="0"/>
        <w:rPr>
          <w:rFonts w:ascii="宋体" w:hAnsi="宋体" w:cs="宋体"/>
          <w:sz w:val="28"/>
          <w:szCs w:val="28"/>
          <w:highlight w:val="none"/>
        </w:rPr>
      </w:pPr>
    </w:p>
    <w:p>
      <w:pPr>
        <w:pStyle w:val="6"/>
        <w:ind w:firstLine="280"/>
        <w:rPr>
          <w:rFonts w:ascii="宋体" w:hAnsi="宋体" w:cs="宋体"/>
          <w:sz w:val="28"/>
          <w:szCs w:val="28"/>
          <w:highlight w:val="none"/>
        </w:rPr>
      </w:pPr>
    </w:p>
    <w:p>
      <w:pPr>
        <w:rPr>
          <w:rFonts w:ascii="宋体" w:hAnsi="宋体" w:cs="宋体"/>
          <w:sz w:val="28"/>
          <w:szCs w:val="28"/>
          <w:highlight w:val="none"/>
        </w:rPr>
      </w:pPr>
    </w:p>
    <w:p>
      <w:pPr>
        <w:rPr>
          <w:rFonts w:ascii="宋体" w:hAnsi="宋体" w:cs="宋体"/>
          <w:highlight w:val="none"/>
        </w:rPr>
      </w:pPr>
    </w:p>
    <w:p>
      <w:pPr>
        <w:pStyle w:val="2"/>
        <w:ind w:firstLine="0" w:firstLineChars="0"/>
        <w:rPr>
          <w:rFonts w:ascii="宋体" w:hAnsi="宋体" w:cs="宋体"/>
          <w:b/>
          <w:sz w:val="28"/>
          <w:szCs w:val="28"/>
          <w:highlight w:val="none"/>
        </w:rPr>
      </w:pPr>
      <w:bookmarkStart w:id="63" w:name="_Toc12318"/>
    </w:p>
    <w:p>
      <w:pPr>
        <w:pStyle w:val="6"/>
        <w:ind w:firstLine="210"/>
        <w:rPr>
          <w:highlight w:val="none"/>
        </w:rPr>
      </w:pPr>
    </w:p>
    <w:p>
      <w:pPr>
        <w:pStyle w:val="2"/>
        <w:pageBreakBefore/>
        <w:numPr>
          <w:ilvl w:val="0"/>
          <w:numId w:val="12"/>
        </w:numPr>
        <w:spacing w:line="600" w:lineRule="exact"/>
        <w:ind w:firstLine="0" w:firstLineChars="0"/>
        <w:jc w:val="center"/>
        <w:rPr>
          <w:rFonts w:hint="eastAsia" w:ascii="宋体" w:hAnsi="宋体" w:cs="宋体"/>
          <w:b/>
          <w:bCs/>
          <w:sz w:val="28"/>
          <w:szCs w:val="28"/>
          <w:highlight w:val="none"/>
        </w:rPr>
      </w:pPr>
      <w:r>
        <w:rPr>
          <w:rFonts w:hint="eastAsia" w:ascii="宋体" w:hAnsi="宋体" w:cs="宋体"/>
          <w:b/>
          <w:bCs/>
          <w:sz w:val="28"/>
          <w:szCs w:val="28"/>
          <w:highlight w:val="none"/>
        </w:rPr>
        <w:t>报价文件</w:t>
      </w:r>
      <w:bookmarkEnd w:id="63"/>
    </w:p>
    <w:p>
      <w:pPr>
        <w:autoSpaceDE w:val="0"/>
        <w:autoSpaceDN w:val="0"/>
        <w:adjustRightInd w:val="0"/>
        <w:spacing w:line="600" w:lineRule="exact"/>
        <w:rPr>
          <w:rFonts w:hAnsi="宋体"/>
          <w:bCs/>
          <w:sz w:val="30"/>
          <w:szCs w:val="30"/>
          <w:highlight w:val="none"/>
          <w:lang w:val="zh-CN"/>
        </w:rPr>
      </w:pPr>
    </w:p>
    <w:p>
      <w:pPr>
        <w:autoSpaceDE w:val="0"/>
        <w:autoSpaceDN w:val="0"/>
        <w:adjustRightInd w:val="0"/>
        <w:spacing w:line="600" w:lineRule="exact"/>
        <w:rPr>
          <w:rFonts w:hAnsi="宋体"/>
          <w:bCs/>
          <w:sz w:val="30"/>
          <w:szCs w:val="30"/>
          <w:highlight w:val="none"/>
          <w:lang w:val="zh-CN"/>
        </w:rPr>
      </w:pPr>
    </w:p>
    <w:p>
      <w:pPr>
        <w:autoSpaceDE w:val="0"/>
        <w:autoSpaceDN w:val="0"/>
        <w:adjustRightInd w:val="0"/>
        <w:spacing w:line="600" w:lineRule="exact"/>
        <w:jc w:val="center"/>
        <w:rPr>
          <w:rFonts w:hAnsi="宋体"/>
          <w:bCs/>
          <w:sz w:val="52"/>
          <w:szCs w:val="52"/>
          <w:highlight w:val="none"/>
          <w:lang w:val="zh-CN"/>
        </w:rPr>
      </w:pPr>
      <w:r>
        <w:rPr>
          <w:rFonts w:hint="eastAsia" w:hAnsi="宋体"/>
          <w:bCs/>
          <w:sz w:val="52"/>
          <w:szCs w:val="52"/>
          <w:highlight w:val="none"/>
          <w:lang w:val="zh-CN"/>
        </w:rPr>
        <w:t>投标文件</w:t>
      </w:r>
    </w:p>
    <w:p>
      <w:pPr>
        <w:autoSpaceDE w:val="0"/>
        <w:autoSpaceDN w:val="0"/>
        <w:adjustRightInd w:val="0"/>
        <w:spacing w:line="600" w:lineRule="exact"/>
        <w:rPr>
          <w:rFonts w:hAnsi="宋体"/>
          <w:bCs/>
          <w:sz w:val="24"/>
          <w:szCs w:val="24"/>
          <w:highlight w:val="none"/>
          <w:lang w:val="zh-CN"/>
        </w:rPr>
      </w:pPr>
    </w:p>
    <w:p>
      <w:pPr>
        <w:autoSpaceDE w:val="0"/>
        <w:autoSpaceDN w:val="0"/>
        <w:adjustRightInd w:val="0"/>
        <w:spacing w:line="600" w:lineRule="exact"/>
        <w:rPr>
          <w:rFonts w:hAnsi="宋体"/>
          <w:bCs/>
          <w:sz w:val="24"/>
          <w:szCs w:val="24"/>
          <w:highlight w:val="none"/>
          <w:lang w:val="zh-CN"/>
        </w:rPr>
      </w:pPr>
    </w:p>
    <w:p>
      <w:pPr>
        <w:snapToGrid w:val="0"/>
        <w:spacing w:line="600" w:lineRule="exact"/>
        <w:rPr>
          <w:rFonts w:hAnsi="宋体"/>
          <w:sz w:val="24"/>
          <w:szCs w:val="24"/>
          <w:highlight w:val="none"/>
        </w:rPr>
      </w:pPr>
    </w:p>
    <w:p>
      <w:pPr>
        <w:snapToGrid w:val="0"/>
        <w:spacing w:line="600" w:lineRule="exact"/>
        <w:rPr>
          <w:rFonts w:hAnsi="宋体"/>
          <w:sz w:val="24"/>
          <w:szCs w:val="24"/>
          <w:highlight w:val="none"/>
        </w:rPr>
      </w:pPr>
      <w:r>
        <w:rPr>
          <w:rFonts w:hint="eastAsia" w:hAnsi="宋体"/>
          <w:sz w:val="24"/>
          <w:szCs w:val="24"/>
          <w:highlight w:val="none"/>
        </w:rPr>
        <w:t>项目编号：</w:t>
      </w:r>
    </w:p>
    <w:p>
      <w:pPr>
        <w:snapToGrid w:val="0"/>
        <w:spacing w:line="600" w:lineRule="exact"/>
        <w:rPr>
          <w:rFonts w:hAnsi="宋体"/>
          <w:sz w:val="24"/>
          <w:szCs w:val="24"/>
          <w:highlight w:val="none"/>
        </w:rPr>
      </w:pPr>
      <w:r>
        <w:rPr>
          <w:rFonts w:hint="eastAsia" w:hAnsi="宋体"/>
          <w:sz w:val="24"/>
          <w:szCs w:val="24"/>
          <w:highlight w:val="none"/>
        </w:rPr>
        <w:t>项目名称：</w:t>
      </w:r>
    </w:p>
    <w:p>
      <w:pPr>
        <w:snapToGrid w:val="0"/>
        <w:spacing w:line="600" w:lineRule="exact"/>
        <w:rPr>
          <w:rFonts w:hAnsi="宋体"/>
          <w:sz w:val="24"/>
          <w:szCs w:val="24"/>
          <w:highlight w:val="none"/>
        </w:rPr>
      </w:pPr>
      <w:r>
        <w:rPr>
          <w:rFonts w:hint="eastAsia" w:hAnsi="宋体"/>
          <w:sz w:val="24"/>
          <w:szCs w:val="24"/>
          <w:highlight w:val="none"/>
        </w:rPr>
        <w:t>投标文件名称：（报价文件）</w:t>
      </w:r>
    </w:p>
    <w:p>
      <w:pPr>
        <w:snapToGrid w:val="0"/>
        <w:spacing w:line="600" w:lineRule="exact"/>
        <w:rPr>
          <w:rFonts w:hAnsi="宋体"/>
          <w:sz w:val="24"/>
          <w:szCs w:val="24"/>
          <w:highlight w:val="none"/>
        </w:rPr>
      </w:pPr>
      <w:r>
        <w:rPr>
          <w:rFonts w:hint="eastAsia" w:hAnsi="宋体"/>
          <w:sz w:val="24"/>
          <w:szCs w:val="24"/>
          <w:highlight w:val="none"/>
        </w:rPr>
        <w:t>投标人名称（盖章或电子签章）：</w:t>
      </w:r>
    </w:p>
    <w:p>
      <w:pPr>
        <w:snapToGrid w:val="0"/>
        <w:spacing w:line="600" w:lineRule="exact"/>
        <w:rPr>
          <w:rFonts w:hAnsi="宋体"/>
          <w:sz w:val="24"/>
          <w:szCs w:val="24"/>
          <w:highlight w:val="none"/>
        </w:rPr>
      </w:pPr>
      <w:r>
        <w:rPr>
          <w:rFonts w:hint="eastAsia" w:hAnsi="宋体"/>
          <w:sz w:val="24"/>
          <w:szCs w:val="24"/>
          <w:highlight w:val="none"/>
        </w:rPr>
        <w:t>法定代表人或其授权代表（签字或盖章或电子签章）：</w:t>
      </w:r>
    </w:p>
    <w:p>
      <w:pPr>
        <w:snapToGrid w:val="0"/>
        <w:spacing w:line="600" w:lineRule="exact"/>
        <w:rPr>
          <w:rFonts w:hAnsi="宋体"/>
          <w:sz w:val="24"/>
          <w:szCs w:val="24"/>
          <w:highlight w:val="none"/>
        </w:rPr>
      </w:pPr>
      <w:r>
        <w:rPr>
          <w:rFonts w:hint="eastAsia" w:hAnsi="宋体"/>
          <w:sz w:val="24"/>
          <w:szCs w:val="24"/>
          <w:highlight w:val="none"/>
        </w:rPr>
        <w:t>投标人地址：</w:t>
      </w:r>
    </w:p>
    <w:p>
      <w:pPr>
        <w:autoSpaceDE w:val="0"/>
        <w:autoSpaceDN w:val="0"/>
        <w:adjustRightInd w:val="0"/>
        <w:spacing w:line="400" w:lineRule="exact"/>
        <w:jc w:val="center"/>
        <w:rPr>
          <w:rFonts w:hAnsi="宋体"/>
          <w:bCs/>
          <w:sz w:val="30"/>
          <w:szCs w:val="30"/>
          <w:highlight w:val="none"/>
          <w:lang w:val="zh-CN"/>
        </w:rPr>
      </w:pPr>
    </w:p>
    <w:p>
      <w:pPr>
        <w:pStyle w:val="7"/>
        <w:ind w:firstLine="210"/>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500" w:lineRule="exact"/>
        <w:jc w:val="center"/>
        <w:rPr>
          <w:rFonts w:ascii="宋体" w:hAnsi="宋体" w:cs="宋体"/>
          <w:b/>
          <w:bCs/>
          <w:sz w:val="24"/>
          <w:szCs w:val="24"/>
          <w:highlight w:val="none"/>
        </w:rPr>
      </w:pPr>
    </w:p>
    <w:p>
      <w:pPr>
        <w:pageBreakBefore/>
        <w:spacing w:line="500" w:lineRule="exact"/>
        <w:jc w:val="center"/>
        <w:rPr>
          <w:rFonts w:hint="eastAsia" w:ascii="宋体" w:hAnsi="宋体" w:cs="宋体"/>
          <w:b/>
          <w:bCs/>
          <w:sz w:val="24"/>
          <w:szCs w:val="24"/>
          <w:highlight w:val="none"/>
        </w:rPr>
        <w:sectPr>
          <w:footerReference r:id="rId3" w:type="default"/>
          <w:pgSz w:w="11906" w:h="16838"/>
          <w:pgMar w:top="1440" w:right="1803" w:bottom="1440" w:left="1803" w:header="851" w:footer="850" w:gutter="0"/>
          <w:pgNumType w:fmt="decimal" w:start="1"/>
          <w:cols w:space="0" w:num="1"/>
          <w:rtlGutter w:val="0"/>
          <w:docGrid w:type="lines" w:linePitch="312" w:charSpace="0"/>
        </w:sectPr>
      </w:pPr>
    </w:p>
    <w:p>
      <w:pPr>
        <w:pageBreakBefore/>
        <w:spacing w:line="500" w:lineRule="exact"/>
        <w:jc w:val="center"/>
        <w:rPr>
          <w:rFonts w:ascii="宋体" w:hAnsi="宋体" w:cs="宋体"/>
          <w:b/>
          <w:bCs/>
          <w:sz w:val="24"/>
          <w:szCs w:val="24"/>
          <w:highlight w:val="none"/>
        </w:rPr>
      </w:pPr>
      <w:r>
        <w:rPr>
          <w:rFonts w:hint="eastAsia" w:ascii="宋体" w:hAnsi="宋体" w:cs="宋体"/>
          <w:b/>
          <w:bCs/>
          <w:sz w:val="24"/>
          <w:szCs w:val="24"/>
          <w:highlight w:val="none"/>
        </w:rPr>
        <w:t>报价一览表</w:t>
      </w:r>
    </w:p>
    <w:p>
      <w:pPr>
        <w:spacing w:line="500" w:lineRule="exact"/>
        <w:jc w:val="right"/>
        <w:rPr>
          <w:rFonts w:ascii="宋体" w:hAnsi="宋体" w:cs="宋体"/>
          <w:bCs/>
          <w:sz w:val="24"/>
          <w:szCs w:val="24"/>
          <w:highlight w:val="none"/>
        </w:rPr>
      </w:pPr>
      <w:r>
        <w:rPr>
          <w:rFonts w:hint="eastAsia" w:ascii="宋体" w:hAnsi="宋体" w:cs="宋体"/>
          <w:bCs/>
          <w:sz w:val="24"/>
          <w:szCs w:val="24"/>
          <w:highlight w:val="none"/>
        </w:rPr>
        <w:t>单位：人民币</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衢州智慧新城管理委员会、</w:t>
      </w:r>
      <w:r>
        <w:rPr>
          <w:rFonts w:hint="eastAsia" w:ascii="宋体" w:hAnsi="宋体" w:cs="宋体"/>
          <w:color w:val="auto"/>
          <w:sz w:val="24"/>
          <w:highlight w:val="none"/>
        </w:rPr>
        <w:t>浙江展图工程咨询有限公司</w:t>
      </w:r>
      <w:r>
        <w:rPr>
          <w:rFonts w:hint="eastAsia" w:ascii="宋体" w:hAnsi="宋体" w:cs="宋体"/>
          <w:color w:val="auto"/>
          <w:kern w:val="0"/>
          <w:sz w:val="24"/>
          <w:highlight w:val="none"/>
          <w:lang w:val="zh-CN"/>
        </w:rPr>
        <w:t>：</w:t>
      </w:r>
    </w:p>
    <w:p>
      <w:pPr>
        <w:snapToGrid w:val="0"/>
        <w:spacing w:line="360" w:lineRule="auto"/>
        <w:ind w:firstLine="360" w:firstLineChars="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一览表的价格完成</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衢州智慧新城2024-2025年度规划类项目技术服务项目</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lang w:val="zh-CN"/>
        </w:rPr>
        <w:t>编号：</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报价</w:t>
      </w:r>
      <w:r>
        <w:rPr>
          <w:rFonts w:hint="eastAsia" w:ascii="宋体" w:hAnsi="宋体" w:cs="宋体"/>
          <w:b/>
          <w:color w:val="auto"/>
          <w:kern w:val="0"/>
          <w:sz w:val="24"/>
          <w:highlight w:val="none"/>
          <w:lang w:val="zh-CN"/>
        </w:rPr>
        <w:t>一览表(单位均为人民币元)</w:t>
      </w:r>
    </w:p>
    <w:tbl>
      <w:tblPr>
        <w:tblStyle w:val="2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117"/>
        <w:gridCol w:w="1800"/>
        <w:gridCol w:w="2083"/>
        <w:gridCol w:w="2317"/>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noWrap w:val="0"/>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117" w:type="dxa"/>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800" w:type="dxa"/>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083" w:type="dxa"/>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317" w:type="dxa"/>
            <w:noWrap w:val="0"/>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740" w:type="dxa"/>
            <w:noWrap w:val="0"/>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noWrap w:val="0"/>
            <w:vAlign w:val="center"/>
          </w:tcPr>
          <w:p>
            <w:pPr>
              <w:snapToGrid w:val="0"/>
              <w:spacing w:line="360" w:lineRule="auto"/>
              <w:jc w:val="center"/>
              <w:rPr>
                <w:rFonts w:ascii="宋体" w:hAnsi="宋体" w:cs="宋体"/>
                <w:color w:val="auto"/>
                <w:sz w:val="24"/>
                <w:highlight w:val="none"/>
              </w:rPr>
            </w:pPr>
          </w:p>
        </w:tc>
        <w:tc>
          <w:tcPr>
            <w:tcW w:w="2117" w:type="dxa"/>
            <w:noWrap w:val="0"/>
            <w:vAlign w:val="center"/>
          </w:tcPr>
          <w:p>
            <w:pPr>
              <w:snapToGrid w:val="0"/>
              <w:spacing w:line="360" w:lineRule="auto"/>
              <w:jc w:val="center"/>
              <w:rPr>
                <w:rFonts w:ascii="宋体" w:hAnsi="宋体" w:cs="宋体"/>
                <w:color w:val="auto"/>
                <w:sz w:val="24"/>
                <w:highlight w:val="none"/>
              </w:rPr>
            </w:pPr>
          </w:p>
        </w:tc>
        <w:tc>
          <w:tcPr>
            <w:tcW w:w="1800" w:type="dxa"/>
            <w:noWrap w:val="0"/>
            <w:vAlign w:val="center"/>
          </w:tcPr>
          <w:p>
            <w:pPr>
              <w:snapToGrid w:val="0"/>
              <w:spacing w:line="360" w:lineRule="auto"/>
              <w:jc w:val="center"/>
              <w:rPr>
                <w:rFonts w:ascii="宋体" w:hAnsi="宋体" w:cs="宋体"/>
                <w:color w:val="auto"/>
                <w:sz w:val="24"/>
                <w:highlight w:val="none"/>
              </w:rPr>
            </w:pPr>
          </w:p>
        </w:tc>
        <w:tc>
          <w:tcPr>
            <w:tcW w:w="2083" w:type="dxa"/>
            <w:noWrap w:val="0"/>
            <w:vAlign w:val="center"/>
          </w:tcPr>
          <w:p>
            <w:pPr>
              <w:spacing w:line="360" w:lineRule="auto"/>
              <w:jc w:val="center"/>
              <w:rPr>
                <w:rFonts w:ascii="宋体" w:hAnsi="宋体" w:cs="宋体"/>
                <w:color w:val="auto"/>
                <w:sz w:val="24"/>
                <w:highlight w:val="none"/>
              </w:rPr>
            </w:pPr>
          </w:p>
        </w:tc>
        <w:tc>
          <w:tcPr>
            <w:tcW w:w="2317" w:type="dxa"/>
            <w:noWrap w:val="0"/>
            <w:vAlign w:val="top"/>
          </w:tcPr>
          <w:p>
            <w:pPr>
              <w:spacing w:line="360" w:lineRule="auto"/>
              <w:jc w:val="center"/>
              <w:rPr>
                <w:rFonts w:ascii="宋体" w:hAnsi="宋体" w:cs="宋体"/>
                <w:color w:val="auto"/>
                <w:sz w:val="24"/>
                <w:highlight w:val="none"/>
              </w:rPr>
            </w:pPr>
          </w:p>
        </w:tc>
        <w:tc>
          <w:tcPr>
            <w:tcW w:w="2740" w:type="dxa"/>
            <w:noWrap w:val="0"/>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noWrap w:val="0"/>
            <w:vAlign w:val="center"/>
          </w:tcPr>
          <w:p>
            <w:pPr>
              <w:snapToGrid w:val="0"/>
              <w:spacing w:line="360" w:lineRule="auto"/>
              <w:jc w:val="center"/>
              <w:rPr>
                <w:rFonts w:ascii="宋体" w:hAnsi="宋体" w:cs="宋体"/>
                <w:color w:val="auto"/>
                <w:sz w:val="24"/>
                <w:highlight w:val="none"/>
              </w:rPr>
            </w:pPr>
          </w:p>
        </w:tc>
        <w:tc>
          <w:tcPr>
            <w:tcW w:w="2117" w:type="dxa"/>
            <w:noWrap w:val="0"/>
            <w:vAlign w:val="center"/>
          </w:tcPr>
          <w:p>
            <w:pPr>
              <w:snapToGrid w:val="0"/>
              <w:spacing w:line="360" w:lineRule="auto"/>
              <w:jc w:val="center"/>
              <w:rPr>
                <w:rFonts w:ascii="宋体" w:hAnsi="宋体" w:cs="宋体"/>
                <w:color w:val="auto"/>
                <w:sz w:val="24"/>
                <w:highlight w:val="none"/>
              </w:rPr>
            </w:pPr>
          </w:p>
        </w:tc>
        <w:tc>
          <w:tcPr>
            <w:tcW w:w="1800" w:type="dxa"/>
            <w:noWrap w:val="0"/>
            <w:vAlign w:val="center"/>
          </w:tcPr>
          <w:p>
            <w:pPr>
              <w:snapToGrid w:val="0"/>
              <w:spacing w:line="360" w:lineRule="auto"/>
              <w:jc w:val="center"/>
              <w:rPr>
                <w:rFonts w:ascii="宋体" w:hAnsi="宋体" w:cs="宋体"/>
                <w:color w:val="auto"/>
                <w:sz w:val="24"/>
                <w:highlight w:val="none"/>
              </w:rPr>
            </w:pPr>
          </w:p>
        </w:tc>
        <w:tc>
          <w:tcPr>
            <w:tcW w:w="2083" w:type="dxa"/>
            <w:noWrap w:val="0"/>
            <w:vAlign w:val="center"/>
          </w:tcPr>
          <w:p>
            <w:pPr>
              <w:spacing w:line="360" w:lineRule="auto"/>
              <w:jc w:val="center"/>
              <w:rPr>
                <w:rFonts w:ascii="宋体" w:hAnsi="宋体" w:cs="宋体"/>
                <w:color w:val="auto"/>
                <w:sz w:val="24"/>
                <w:highlight w:val="none"/>
              </w:rPr>
            </w:pPr>
          </w:p>
        </w:tc>
        <w:tc>
          <w:tcPr>
            <w:tcW w:w="2317" w:type="dxa"/>
            <w:noWrap w:val="0"/>
            <w:vAlign w:val="top"/>
          </w:tcPr>
          <w:p>
            <w:pPr>
              <w:spacing w:line="360" w:lineRule="auto"/>
              <w:jc w:val="center"/>
              <w:rPr>
                <w:rFonts w:ascii="宋体" w:hAnsi="宋体" w:cs="宋体"/>
                <w:color w:val="auto"/>
                <w:sz w:val="24"/>
                <w:highlight w:val="none"/>
              </w:rPr>
            </w:pPr>
          </w:p>
        </w:tc>
        <w:tc>
          <w:tcPr>
            <w:tcW w:w="2740" w:type="dxa"/>
            <w:noWrap w:val="0"/>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noWrap w:val="0"/>
            <w:vAlign w:val="center"/>
          </w:tcPr>
          <w:p>
            <w:pPr>
              <w:snapToGrid w:val="0"/>
              <w:spacing w:line="360" w:lineRule="auto"/>
              <w:jc w:val="center"/>
              <w:rPr>
                <w:rFonts w:ascii="宋体" w:hAnsi="宋体" w:cs="宋体"/>
                <w:color w:val="auto"/>
                <w:sz w:val="24"/>
                <w:highlight w:val="none"/>
              </w:rPr>
            </w:pPr>
          </w:p>
        </w:tc>
        <w:tc>
          <w:tcPr>
            <w:tcW w:w="2268" w:type="dxa"/>
            <w:noWrap w:val="0"/>
            <w:vAlign w:val="center"/>
          </w:tcPr>
          <w:p>
            <w:pPr>
              <w:snapToGrid w:val="0"/>
              <w:spacing w:line="360" w:lineRule="auto"/>
              <w:jc w:val="center"/>
              <w:rPr>
                <w:rFonts w:ascii="宋体" w:hAnsi="宋体" w:cs="宋体"/>
                <w:color w:val="auto"/>
                <w:sz w:val="24"/>
                <w:highlight w:val="none"/>
              </w:rPr>
            </w:pPr>
          </w:p>
        </w:tc>
        <w:tc>
          <w:tcPr>
            <w:tcW w:w="2117" w:type="dxa"/>
            <w:noWrap w:val="0"/>
            <w:vAlign w:val="center"/>
          </w:tcPr>
          <w:p>
            <w:pPr>
              <w:snapToGrid w:val="0"/>
              <w:spacing w:line="360" w:lineRule="auto"/>
              <w:jc w:val="center"/>
              <w:rPr>
                <w:rFonts w:ascii="宋体" w:hAnsi="宋体" w:cs="宋体"/>
                <w:color w:val="auto"/>
                <w:sz w:val="24"/>
                <w:highlight w:val="none"/>
              </w:rPr>
            </w:pPr>
          </w:p>
        </w:tc>
        <w:tc>
          <w:tcPr>
            <w:tcW w:w="1800" w:type="dxa"/>
            <w:noWrap w:val="0"/>
            <w:vAlign w:val="center"/>
          </w:tcPr>
          <w:p>
            <w:pPr>
              <w:snapToGrid w:val="0"/>
              <w:spacing w:line="360" w:lineRule="auto"/>
              <w:jc w:val="center"/>
              <w:rPr>
                <w:rFonts w:ascii="宋体" w:hAnsi="宋体" w:cs="宋体"/>
                <w:color w:val="auto"/>
                <w:sz w:val="24"/>
                <w:highlight w:val="none"/>
              </w:rPr>
            </w:pPr>
          </w:p>
        </w:tc>
        <w:tc>
          <w:tcPr>
            <w:tcW w:w="2083" w:type="dxa"/>
            <w:noWrap w:val="0"/>
            <w:vAlign w:val="center"/>
          </w:tcPr>
          <w:p>
            <w:pPr>
              <w:spacing w:line="360" w:lineRule="auto"/>
              <w:jc w:val="center"/>
              <w:rPr>
                <w:rFonts w:ascii="宋体" w:hAnsi="宋体" w:cs="宋体"/>
                <w:color w:val="auto"/>
                <w:sz w:val="24"/>
                <w:highlight w:val="none"/>
              </w:rPr>
            </w:pPr>
          </w:p>
        </w:tc>
        <w:tc>
          <w:tcPr>
            <w:tcW w:w="2317" w:type="dxa"/>
            <w:noWrap w:val="0"/>
            <w:vAlign w:val="top"/>
          </w:tcPr>
          <w:p>
            <w:pPr>
              <w:spacing w:line="360" w:lineRule="auto"/>
              <w:jc w:val="center"/>
              <w:rPr>
                <w:rFonts w:ascii="宋体" w:hAnsi="宋体" w:cs="宋体"/>
                <w:color w:val="auto"/>
                <w:sz w:val="24"/>
                <w:highlight w:val="none"/>
              </w:rPr>
            </w:pPr>
          </w:p>
        </w:tc>
        <w:tc>
          <w:tcPr>
            <w:tcW w:w="2740" w:type="dxa"/>
            <w:noWrap w:val="0"/>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color w:val="auto"/>
                <w:sz w:val="24"/>
                <w:highlight w:val="none"/>
              </w:rPr>
            </w:pPr>
          </w:p>
        </w:tc>
        <w:tc>
          <w:tcPr>
            <w:tcW w:w="992" w:type="dxa"/>
            <w:noWrap w:val="0"/>
            <w:vAlign w:val="center"/>
          </w:tcPr>
          <w:p>
            <w:pPr>
              <w:snapToGrid w:val="0"/>
              <w:spacing w:line="360" w:lineRule="auto"/>
              <w:jc w:val="center"/>
              <w:rPr>
                <w:rFonts w:ascii="宋体" w:hAnsi="宋体" w:cs="宋体"/>
                <w:color w:val="auto"/>
                <w:sz w:val="24"/>
                <w:highlight w:val="none"/>
              </w:rPr>
            </w:pPr>
          </w:p>
        </w:tc>
        <w:tc>
          <w:tcPr>
            <w:tcW w:w="2268" w:type="dxa"/>
            <w:noWrap w:val="0"/>
            <w:vAlign w:val="center"/>
          </w:tcPr>
          <w:p>
            <w:pPr>
              <w:snapToGrid w:val="0"/>
              <w:spacing w:line="360" w:lineRule="auto"/>
              <w:jc w:val="center"/>
              <w:rPr>
                <w:rFonts w:ascii="宋体" w:hAnsi="宋体" w:cs="宋体"/>
                <w:color w:val="auto"/>
                <w:sz w:val="24"/>
                <w:highlight w:val="none"/>
              </w:rPr>
            </w:pPr>
          </w:p>
        </w:tc>
        <w:tc>
          <w:tcPr>
            <w:tcW w:w="2117" w:type="dxa"/>
            <w:noWrap w:val="0"/>
            <w:vAlign w:val="center"/>
          </w:tcPr>
          <w:p>
            <w:pPr>
              <w:snapToGrid w:val="0"/>
              <w:spacing w:line="360" w:lineRule="auto"/>
              <w:jc w:val="center"/>
              <w:rPr>
                <w:rFonts w:ascii="宋体" w:hAnsi="宋体" w:cs="宋体"/>
                <w:color w:val="auto"/>
                <w:sz w:val="24"/>
                <w:highlight w:val="none"/>
              </w:rPr>
            </w:pPr>
          </w:p>
        </w:tc>
        <w:tc>
          <w:tcPr>
            <w:tcW w:w="1800" w:type="dxa"/>
            <w:noWrap w:val="0"/>
            <w:vAlign w:val="center"/>
          </w:tcPr>
          <w:p>
            <w:pPr>
              <w:snapToGrid w:val="0"/>
              <w:spacing w:line="360" w:lineRule="auto"/>
              <w:jc w:val="center"/>
              <w:rPr>
                <w:rFonts w:ascii="宋体" w:hAnsi="宋体" w:cs="宋体"/>
                <w:color w:val="auto"/>
                <w:sz w:val="24"/>
                <w:highlight w:val="none"/>
              </w:rPr>
            </w:pPr>
          </w:p>
        </w:tc>
        <w:tc>
          <w:tcPr>
            <w:tcW w:w="2083" w:type="dxa"/>
            <w:noWrap w:val="0"/>
            <w:vAlign w:val="center"/>
          </w:tcPr>
          <w:p>
            <w:pPr>
              <w:spacing w:line="360" w:lineRule="auto"/>
              <w:jc w:val="center"/>
              <w:rPr>
                <w:rFonts w:ascii="宋体" w:hAnsi="宋体" w:cs="宋体"/>
                <w:color w:val="auto"/>
                <w:sz w:val="24"/>
                <w:highlight w:val="none"/>
              </w:rPr>
            </w:pPr>
          </w:p>
        </w:tc>
        <w:tc>
          <w:tcPr>
            <w:tcW w:w="2317" w:type="dxa"/>
            <w:noWrap w:val="0"/>
            <w:vAlign w:val="top"/>
          </w:tcPr>
          <w:p>
            <w:pPr>
              <w:spacing w:line="360" w:lineRule="auto"/>
              <w:jc w:val="center"/>
              <w:rPr>
                <w:rFonts w:ascii="宋体" w:hAnsi="宋体" w:cs="宋体"/>
                <w:color w:val="auto"/>
                <w:sz w:val="24"/>
                <w:highlight w:val="none"/>
              </w:rPr>
            </w:pPr>
          </w:p>
        </w:tc>
        <w:tc>
          <w:tcPr>
            <w:tcW w:w="2740" w:type="dxa"/>
            <w:noWrap w:val="0"/>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noWrap w:val="0"/>
            <w:vAlign w:val="center"/>
          </w:tcPr>
          <w:p>
            <w:pPr>
              <w:rPr>
                <w:highlight w:val="none"/>
              </w:rPr>
            </w:pPr>
          </w:p>
        </w:tc>
        <w:tc>
          <w:tcPr>
            <w:tcW w:w="992" w:type="dxa"/>
            <w:noWrap w:val="0"/>
            <w:vAlign w:val="center"/>
          </w:tcPr>
          <w:p>
            <w:pPr>
              <w:rPr>
                <w:highlight w:val="none"/>
              </w:rPr>
            </w:pPr>
          </w:p>
        </w:tc>
        <w:tc>
          <w:tcPr>
            <w:tcW w:w="2268" w:type="dxa"/>
            <w:noWrap w:val="0"/>
            <w:vAlign w:val="center"/>
          </w:tcPr>
          <w:p>
            <w:pPr>
              <w:rPr>
                <w:highlight w:val="none"/>
              </w:rPr>
            </w:pPr>
          </w:p>
        </w:tc>
        <w:tc>
          <w:tcPr>
            <w:tcW w:w="2117" w:type="dxa"/>
            <w:noWrap w:val="0"/>
            <w:vAlign w:val="center"/>
          </w:tcPr>
          <w:p>
            <w:pPr>
              <w:rPr>
                <w:highlight w:val="none"/>
              </w:rPr>
            </w:pPr>
          </w:p>
        </w:tc>
        <w:tc>
          <w:tcPr>
            <w:tcW w:w="1800" w:type="dxa"/>
            <w:noWrap w:val="0"/>
            <w:vAlign w:val="center"/>
          </w:tcPr>
          <w:p>
            <w:pPr>
              <w:rPr>
                <w:highlight w:val="none"/>
              </w:rPr>
            </w:pPr>
          </w:p>
        </w:tc>
        <w:tc>
          <w:tcPr>
            <w:tcW w:w="2083" w:type="dxa"/>
            <w:noWrap w:val="0"/>
            <w:vAlign w:val="center"/>
          </w:tcPr>
          <w:p>
            <w:pPr>
              <w:rPr>
                <w:highlight w:val="none"/>
              </w:rPr>
            </w:pPr>
          </w:p>
        </w:tc>
        <w:tc>
          <w:tcPr>
            <w:tcW w:w="2317" w:type="dxa"/>
            <w:noWrap w:val="0"/>
            <w:vAlign w:val="top"/>
          </w:tcPr>
          <w:p>
            <w:pPr>
              <w:rPr>
                <w:highlight w:val="none"/>
              </w:rPr>
            </w:pPr>
          </w:p>
        </w:tc>
        <w:tc>
          <w:tcPr>
            <w:tcW w:w="2740" w:type="dxa"/>
            <w:noWrap w:val="0"/>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194" w:type="dxa"/>
            <w:gridSpan w:val="4"/>
            <w:noWrap w:val="0"/>
            <w:vAlign w:val="center"/>
          </w:tcPr>
          <w:p>
            <w:pPr>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6200" w:type="dxa"/>
            <w:gridSpan w:val="3"/>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计费标准的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c>
          <w:tcPr>
            <w:tcW w:w="2740" w:type="dxa"/>
            <w:vMerge w:val="restart"/>
            <w:noWrap w:val="0"/>
            <w:vAlign w:val="top"/>
          </w:tcPr>
          <w:p>
            <w:pPr>
              <w:spacing w:line="400" w:lineRule="exact"/>
              <w:ind w:firstLine="0" w:firstLineChars="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投标报价的基数为本招标文件第三章采购需要第9点“</w:t>
            </w:r>
            <w:r>
              <w:rPr>
                <w:rFonts w:hint="default" w:ascii="宋体" w:hAnsi="宋体" w:eastAsia="宋体" w:cs="宋体"/>
                <w:b/>
                <w:bCs/>
                <w:color w:val="auto"/>
                <w:kern w:val="0"/>
                <w:sz w:val="24"/>
                <w:highlight w:val="none"/>
                <w:lang w:val="en-US" w:eastAsia="zh-CN"/>
              </w:rPr>
              <w:t>9</w:t>
            </w:r>
            <w:r>
              <w:rPr>
                <w:rFonts w:hint="eastAsia" w:ascii="宋体" w:hAnsi="宋体" w:eastAsia="宋体" w:cs="宋体"/>
                <w:b/>
                <w:bCs/>
                <w:color w:val="auto"/>
                <w:kern w:val="0"/>
                <w:sz w:val="24"/>
                <w:highlight w:val="none"/>
                <w:lang w:val="en-US" w:eastAsia="zh-CN"/>
              </w:rPr>
              <w:t>.</w:t>
            </w:r>
            <w:r>
              <w:rPr>
                <w:rFonts w:hint="default" w:ascii="宋体" w:hAnsi="宋体" w:eastAsia="宋体" w:cs="宋体"/>
                <w:b/>
                <w:bCs/>
                <w:color w:val="auto"/>
                <w:kern w:val="0"/>
                <w:sz w:val="24"/>
                <w:highlight w:val="none"/>
                <w:lang w:val="en-US" w:eastAsia="zh-CN"/>
              </w:rPr>
              <w:t>计费标准</w:t>
            </w: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194" w:type="dxa"/>
            <w:gridSpan w:val="4"/>
            <w:noWrap w:val="0"/>
            <w:vAlign w:val="center"/>
          </w:tcPr>
          <w:p>
            <w:pPr>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6200" w:type="dxa"/>
            <w:gridSpan w:val="3"/>
            <w:noWrap w:val="0"/>
            <w:vAlign w:val="center"/>
          </w:tcPr>
          <w:p>
            <w:pPr>
              <w:spacing w:line="400" w:lineRule="exact"/>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计费标准的</w:t>
            </w:r>
            <w:r>
              <w:rPr>
                <w:rFonts w:hint="eastAsia" w:ascii="宋体" w:hAnsi="宋体" w:cs="宋体"/>
                <w:color w:val="auto"/>
                <w:sz w:val="24"/>
                <w:highlight w:val="none"/>
                <w:u w:val="single"/>
                <w:lang w:val="en-US" w:eastAsia="zh-CN"/>
              </w:rPr>
              <w:t xml:space="preserve"> 百分之         </w:t>
            </w:r>
          </w:p>
        </w:tc>
        <w:tc>
          <w:tcPr>
            <w:tcW w:w="2740" w:type="dxa"/>
            <w:vMerge w:val="continue"/>
            <w:noWrap w:val="0"/>
            <w:vAlign w:val="top"/>
          </w:tcPr>
          <w:p>
            <w:pPr>
              <w:spacing w:line="400" w:lineRule="exact"/>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w:t>
      </w:r>
      <w:r>
        <w:rPr>
          <w:rFonts w:hint="eastAsia" w:ascii="宋体" w:hAnsi="宋体" w:cs="宋体"/>
          <w:b/>
          <w:color w:val="auto"/>
          <w:kern w:val="0"/>
          <w:sz w:val="24"/>
          <w:highlight w:val="none"/>
          <w:lang w:val="en-US" w:eastAsia="zh-CN"/>
        </w:rPr>
        <w:t>报价</w:t>
      </w:r>
      <w:r>
        <w:rPr>
          <w:rFonts w:hint="eastAsia" w:ascii="宋体" w:hAnsi="宋体" w:cs="宋体"/>
          <w:b/>
          <w:color w:val="auto"/>
          <w:kern w:val="0"/>
          <w:sz w:val="24"/>
          <w:highlight w:val="none"/>
          <w:lang w:val="zh-CN"/>
        </w:rPr>
        <w:t>一览表》名称栏中，投标人不能作出合理解释的，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3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2"/>
        <w:ind w:firstLine="440"/>
        <w:rPr>
          <w:rFonts w:ascii="宋体" w:hAnsi="宋体" w:cs="宋体"/>
          <w:highlight w:val="none"/>
        </w:rPr>
      </w:pPr>
    </w:p>
    <w:p>
      <w:pPr>
        <w:pStyle w:val="2"/>
        <w:pageBreakBefore/>
        <w:ind w:firstLine="440"/>
        <w:rPr>
          <w:rFonts w:ascii="宋体" w:hAnsi="宋体" w:cs="宋体"/>
          <w:highlight w:val="none"/>
        </w:rPr>
        <w:sectPr>
          <w:pgSz w:w="16838" w:h="11906" w:orient="landscape"/>
          <w:pgMar w:top="1803" w:right="1440" w:bottom="1803" w:left="1440" w:header="851" w:footer="850" w:gutter="0"/>
          <w:pgNumType w:fmt="decimal"/>
          <w:cols w:space="0" w:num="1"/>
          <w:rtlGutter w:val="0"/>
          <w:docGrid w:type="lines" w:linePitch="319" w:charSpace="0"/>
        </w:sectPr>
      </w:pPr>
    </w:p>
    <w:p>
      <w:pPr>
        <w:pageBreakBefore/>
        <w:spacing w:line="500" w:lineRule="exact"/>
        <w:jc w:val="center"/>
        <w:rPr>
          <w:rFonts w:hint="default" w:ascii="宋体" w:hAnsi="宋体" w:cs="宋体"/>
          <w:b/>
          <w:bCs/>
          <w:sz w:val="30"/>
          <w:szCs w:val="30"/>
          <w:highlight w:val="none"/>
          <w:lang w:val="en-US" w:eastAsia="zh-CN"/>
        </w:rPr>
      </w:pPr>
      <w:r>
        <w:rPr>
          <w:rFonts w:hint="eastAsia" w:ascii="宋体" w:hAnsi="宋体" w:cs="宋体"/>
          <w:b/>
          <w:bCs/>
          <w:sz w:val="30"/>
          <w:szCs w:val="30"/>
          <w:highlight w:val="none"/>
          <w:lang w:val="en-US" w:eastAsia="zh-CN"/>
        </w:rPr>
        <w:t>报价明细表</w:t>
      </w:r>
    </w:p>
    <w:p>
      <w:pPr>
        <w:pStyle w:val="37"/>
        <w:keepNext w:val="0"/>
        <w:pageBreakBefore w:val="0"/>
        <w:tabs>
          <w:tab w:val="clear" w:pos="720"/>
        </w:tabs>
        <w:snapToGrid w:val="0"/>
        <w:spacing w:before="120" w:after="120"/>
        <w:ind w:firstLine="0"/>
        <w:jc w:val="both"/>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项目名称：</w:t>
      </w:r>
    </w:p>
    <w:p>
      <w:pPr>
        <w:pStyle w:val="37"/>
        <w:keepNext w:val="0"/>
        <w:pageBreakBefore w:val="0"/>
        <w:tabs>
          <w:tab w:val="clear" w:pos="720"/>
        </w:tabs>
        <w:snapToGrid w:val="0"/>
        <w:spacing w:before="120" w:after="120"/>
        <w:ind w:firstLine="0"/>
        <w:jc w:val="both"/>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项目编号：</w:t>
      </w:r>
    </w:p>
    <w:tbl>
      <w:tblPr>
        <w:tblStyle w:val="2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887"/>
        <w:gridCol w:w="2397"/>
        <w:gridCol w:w="1584"/>
        <w:gridCol w:w="1184"/>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16" w:type="dxa"/>
            <w:noWrap w:val="0"/>
            <w:vAlign w:val="top"/>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default"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序号</w:t>
            </w:r>
          </w:p>
        </w:tc>
        <w:tc>
          <w:tcPr>
            <w:tcW w:w="1887" w:type="dxa"/>
            <w:noWrap w:val="0"/>
            <w:vAlign w:val="top"/>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default"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内容</w:t>
            </w:r>
          </w:p>
        </w:tc>
        <w:tc>
          <w:tcPr>
            <w:tcW w:w="3981" w:type="dxa"/>
            <w:gridSpan w:val="2"/>
            <w:noWrap w:val="0"/>
            <w:vAlign w:val="top"/>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default"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计费标准</w:t>
            </w:r>
          </w:p>
        </w:tc>
        <w:tc>
          <w:tcPr>
            <w:tcW w:w="1184" w:type="dxa"/>
            <w:noWrap w:val="0"/>
            <w:vAlign w:val="top"/>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default"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投标费率</w:t>
            </w:r>
          </w:p>
        </w:tc>
        <w:tc>
          <w:tcPr>
            <w:tcW w:w="1233" w:type="dxa"/>
            <w:noWrap w:val="0"/>
            <w:vAlign w:val="top"/>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default"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中标单价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16" w:type="dxa"/>
            <w:vMerge w:val="restart"/>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1</w:t>
            </w:r>
          </w:p>
        </w:tc>
        <w:tc>
          <w:tcPr>
            <w:tcW w:w="1887" w:type="dxa"/>
            <w:vMerge w:val="restart"/>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rPr>
              <w:t>地块控制性详细规划</w:t>
            </w:r>
            <w:r>
              <w:rPr>
                <w:rFonts w:hint="eastAsia" w:ascii="宋体" w:hAnsi="宋体" w:eastAsia="宋体" w:cs="宋体"/>
                <w:b w:val="0"/>
                <w:bCs w:val="0"/>
                <w:color w:val="auto"/>
                <w:kern w:val="0"/>
                <w:sz w:val="24"/>
                <w:szCs w:val="24"/>
                <w:highlight w:val="none"/>
                <w:lang w:val="en-US" w:eastAsia="zh-CN"/>
              </w:rPr>
              <w:t>图则及方案试排</w:t>
            </w:r>
          </w:p>
        </w:tc>
        <w:tc>
          <w:tcPr>
            <w:tcW w:w="2397"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用地规模</w:t>
            </w:r>
          </w:p>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rPr>
              <w:t>（公顷)</w:t>
            </w:r>
          </w:p>
        </w:tc>
        <w:tc>
          <w:tcPr>
            <w:tcW w:w="1584"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rPr>
              <w:t>计费单价（</w:t>
            </w:r>
            <w:r>
              <w:rPr>
                <w:rFonts w:hint="eastAsia" w:ascii="宋体" w:hAnsi="宋体" w:eastAsia="宋体" w:cs="宋体"/>
                <w:b w:val="0"/>
                <w:bCs w:val="0"/>
                <w:color w:val="auto"/>
                <w:kern w:val="0"/>
                <w:sz w:val="24"/>
                <w:szCs w:val="24"/>
                <w:highlight w:val="none"/>
                <w:lang w:val="en-US" w:eastAsia="zh-CN"/>
              </w:rPr>
              <w:t>万</w:t>
            </w:r>
            <w:r>
              <w:rPr>
                <w:rFonts w:hint="eastAsia" w:ascii="宋体" w:hAnsi="宋体" w:eastAsia="宋体" w:cs="宋体"/>
                <w:b w:val="0"/>
                <w:bCs w:val="0"/>
                <w:color w:val="auto"/>
                <w:kern w:val="0"/>
                <w:sz w:val="24"/>
                <w:szCs w:val="24"/>
                <w:highlight w:val="none"/>
                <w:lang w:val="en-US"/>
              </w:rPr>
              <w:t>元</w:t>
            </w:r>
            <w:r>
              <w:rPr>
                <w:rFonts w:hint="eastAsia" w:ascii="宋体" w:hAnsi="宋体" w:eastAsia="宋体" w:cs="宋体"/>
                <w:b w:val="0"/>
                <w:bCs w:val="0"/>
                <w:color w:val="auto"/>
                <w:kern w:val="0"/>
                <w:sz w:val="24"/>
                <w:szCs w:val="24"/>
                <w:highlight w:val="none"/>
                <w:lang w:val="en-US" w:eastAsia="zh-CN"/>
              </w:rPr>
              <w:t>/公顷</w:t>
            </w:r>
            <w:r>
              <w:rPr>
                <w:rFonts w:hint="eastAsia" w:ascii="宋体" w:hAnsi="宋体" w:eastAsia="宋体" w:cs="宋体"/>
                <w:b w:val="0"/>
                <w:bCs w:val="0"/>
                <w:color w:val="auto"/>
                <w:kern w:val="0"/>
                <w:sz w:val="24"/>
                <w:szCs w:val="24"/>
                <w:highlight w:val="none"/>
                <w:lang w:val="en-US"/>
              </w:rPr>
              <w:t>）</w:t>
            </w:r>
          </w:p>
        </w:tc>
        <w:tc>
          <w:tcPr>
            <w:tcW w:w="1184" w:type="dxa"/>
            <w:vMerge w:val="restart"/>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233"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916"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887"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lang w:val="en-US"/>
              </w:rPr>
            </w:pPr>
          </w:p>
        </w:tc>
        <w:tc>
          <w:tcPr>
            <w:tcW w:w="23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S≤3.0</w:t>
            </w:r>
          </w:p>
        </w:tc>
        <w:tc>
          <w:tcPr>
            <w:tcW w:w="15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2.6</w:t>
            </w:r>
          </w:p>
        </w:tc>
        <w:tc>
          <w:tcPr>
            <w:tcW w:w="1184"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233"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916"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887"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lang w:val="en-US"/>
              </w:rPr>
            </w:pPr>
          </w:p>
        </w:tc>
        <w:tc>
          <w:tcPr>
            <w:tcW w:w="23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3.0＞S≤5.0</w:t>
            </w:r>
          </w:p>
        </w:tc>
        <w:tc>
          <w:tcPr>
            <w:tcW w:w="15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2.2</w:t>
            </w:r>
          </w:p>
        </w:tc>
        <w:tc>
          <w:tcPr>
            <w:tcW w:w="1184"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233"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916"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887"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23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5.0＞S≤10.0</w:t>
            </w:r>
          </w:p>
        </w:tc>
        <w:tc>
          <w:tcPr>
            <w:tcW w:w="15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p>
        </w:tc>
        <w:tc>
          <w:tcPr>
            <w:tcW w:w="1184"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233"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16"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887"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23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10.0＞S≤20.0</w:t>
            </w:r>
          </w:p>
        </w:tc>
        <w:tc>
          <w:tcPr>
            <w:tcW w:w="15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1.8</w:t>
            </w:r>
          </w:p>
        </w:tc>
        <w:tc>
          <w:tcPr>
            <w:tcW w:w="1184"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233"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916"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887"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23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20.0＞S≤30.0</w:t>
            </w:r>
          </w:p>
        </w:tc>
        <w:tc>
          <w:tcPr>
            <w:tcW w:w="15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1.5</w:t>
            </w:r>
          </w:p>
        </w:tc>
        <w:tc>
          <w:tcPr>
            <w:tcW w:w="1184"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233"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916"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887"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23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30.0＞S≤50.0</w:t>
            </w:r>
          </w:p>
        </w:tc>
        <w:tc>
          <w:tcPr>
            <w:tcW w:w="15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1.2</w:t>
            </w:r>
          </w:p>
        </w:tc>
        <w:tc>
          <w:tcPr>
            <w:tcW w:w="1184"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233"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916"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887"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23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S≥50.0</w:t>
            </w:r>
          </w:p>
        </w:tc>
        <w:tc>
          <w:tcPr>
            <w:tcW w:w="15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w:t>
            </w:r>
          </w:p>
        </w:tc>
        <w:tc>
          <w:tcPr>
            <w:tcW w:w="1184"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233"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16" w:type="dxa"/>
            <w:vMerge w:val="restart"/>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2</w:t>
            </w:r>
          </w:p>
        </w:tc>
        <w:tc>
          <w:tcPr>
            <w:tcW w:w="1887" w:type="dxa"/>
            <w:vMerge w:val="restart"/>
            <w:noWrap w:val="0"/>
            <w:vAlign w:val="center"/>
          </w:tcPr>
          <w:p>
            <w:pPr>
              <w:keepNext w:val="0"/>
              <w:keepLines w:val="0"/>
              <w:pageBreakBefore w:val="0"/>
              <w:kinsoku/>
              <w:wordWrap/>
              <w:overflowPunct/>
              <w:topLinePunct w:val="0"/>
              <w:autoSpaceDE/>
              <w:autoSpaceDN/>
              <w:bidi w:val="0"/>
              <w:adjustRightInd/>
              <w:snapToGrid/>
              <w:spacing w:before="120" w:after="120" w:line="400" w:lineRule="exact"/>
              <w:jc w:val="both"/>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rPr>
              <w:t>选址论证</w:t>
            </w:r>
            <w:r>
              <w:rPr>
                <w:rFonts w:hint="eastAsia" w:ascii="宋体" w:hAnsi="宋体" w:eastAsia="宋体" w:cs="宋体"/>
                <w:b w:val="0"/>
                <w:bCs w:val="0"/>
                <w:color w:val="auto"/>
                <w:kern w:val="0"/>
                <w:sz w:val="24"/>
                <w:szCs w:val="24"/>
                <w:highlight w:val="none"/>
                <w:lang w:val="en-US" w:eastAsia="zh-CN"/>
              </w:rPr>
              <w:t>及控规调整</w:t>
            </w:r>
            <w:r>
              <w:rPr>
                <w:rFonts w:hint="eastAsia" w:ascii="宋体" w:hAnsi="宋体" w:eastAsia="宋体" w:cs="宋体"/>
                <w:b w:val="0"/>
                <w:bCs w:val="0"/>
                <w:color w:val="auto"/>
                <w:kern w:val="0"/>
                <w:sz w:val="24"/>
                <w:szCs w:val="24"/>
                <w:highlight w:val="none"/>
                <w:lang w:val="en-US"/>
              </w:rPr>
              <w:t>报告</w:t>
            </w:r>
          </w:p>
        </w:tc>
        <w:tc>
          <w:tcPr>
            <w:tcW w:w="2397" w:type="dxa"/>
            <w:noWrap w:val="0"/>
            <w:vAlign w:val="center"/>
          </w:tcPr>
          <w:p>
            <w:pPr>
              <w:keepNext w:val="0"/>
              <w:keepLines w:val="0"/>
              <w:pageBreakBefore w:val="0"/>
              <w:kinsoku/>
              <w:wordWrap/>
              <w:overflowPunct/>
              <w:topLinePunct w:val="0"/>
              <w:autoSpaceDE/>
              <w:autoSpaceDN/>
              <w:bidi w:val="0"/>
              <w:adjustRightInd/>
              <w:snapToGrid/>
              <w:spacing w:before="120" w:after="120" w:line="400" w:lineRule="exact"/>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不含建筑概念方案的选址论证报告</w:t>
            </w:r>
          </w:p>
        </w:tc>
        <w:tc>
          <w:tcPr>
            <w:tcW w:w="1584"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5万元</w:t>
            </w:r>
            <w:r>
              <w:rPr>
                <w:rFonts w:hint="eastAsia" w:ascii="宋体" w:hAnsi="宋体" w:eastAsia="宋体" w:cs="宋体"/>
                <w:b w:val="0"/>
                <w:bCs w:val="0"/>
                <w:color w:val="auto"/>
                <w:kern w:val="0"/>
                <w:sz w:val="24"/>
                <w:szCs w:val="24"/>
                <w:highlight w:val="none"/>
                <w:lang w:val="en-US" w:eastAsia="zh-CN" w:bidi="ar-SA"/>
              </w:rPr>
              <w:t>/个</w:t>
            </w:r>
          </w:p>
        </w:tc>
        <w:tc>
          <w:tcPr>
            <w:tcW w:w="1184"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233"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16"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887"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239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控规调整报告</w:t>
            </w:r>
          </w:p>
        </w:tc>
        <w:tc>
          <w:tcPr>
            <w:tcW w:w="1584"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5万元</w:t>
            </w:r>
            <w:r>
              <w:rPr>
                <w:rFonts w:hint="eastAsia" w:ascii="宋体" w:hAnsi="宋体" w:eastAsia="宋体" w:cs="宋体"/>
                <w:b w:val="0"/>
                <w:bCs w:val="0"/>
                <w:color w:val="auto"/>
                <w:kern w:val="0"/>
                <w:sz w:val="24"/>
                <w:szCs w:val="24"/>
                <w:highlight w:val="none"/>
                <w:lang w:val="en-US" w:eastAsia="zh-CN" w:bidi="ar-SA"/>
              </w:rPr>
              <w:t>/个</w:t>
            </w:r>
          </w:p>
        </w:tc>
        <w:tc>
          <w:tcPr>
            <w:tcW w:w="1184"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233"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16" w:type="dxa"/>
            <w:vMerge w:val="restart"/>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default"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3</w:t>
            </w:r>
          </w:p>
        </w:tc>
        <w:tc>
          <w:tcPr>
            <w:tcW w:w="1887" w:type="dxa"/>
            <w:vMerge w:val="restart"/>
            <w:noWrap w:val="0"/>
            <w:vAlign w:val="center"/>
          </w:tcPr>
          <w:p>
            <w:pPr>
              <w:keepNext w:val="0"/>
              <w:keepLines w:val="0"/>
              <w:pageBreakBefore w:val="0"/>
              <w:kinsoku/>
              <w:wordWrap/>
              <w:overflowPunct/>
              <w:topLinePunct w:val="0"/>
              <w:autoSpaceDE/>
              <w:autoSpaceDN/>
              <w:bidi w:val="0"/>
              <w:adjustRightInd/>
              <w:snapToGrid/>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rPr>
              <w:t>规划研究</w:t>
            </w:r>
          </w:p>
        </w:tc>
        <w:tc>
          <w:tcPr>
            <w:tcW w:w="2397"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智慧新城范围（41.5平方公里）</w:t>
            </w:r>
          </w:p>
        </w:tc>
        <w:tc>
          <w:tcPr>
            <w:tcW w:w="1584"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30万元/个</w:t>
            </w:r>
          </w:p>
        </w:tc>
        <w:tc>
          <w:tcPr>
            <w:tcW w:w="1184"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233"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16"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887" w:type="dxa"/>
            <w:vMerge w:val="continue"/>
            <w:noWrap w:val="0"/>
            <w:vAlign w:val="center"/>
          </w:tcPr>
          <w:p>
            <w:pPr>
              <w:keepNext w:val="0"/>
              <w:keepLines w:val="0"/>
              <w:pageBreakBefore w:val="0"/>
              <w:kinsoku/>
              <w:wordWrap/>
              <w:overflowPunct/>
              <w:topLinePunct w:val="0"/>
              <w:autoSpaceDE/>
              <w:autoSpaceDN/>
              <w:bidi w:val="0"/>
              <w:adjustRightInd/>
              <w:snapToGrid/>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2397"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片区范围（一期、高铁新城、百家塘、浮石、姜家山、莫家</w:t>
            </w:r>
          </w:p>
        </w:tc>
        <w:tc>
          <w:tcPr>
            <w:tcW w:w="1584"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en-US" w:eastAsia="zh-CN" w:bidi="ar-SA"/>
              </w:rPr>
              <w:t>0</w:t>
            </w:r>
            <w:r>
              <w:rPr>
                <w:rFonts w:hint="default" w:ascii="宋体" w:hAnsi="宋体" w:eastAsia="宋体" w:cs="宋体"/>
                <w:b w:val="0"/>
                <w:bCs w:val="0"/>
                <w:color w:val="auto"/>
                <w:kern w:val="0"/>
                <w:sz w:val="24"/>
                <w:szCs w:val="24"/>
                <w:highlight w:val="none"/>
                <w:lang w:val="en-US" w:eastAsia="zh-CN" w:bidi="ar-SA"/>
              </w:rPr>
              <w:t>万元/个</w:t>
            </w:r>
          </w:p>
        </w:tc>
        <w:tc>
          <w:tcPr>
            <w:tcW w:w="1184"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233"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16"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887"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2397"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单元范围的</w:t>
            </w:r>
          </w:p>
        </w:tc>
        <w:tc>
          <w:tcPr>
            <w:tcW w:w="1584"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default" w:ascii="宋体" w:hAnsi="宋体" w:eastAsia="宋体" w:cs="宋体"/>
                <w:b w:val="0"/>
                <w:bCs w:val="0"/>
                <w:color w:val="auto"/>
                <w:kern w:val="0"/>
                <w:sz w:val="24"/>
                <w:szCs w:val="24"/>
                <w:highlight w:val="none"/>
                <w:lang w:val="en-US" w:eastAsia="zh-CN" w:bidi="ar-SA"/>
              </w:rPr>
            </w:pPr>
            <w:r>
              <w:rPr>
                <w:rFonts w:hint="default" w:ascii="宋体" w:hAnsi="宋体" w:eastAsia="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szCs w:val="24"/>
                <w:highlight w:val="none"/>
                <w:lang w:val="en-US" w:eastAsia="zh-CN" w:bidi="ar-SA"/>
              </w:rPr>
              <w:t>0</w:t>
            </w:r>
            <w:r>
              <w:rPr>
                <w:rFonts w:hint="default" w:ascii="宋体" w:hAnsi="宋体" w:eastAsia="宋体" w:cs="宋体"/>
                <w:b w:val="0"/>
                <w:bCs w:val="0"/>
                <w:color w:val="auto"/>
                <w:kern w:val="0"/>
                <w:sz w:val="24"/>
                <w:szCs w:val="24"/>
                <w:highlight w:val="none"/>
                <w:lang w:val="en-US" w:eastAsia="zh-CN" w:bidi="ar-SA"/>
              </w:rPr>
              <w:t>万元/个</w:t>
            </w:r>
          </w:p>
        </w:tc>
        <w:tc>
          <w:tcPr>
            <w:tcW w:w="1184" w:type="dxa"/>
            <w:vMerge w:val="continue"/>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233"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16"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default"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4</w:t>
            </w:r>
          </w:p>
        </w:tc>
        <w:tc>
          <w:tcPr>
            <w:tcW w:w="1887" w:type="dxa"/>
            <w:noWrap w:val="0"/>
            <w:vAlign w:val="center"/>
          </w:tcPr>
          <w:p>
            <w:pPr>
              <w:keepNext w:val="0"/>
              <w:keepLines w:val="0"/>
              <w:pageBreakBefore w:val="0"/>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r>
              <w:rPr>
                <w:rFonts w:hint="default" w:ascii="宋体" w:hAnsi="宋体" w:eastAsia="宋体" w:cs="宋体"/>
                <w:b w:val="0"/>
                <w:bCs w:val="0"/>
                <w:color w:val="auto"/>
                <w:kern w:val="0"/>
                <w:sz w:val="24"/>
                <w:szCs w:val="24"/>
                <w:highlight w:val="none"/>
                <w:lang w:val="en-US" w:eastAsia="zh-CN"/>
              </w:rPr>
              <w:t>总图管理及规划技术审查</w:t>
            </w:r>
          </w:p>
        </w:tc>
        <w:tc>
          <w:tcPr>
            <w:tcW w:w="3981" w:type="dxa"/>
            <w:gridSpan w:val="2"/>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30</w:t>
            </w:r>
            <w:r>
              <w:rPr>
                <w:rFonts w:hint="default" w:ascii="宋体" w:hAnsi="宋体" w:eastAsia="宋体" w:cs="宋体"/>
                <w:b w:val="0"/>
                <w:bCs/>
                <w:color w:val="auto"/>
                <w:kern w:val="0"/>
                <w:sz w:val="24"/>
                <w:szCs w:val="24"/>
                <w:highlight w:val="none"/>
                <w:lang w:val="en-US" w:eastAsia="zh-CN"/>
              </w:rPr>
              <w:t>万元</w:t>
            </w:r>
            <w:r>
              <w:rPr>
                <w:rFonts w:hint="eastAsia" w:ascii="宋体" w:hAnsi="宋体" w:eastAsia="宋体" w:cs="宋体"/>
                <w:b w:val="0"/>
                <w:bCs/>
                <w:color w:val="auto"/>
                <w:kern w:val="0"/>
                <w:sz w:val="24"/>
                <w:szCs w:val="24"/>
                <w:highlight w:val="none"/>
                <w:lang w:val="en-US" w:eastAsia="zh-CN"/>
              </w:rPr>
              <w:t>/年</w:t>
            </w:r>
          </w:p>
        </w:tc>
        <w:tc>
          <w:tcPr>
            <w:tcW w:w="1184"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c>
          <w:tcPr>
            <w:tcW w:w="1233" w:type="dxa"/>
            <w:noWrap w:val="0"/>
            <w:vAlign w:val="center"/>
          </w:tcPr>
          <w:p>
            <w:pPr>
              <w:pStyle w:val="37"/>
              <w:keepNext w:val="0"/>
              <w:keepLines w:val="0"/>
              <w:pageBreakBefore w:val="0"/>
              <w:tabs>
                <w:tab w:val="clear" w:pos="720"/>
              </w:tabs>
              <w:kinsoku/>
              <w:wordWrap/>
              <w:overflowPunct/>
              <w:topLinePunct w:val="0"/>
              <w:autoSpaceDE/>
              <w:autoSpaceDN/>
              <w:bidi w:val="0"/>
              <w:adjustRightInd/>
              <w:snapToGrid w:val="0"/>
              <w:spacing w:before="120" w:after="120" w:line="400" w:lineRule="exact"/>
              <w:jc w:val="center"/>
              <w:textAlignment w:val="auto"/>
              <w:outlineLvl w:val="9"/>
              <w:rPr>
                <w:rFonts w:hint="eastAsia" w:ascii="宋体" w:hAnsi="宋体" w:eastAsia="宋体" w:cs="宋体"/>
                <w:b w:val="0"/>
                <w:bCs w:val="0"/>
                <w:color w:val="auto"/>
                <w:kern w:val="0"/>
                <w:sz w:val="24"/>
                <w:szCs w:val="24"/>
                <w:highlight w:val="none"/>
                <w:vertAlign w:val="baseline"/>
                <w:lang w:val="en-US" w:eastAsia="zh-CN"/>
              </w:rPr>
            </w:pPr>
          </w:p>
        </w:tc>
      </w:tr>
    </w:tbl>
    <w:p>
      <w:pPr>
        <w:pStyle w:val="37"/>
        <w:keepNext w:val="0"/>
        <w:pageBreakBefore w:val="0"/>
        <w:tabs>
          <w:tab w:val="clear" w:pos="720"/>
        </w:tabs>
        <w:snapToGrid w:val="0"/>
        <w:spacing w:before="120" w:after="120"/>
        <w:ind w:firstLine="0"/>
        <w:jc w:val="both"/>
        <w:outlineLvl w:val="9"/>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注：1.上表中的中标单价结算单价等于。</w:t>
      </w:r>
    </w:p>
    <w:p>
      <w:pPr>
        <w:pStyle w:val="37"/>
        <w:keepNext w:val="0"/>
        <w:pageBreakBefore w:val="0"/>
        <w:tabs>
          <w:tab w:val="clear" w:pos="720"/>
        </w:tabs>
        <w:snapToGrid w:val="0"/>
        <w:spacing w:before="120" w:after="120"/>
        <w:ind w:firstLine="480" w:firstLineChars="200"/>
        <w:jc w:val="both"/>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2.上表中的投标费率应与开标一览表中的投标报价一致。</w:t>
      </w:r>
    </w:p>
    <w:p>
      <w:pPr>
        <w:spacing w:line="400" w:lineRule="exact"/>
        <w:rPr>
          <w:rFonts w:ascii="宋体" w:hAnsi="宋体" w:cs="宋体"/>
          <w:sz w:val="24"/>
          <w:szCs w:val="24"/>
          <w:highlight w:val="none"/>
        </w:rPr>
      </w:pPr>
    </w:p>
    <w:p>
      <w:pPr>
        <w:spacing w:line="400" w:lineRule="exact"/>
        <w:rPr>
          <w:rFonts w:ascii="宋体" w:hAnsi="宋体" w:cs="宋体"/>
          <w:sz w:val="24"/>
          <w:szCs w:val="24"/>
          <w:highlight w:val="none"/>
        </w:rPr>
      </w:pPr>
      <w:r>
        <w:rPr>
          <w:rFonts w:hint="eastAsia" w:ascii="宋体" w:hAnsi="宋体" w:cs="宋体"/>
          <w:sz w:val="24"/>
          <w:szCs w:val="24"/>
          <w:highlight w:val="none"/>
        </w:rPr>
        <w:t>供应商全称（盖章或电子签章）：</w:t>
      </w:r>
    </w:p>
    <w:p>
      <w:pPr>
        <w:spacing w:line="400" w:lineRule="exact"/>
        <w:rPr>
          <w:rFonts w:ascii="宋体" w:hAnsi="宋体" w:cs="宋体"/>
          <w:sz w:val="24"/>
          <w:szCs w:val="24"/>
          <w:highlight w:val="none"/>
        </w:rPr>
      </w:pPr>
      <w:r>
        <w:rPr>
          <w:rFonts w:hint="eastAsia" w:ascii="宋体" w:hAnsi="宋体" w:cs="宋体"/>
          <w:sz w:val="24"/>
          <w:szCs w:val="24"/>
          <w:highlight w:val="none"/>
        </w:rPr>
        <w:t>法定代表人或其授权代表（签字或盖章或电子签章）：</w:t>
      </w:r>
    </w:p>
    <w:p>
      <w:pPr>
        <w:spacing w:line="400" w:lineRule="exact"/>
        <w:rPr>
          <w:rFonts w:ascii="宋体" w:hAnsi="宋体" w:cs="宋体"/>
          <w:b/>
          <w:bCs/>
          <w:sz w:val="24"/>
          <w:szCs w:val="24"/>
          <w:highlight w:val="none"/>
          <w:lang w:val="zh-CN"/>
        </w:rPr>
      </w:pPr>
      <w:r>
        <w:rPr>
          <w:rFonts w:hint="eastAsia" w:ascii="宋体" w:hAnsi="宋体" w:cs="宋体"/>
          <w:sz w:val="24"/>
          <w:szCs w:val="24"/>
          <w:highlight w:val="none"/>
        </w:rPr>
        <w:t>日 期：  年  月  日</w:t>
      </w:r>
    </w:p>
    <w:p>
      <w:pPr>
        <w:rPr>
          <w:rFonts w:ascii="宋体" w:hAnsi="宋体" w:cs="宋体"/>
          <w:highlight w:val="none"/>
        </w:rPr>
      </w:pPr>
    </w:p>
    <w:p>
      <w:pPr>
        <w:pStyle w:val="6"/>
        <w:ind w:firstLine="210"/>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widowControl/>
        <w:spacing w:line="500" w:lineRule="exact"/>
        <w:ind w:firstLine="482" w:firstLineChars="200"/>
        <w:jc w:val="center"/>
        <w:rPr>
          <w:rFonts w:ascii="宋体" w:hAnsi="宋体" w:cs="宋体"/>
          <w:b/>
          <w:bCs/>
          <w:kern w:val="0"/>
          <w:sz w:val="24"/>
          <w:highlight w:val="none"/>
        </w:rPr>
      </w:pPr>
      <w:bookmarkStart w:id="64" w:name="_Toc2416"/>
      <w:bookmarkStart w:id="65" w:name="_Toc13915"/>
      <w:bookmarkStart w:id="66" w:name="_Toc4749"/>
      <w:bookmarkStart w:id="67" w:name="_Toc16262"/>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pStyle w:val="2"/>
        <w:rPr>
          <w:rFonts w:ascii="宋体" w:hAnsi="宋体" w:cs="宋体"/>
          <w:b/>
          <w:bCs/>
          <w:kern w:val="0"/>
          <w:sz w:val="24"/>
          <w:highlight w:val="none"/>
        </w:rPr>
      </w:pPr>
    </w:p>
    <w:p>
      <w:pPr>
        <w:widowControl/>
        <w:spacing w:line="600" w:lineRule="exact"/>
        <w:jc w:val="center"/>
        <w:rPr>
          <w:rFonts w:hint="eastAsia" w:ascii="宋体" w:hAnsi="宋体" w:cs="宋体"/>
          <w:b/>
          <w:bCs/>
          <w:kern w:val="0"/>
          <w:sz w:val="30"/>
          <w:szCs w:val="30"/>
          <w:highlight w:val="none"/>
          <w:lang w:eastAsia="zh-CN"/>
        </w:rPr>
      </w:pPr>
      <w:r>
        <w:rPr>
          <w:rFonts w:hint="eastAsia" w:ascii="宋体" w:hAnsi="宋体" w:cs="宋体"/>
          <w:b/>
          <w:bCs/>
          <w:kern w:val="0"/>
          <w:sz w:val="30"/>
          <w:szCs w:val="30"/>
          <w:highlight w:val="none"/>
        </w:rPr>
        <w:t>中小企业声明函（服务）</w:t>
      </w:r>
      <w:r>
        <w:rPr>
          <w:rFonts w:hint="eastAsia" w:ascii="宋体" w:hAnsi="宋体" w:cs="宋体"/>
          <w:b/>
          <w:bCs/>
          <w:kern w:val="0"/>
          <w:sz w:val="30"/>
          <w:szCs w:val="30"/>
          <w:highlight w:val="none"/>
          <w:lang w:eastAsia="zh-CN"/>
        </w:rPr>
        <w:t>（</w:t>
      </w:r>
      <w:r>
        <w:rPr>
          <w:rFonts w:hint="eastAsia" w:ascii="宋体" w:hAnsi="宋体" w:cs="宋体"/>
          <w:b/>
          <w:bCs/>
          <w:kern w:val="0"/>
          <w:sz w:val="30"/>
          <w:szCs w:val="30"/>
          <w:highlight w:val="none"/>
          <w:lang w:val="en-US" w:eastAsia="zh-CN"/>
        </w:rPr>
        <w:t>如有</w:t>
      </w:r>
      <w:r>
        <w:rPr>
          <w:rFonts w:hint="eastAsia" w:ascii="宋体" w:hAnsi="宋体" w:cs="宋体"/>
          <w:b/>
          <w:bCs/>
          <w:kern w:val="0"/>
          <w:sz w:val="30"/>
          <w:szCs w:val="30"/>
          <w:highlight w:val="none"/>
          <w:lang w:eastAsia="zh-CN"/>
        </w:rPr>
        <w:t>）</w:t>
      </w:r>
    </w:p>
    <w:p>
      <w:pPr>
        <w:pStyle w:val="2"/>
        <w:rPr>
          <w:rFonts w:hint="eastAsia"/>
          <w:highlight w:val="none"/>
          <w:lang w:eastAsia="zh-CN"/>
        </w:rPr>
      </w:pP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本公司（联合体）郑重声明，根据《政府采购促进中小企业发展管理办法》（财库﹝2020﹞46 号）的规定，本公司（联合体）参加 </w:t>
      </w:r>
      <w:r>
        <w:rPr>
          <w:rFonts w:hint="eastAsia" w:ascii="宋体" w:hAnsi="宋体" w:cs="宋体"/>
          <w:sz w:val="24"/>
          <w:szCs w:val="24"/>
          <w:highlight w:val="none"/>
          <w:u w:val="single"/>
        </w:rPr>
        <w:t xml:space="preserve">（采购人） </w:t>
      </w:r>
      <w:r>
        <w:rPr>
          <w:rFonts w:hint="eastAsia" w:ascii="宋体" w:hAnsi="宋体" w:cs="宋体"/>
          <w:sz w:val="24"/>
          <w:szCs w:val="24"/>
          <w:highlight w:val="none"/>
        </w:rPr>
        <w:t xml:space="preserve">的 </w:t>
      </w:r>
      <w:r>
        <w:rPr>
          <w:rFonts w:hint="eastAsia" w:ascii="宋体" w:hAnsi="宋体" w:cs="宋体"/>
          <w:sz w:val="24"/>
          <w:szCs w:val="24"/>
          <w:highlight w:val="none"/>
          <w:u w:val="single"/>
        </w:rPr>
        <w:t>（项目名称）</w:t>
      </w:r>
      <w:r>
        <w:rPr>
          <w:rFonts w:hint="eastAsia" w:ascii="宋体" w:hAnsi="宋体" w:cs="宋体"/>
          <w:sz w:val="24"/>
          <w:szCs w:val="24"/>
          <w:highlight w:val="none"/>
        </w:rPr>
        <w:t xml:space="preserve"> 采购活动，提供的服务全部由符合政策要求的中小企业承接。相关企业（含联合体中的中小企业、签订分包意向协议的中小企业）的具体情况如下：</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 </w:t>
      </w:r>
      <w:r>
        <w:rPr>
          <w:rFonts w:hint="eastAsia" w:ascii="宋体" w:hAnsi="宋体" w:cs="宋体"/>
          <w:sz w:val="24"/>
          <w:szCs w:val="24"/>
          <w:highlight w:val="none"/>
          <w:u w:val="single"/>
        </w:rPr>
        <w:t>（标的名称）</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（采购文件中明确的所属行业）</w:t>
      </w:r>
      <w:r>
        <w:rPr>
          <w:rFonts w:hint="eastAsia" w:ascii="宋体" w:hAnsi="宋体" w:cs="宋体"/>
          <w:sz w:val="24"/>
          <w:szCs w:val="24"/>
          <w:highlight w:val="none"/>
        </w:rPr>
        <w:t>行业 ；供应商为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2. </w:t>
      </w:r>
      <w:r>
        <w:rPr>
          <w:rFonts w:hint="eastAsia" w:ascii="宋体" w:hAnsi="宋体" w:cs="宋体"/>
          <w:sz w:val="24"/>
          <w:szCs w:val="24"/>
          <w:highlight w:val="none"/>
          <w:u w:val="single"/>
        </w:rPr>
        <w:t>（标的名称）</w:t>
      </w:r>
      <w:r>
        <w:rPr>
          <w:rFonts w:hint="eastAsia" w:ascii="宋体" w:hAnsi="宋体" w:cs="宋体"/>
          <w:sz w:val="24"/>
          <w:szCs w:val="24"/>
          <w:highlight w:val="none"/>
        </w:rPr>
        <w:t xml:space="preserve"> ，属于 </w:t>
      </w:r>
      <w:r>
        <w:rPr>
          <w:rFonts w:hint="eastAsia" w:ascii="宋体" w:hAnsi="宋体" w:cs="宋体"/>
          <w:sz w:val="24"/>
          <w:szCs w:val="24"/>
          <w:highlight w:val="none"/>
          <w:u w:val="single"/>
        </w:rPr>
        <w:t>（采购文件中明确的所属行业）</w:t>
      </w:r>
      <w:r>
        <w:rPr>
          <w:rFonts w:hint="eastAsia" w:ascii="宋体" w:hAnsi="宋体" w:cs="宋体"/>
          <w:sz w:val="24"/>
          <w:szCs w:val="24"/>
          <w:highlight w:val="none"/>
        </w:rPr>
        <w:t>行业 ；供应商商为</w:t>
      </w:r>
      <w:r>
        <w:rPr>
          <w:rFonts w:hint="eastAsia" w:ascii="宋体" w:hAnsi="宋体" w:cs="宋体"/>
          <w:sz w:val="24"/>
          <w:szCs w:val="24"/>
          <w:highlight w:val="none"/>
          <w:u w:val="single"/>
        </w:rPr>
        <w:t xml:space="preserve"> （企业名称）</w:t>
      </w:r>
      <w:r>
        <w:rPr>
          <w:rFonts w:hint="eastAsia" w:ascii="宋体" w:hAnsi="宋体" w:cs="宋体"/>
          <w:sz w:val="24"/>
          <w:szCs w:val="24"/>
          <w:highlight w:val="none"/>
        </w:rPr>
        <w:t xml:space="preserve"> ，从业人员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本企业对上述声明内容的真实性负责。如有虚假，将依法承担相应责任。</w:t>
      </w:r>
    </w:p>
    <w:p>
      <w:pPr>
        <w:snapToGrid w:val="0"/>
        <w:spacing w:line="500" w:lineRule="exact"/>
        <w:ind w:firstLine="5160" w:firstLineChars="2150"/>
        <w:rPr>
          <w:rFonts w:ascii="宋体" w:hAnsi="宋体" w:cs="宋体"/>
          <w:kern w:val="0"/>
          <w:sz w:val="24"/>
          <w:szCs w:val="24"/>
          <w:highlight w:val="none"/>
        </w:rPr>
      </w:pPr>
      <w:r>
        <w:rPr>
          <w:rFonts w:hint="eastAsia" w:ascii="宋体" w:hAnsi="宋体" w:cs="宋体"/>
          <w:kern w:val="0"/>
          <w:sz w:val="24"/>
          <w:szCs w:val="24"/>
          <w:highlight w:val="none"/>
          <w:lang w:val="zh-CN"/>
        </w:rPr>
        <w:t>投标人名称</w:t>
      </w:r>
      <w:r>
        <w:rPr>
          <w:rFonts w:hint="eastAsia" w:ascii="宋体" w:hAnsi="宋体" w:cs="宋体"/>
          <w:kern w:val="0"/>
          <w:sz w:val="24"/>
          <w:szCs w:val="24"/>
          <w:highlight w:val="none"/>
        </w:rPr>
        <w:t>（盖章或电子签章）</w:t>
      </w:r>
      <w:r>
        <w:rPr>
          <w:rFonts w:hint="eastAsia" w:ascii="宋体" w:hAnsi="宋体" w:cs="宋体"/>
          <w:kern w:val="0"/>
          <w:sz w:val="24"/>
          <w:szCs w:val="24"/>
          <w:highlight w:val="none"/>
          <w:lang w:val="zh-CN"/>
        </w:rPr>
        <w:t>：</w:t>
      </w:r>
    </w:p>
    <w:p>
      <w:pPr>
        <w:snapToGrid w:val="0"/>
        <w:spacing w:line="500" w:lineRule="exact"/>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日期</w:t>
      </w:r>
      <w:r>
        <w:rPr>
          <w:rFonts w:hint="eastAsia" w:ascii="宋体" w:hAnsi="宋体" w:cs="宋体"/>
          <w:kern w:val="0"/>
          <w:sz w:val="24"/>
          <w:szCs w:val="24"/>
          <w:highlight w:val="none"/>
        </w:rPr>
        <w:t xml:space="preserve">：  年  </w:t>
      </w:r>
      <w:r>
        <w:rPr>
          <w:rFonts w:hint="eastAsia" w:ascii="宋体" w:hAnsi="宋体" w:cs="宋体"/>
          <w:kern w:val="0"/>
          <w:sz w:val="24"/>
          <w:szCs w:val="24"/>
          <w:highlight w:val="none"/>
          <w:lang w:val="zh-CN"/>
        </w:rPr>
        <w:t>月</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zh-CN"/>
        </w:rPr>
        <w:t>日</w:t>
      </w:r>
    </w:p>
    <w:p>
      <w:pPr>
        <w:spacing w:line="500" w:lineRule="exact"/>
        <w:jc w:val="left"/>
        <w:rPr>
          <w:rFonts w:ascii="宋体" w:hAnsi="宋体" w:cs="宋体"/>
          <w:sz w:val="24"/>
          <w:szCs w:val="24"/>
          <w:highlight w:val="none"/>
        </w:rPr>
      </w:pPr>
      <w:r>
        <w:rPr>
          <w:rFonts w:hint="eastAsia" w:ascii="宋体" w:hAnsi="宋体" w:cs="宋体"/>
          <w:sz w:val="24"/>
          <w:szCs w:val="24"/>
          <w:highlight w:val="none"/>
        </w:rPr>
        <w:t>从业人员、营业收入、资产总额填报上一年度数据，无上一年度数据的新成立企业可不填报。</w:t>
      </w:r>
    </w:p>
    <w:p>
      <w:pPr>
        <w:spacing w:line="500" w:lineRule="exact"/>
        <w:ind w:right="420" w:firstLine="480" w:firstLineChars="200"/>
        <w:rPr>
          <w:rFonts w:ascii="宋体" w:hAnsi="宋体" w:cs="宋体"/>
          <w:sz w:val="24"/>
          <w:szCs w:val="24"/>
          <w:highlight w:val="none"/>
        </w:rPr>
      </w:pPr>
      <w:r>
        <w:rPr>
          <w:rFonts w:hint="eastAsia" w:ascii="宋体" w:hAnsi="宋体" w:cs="宋体"/>
          <w:sz w:val="24"/>
          <w:szCs w:val="24"/>
          <w:highlight w:val="none"/>
        </w:rPr>
        <w:t>注：</w:t>
      </w:r>
    </w:p>
    <w:p>
      <w:pPr>
        <w:spacing w:line="500" w:lineRule="exact"/>
        <w:ind w:right="420" w:firstLine="480" w:firstLineChars="200"/>
        <w:rPr>
          <w:rFonts w:ascii="宋体" w:hAnsi="宋体" w:cs="宋体"/>
          <w:sz w:val="24"/>
          <w:szCs w:val="24"/>
          <w:highlight w:val="none"/>
        </w:rPr>
      </w:pPr>
      <w:r>
        <w:rPr>
          <w:rFonts w:hint="eastAsia" w:ascii="宋体" w:hAnsi="宋体" w:cs="宋体"/>
          <w:sz w:val="24"/>
          <w:szCs w:val="24"/>
          <w:highlight w:val="none"/>
        </w:rPr>
        <w:t>1、填写要求：①“标的名称”、“采购文件中明确的所属行业”依据招标文件第二部分投标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idowControl/>
        <w:spacing w:line="500" w:lineRule="exact"/>
        <w:jc w:val="left"/>
        <w:rPr>
          <w:rFonts w:ascii="宋体" w:hAnsi="宋体" w:cs="宋体"/>
          <w:kern w:val="0"/>
          <w:sz w:val="24"/>
          <w:szCs w:val="24"/>
          <w:highlight w:val="none"/>
        </w:rPr>
      </w:pPr>
      <w:r>
        <w:rPr>
          <w:rFonts w:hint="eastAsia" w:ascii="宋体" w:hAnsi="宋体" w:cs="宋体"/>
          <w:sz w:val="24"/>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sz w:val="24"/>
          <w:szCs w:val="24"/>
          <w:highlight w:val="none"/>
        </w:rPr>
      </w:pPr>
    </w:p>
    <w:p>
      <w:pPr>
        <w:widowControl/>
        <w:spacing w:line="600" w:lineRule="exact"/>
        <w:ind w:firstLine="482" w:firstLineChars="200"/>
        <w:jc w:val="center"/>
        <w:rPr>
          <w:rFonts w:ascii="宋体" w:hAnsi="宋体" w:cs="宋体"/>
          <w:b/>
          <w:bCs/>
          <w:kern w:val="0"/>
          <w:sz w:val="24"/>
          <w:szCs w:val="24"/>
          <w:highlight w:val="none"/>
        </w:rPr>
      </w:pPr>
    </w:p>
    <w:p>
      <w:pPr>
        <w:pStyle w:val="29"/>
        <w:rPr>
          <w:rFonts w:ascii="宋体"/>
          <w:szCs w:val="24"/>
          <w:highlight w:val="none"/>
        </w:rPr>
      </w:pPr>
    </w:p>
    <w:p>
      <w:pPr>
        <w:pStyle w:val="29"/>
        <w:rPr>
          <w:rFonts w:ascii="宋体"/>
          <w:szCs w:val="24"/>
          <w:highlight w:val="none"/>
        </w:rPr>
      </w:pPr>
    </w:p>
    <w:p>
      <w:pPr>
        <w:pStyle w:val="29"/>
        <w:rPr>
          <w:rFonts w:ascii="宋体"/>
          <w:szCs w:val="24"/>
          <w:highlight w:val="none"/>
        </w:rPr>
      </w:pPr>
    </w:p>
    <w:p>
      <w:pPr>
        <w:pStyle w:val="29"/>
        <w:rPr>
          <w:rFonts w:ascii="宋体"/>
          <w:szCs w:val="24"/>
          <w:highlight w:val="none"/>
        </w:rPr>
      </w:pPr>
    </w:p>
    <w:p>
      <w:pPr>
        <w:pStyle w:val="29"/>
        <w:rPr>
          <w:rFonts w:ascii="宋体"/>
          <w:szCs w:val="24"/>
          <w:highlight w:val="none"/>
        </w:rPr>
      </w:pPr>
    </w:p>
    <w:p>
      <w:pPr>
        <w:pStyle w:val="29"/>
        <w:rPr>
          <w:rFonts w:ascii="宋体"/>
          <w:szCs w:val="24"/>
          <w:highlight w:val="none"/>
        </w:rPr>
      </w:pPr>
    </w:p>
    <w:p>
      <w:pPr>
        <w:pStyle w:val="29"/>
        <w:rPr>
          <w:rFonts w:ascii="宋体"/>
          <w:szCs w:val="24"/>
          <w:highlight w:val="none"/>
        </w:rPr>
      </w:pPr>
    </w:p>
    <w:p>
      <w:pPr>
        <w:pStyle w:val="29"/>
        <w:rPr>
          <w:rFonts w:ascii="宋体"/>
          <w:szCs w:val="24"/>
          <w:highlight w:val="none"/>
        </w:rPr>
      </w:pPr>
    </w:p>
    <w:p>
      <w:pPr>
        <w:pStyle w:val="29"/>
        <w:rPr>
          <w:rFonts w:ascii="宋体"/>
          <w:szCs w:val="24"/>
          <w:highlight w:val="none"/>
        </w:rPr>
      </w:pPr>
    </w:p>
    <w:p>
      <w:pPr>
        <w:pStyle w:val="29"/>
        <w:rPr>
          <w:rFonts w:ascii="宋体"/>
          <w:szCs w:val="24"/>
          <w:highlight w:val="none"/>
        </w:rPr>
      </w:pPr>
    </w:p>
    <w:p>
      <w:pPr>
        <w:pStyle w:val="29"/>
        <w:rPr>
          <w:rFonts w:ascii="宋体"/>
          <w:szCs w:val="24"/>
          <w:highlight w:val="none"/>
        </w:rPr>
      </w:pPr>
    </w:p>
    <w:p>
      <w:pPr>
        <w:pStyle w:val="29"/>
        <w:rPr>
          <w:rFonts w:ascii="宋体"/>
          <w:szCs w:val="24"/>
          <w:highlight w:val="none"/>
        </w:rPr>
      </w:pPr>
    </w:p>
    <w:p>
      <w:pPr>
        <w:pStyle w:val="29"/>
        <w:rPr>
          <w:rFonts w:ascii="宋体"/>
          <w:szCs w:val="24"/>
          <w:highlight w:val="none"/>
        </w:rPr>
      </w:pPr>
    </w:p>
    <w:p>
      <w:pPr>
        <w:pStyle w:val="29"/>
        <w:rPr>
          <w:rFonts w:ascii="宋体"/>
          <w:szCs w:val="24"/>
          <w:highlight w:val="none"/>
        </w:rPr>
      </w:pPr>
    </w:p>
    <w:p>
      <w:pPr>
        <w:pStyle w:val="29"/>
        <w:rPr>
          <w:rFonts w:ascii="宋体"/>
          <w:szCs w:val="24"/>
          <w:highlight w:val="none"/>
        </w:rPr>
      </w:pPr>
    </w:p>
    <w:p>
      <w:pPr>
        <w:pStyle w:val="29"/>
        <w:rPr>
          <w:rFonts w:ascii="宋体"/>
          <w:szCs w:val="24"/>
          <w:highlight w:val="none"/>
        </w:rPr>
      </w:pPr>
    </w:p>
    <w:p>
      <w:pPr>
        <w:pStyle w:val="29"/>
        <w:rPr>
          <w:rFonts w:ascii="宋体"/>
          <w:szCs w:val="24"/>
          <w:highlight w:val="none"/>
        </w:rPr>
      </w:pPr>
    </w:p>
    <w:p>
      <w:pPr>
        <w:pStyle w:val="29"/>
        <w:rPr>
          <w:rFonts w:ascii="宋体"/>
          <w:szCs w:val="24"/>
          <w:highlight w:val="none"/>
        </w:rPr>
      </w:pPr>
    </w:p>
    <w:p>
      <w:pPr>
        <w:widowControl/>
        <w:spacing w:line="600" w:lineRule="exact"/>
        <w:jc w:val="center"/>
        <w:rPr>
          <w:rFonts w:ascii="宋体" w:hAnsi="宋体" w:cs="宋体"/>
          <w:b/>
          <w:bCs/>
          <w:kern w:val="0"/>
          <w:sz w:val="24"/>
          <w:szCs w:val="24"/>
          <w:highlight w:val="none"/>
        </w:rPr>
      </w:pPr>
      <w:r>
        <w:rPr>
          <w:rFonts w:hint="eastAsia" w:ascii="宋体" w:hAnsi="宋体" w:cs="宋体"/>
          <w:b/>
          <w:bCs/>
          <w:kern w:val="0"/>
          <w:sz w:val="24"/>
          <w:szCs w:val="24"/>
          <w:highlight w:val="none"/>
        </w:rPr>
        <w:t>监狱企业声明函【不属于监狱企业，不用提供此函】</w:t>
      </w:r>
    </w:p>
    <w:p>
      <w:pPr>
        <w:pStyle w:val="2"/>
        <w:spacing w:line="600" w:lineRule="exact"/>
        <w:ind w:firstLine="0" w:firstLineChars="0"/>
        <w:jc w:val="center"/>
        <w:rPr>
          <w:rFonts w:ascii="宋体" w:hAnsi="宋体" w:cs="宋体"/>
          <w:b/>
          <w:bCs/>
          <w:kern w:val="0"/>
          <w:sz w:val="24"/>
          <w:highlight w:val="none"/>
        </w:rPr>
      </w:pPr>
    </w:p>
    <w:p>
      <w:pPr>
        <w:pStyle w:val="2"/>
        <w:spacing w:line="600" w:lineRule="exact"/>
        <w:ind w:firstLine="0" w:firstLineChars="0"/>
        <w:jc w:val="center"/>
        <w:rPr>
          <w:rFonts w:ascii="宋体" w:hAnsi="宋体" w:cs="宋体"/>
          <w:kern w:val="0"/>
          <w:sz w:val="24"/>
          <w:highlight w:val="none"/>
          <w:u w:val="single"/>
        </w:rPr>
      </w:pPr>
      <w:r>
        <w:rPr>
          <w:rFonts w:hint="eastAsia" w:ascii="宋体" w:hAnsi="宋体" w:cs="宋体"/>
          <w:b/>
          <w:bCs/>
          <w:kern w:val="0"/>
          <w:sz w:val="24"/>
          <w:highlight w:val="none"/>
        </w:rPr>
        <w:t>监狱企业声明函</w:t>
      </w:r>
    </w:p>
    <w:p>
      <w:pPr>
        <w:widowControl/>
        <w:spacing w:line="6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本企业郑重声明，根据《关于政府采购支持监狱企业发展有关问题的通知》（财库[2014]68号）的规定，本企业为监狱企业。 </w:t>
      </w:r>
    </w:p>
    <w:p>
      <w:pPr>
        <w:widowControl/>
        <w:spacing w:line="6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根据上述标准，我企业属于监狱企业的理由为：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pPr>
        <w:widowControl/>
        <w:spacing w:line="6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本企业为参加（项目名称：</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）（项目编号：</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）采购活动并提供本企业的服务。</w:t>
      </w:r>
    </w:p>
    <w:p>
      <w:pPr>
        <w:widowControl/>
        <w:spacing w:line="6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或提供其他</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（请填写：小型、微型、监狱）企业的服务，该企业为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（请填写：小型、微型、监狱）企业。</w:t>
      </w:r>
    </w:p>
    <w:p>
      <w:pPr>
        <w:widowControl/>
        <w:spacing w:line="6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本企业对上述声明的真实性负责。如有虚假，将依法承担相应责任。 </w:t>
      </w:r>
    </w:p>
    <w:p>
      <w:pPr>
        <w:widowControl/>
        <w:spacing w:line="6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 </w:t>
      </w:r>
    </w:p>
    <w:p>
      <w:pPr>
        <w:widowControl/>
        <w:spacing w:line="6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供应商名称（盖章或电子签章）：                                         </w:t>
      </w:r>
    </w:p>
    <w:p>
      <w:pPr>
        <w:widowControl/>
        <w:spacing w:line="6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日期：       年     月   日 </w:t>
      </w:r>
    </w:p>
    <w:p>
      <w:pPr>
        <w:widowControl/>
        <w:spacing w:line="600" w:lineRule="exact"/>
        <w:ind w:firstLine="480" w:firstLineChars="200"/>
        <w:jc w:val="left"/>
        <w:rPr>
          <w:rFonts w:ascii="宋体" w:hAnsi="宋体" w:cs="宋体"/>
          <w:kern w:val="0"/>
          <w:sz w:val="24"/>
          <w:szCs w:val="24"/>
          <w:highlight w:val="none"/>
        </w:rPr>
      </w:pPr>
    </w:p>
    <w:p>
      <w:pPr>
        <w:widowControl/>
        <w:spacing w:line="6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监狱企业参加政府采购活动时，应当提供由省级以上监狱管理局、戒毒管理局（含新疆生产建设兵团）出具的属于监狱企业的证明文件。 </w:t>
      </w:r>
    </w:p>
    <w:p>
      <w:pPr>
        <w:widowControl/>
        <w:spacing w:line="60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pacing w:line="600" w:lineRule="exact"/>
        <w:ind w:firstLine="482" w:firstLineChars="200"/>
        <w:jc w:val="left"/>
        <w:rPr>
          <w:rFonts w:ascii="宋体" w:hAnsi="宋体" w:cs="宋体"/>
          <w:b/>
          <w:bCs/>
          <w:kern w:val="0"/>
          <w:sz w:val="24"/>
          <w:szCs w:val="24"/>
          <w:highlight w:val="none"/>
          <w:lang w:bidi="ar"/>
        </w:rPr>
      </w:pPr>
      <w:r>
        <w:rPr>
          <w:rFonts w:hint="eastAsia" w:ascii="宋体" w:hAnsi="宋体" w:cs="宋体"/>
          <w:b/>
          <w:bCs/>
          <w:kern w:val="0"/>
          <w:sz w:val="24"/>
          <w:szCs w:val="24"/>
          <w:highlight w:val="none"/>
          <w:lang w:bidi="ar"/>
        </w:rPr>
        <w:t>注：本声明函为监狱企业填写。</w:t>
      </w:r>
    </w:p>
    <w:p>
      <w:pPr>
        <w:pStyle w:val="29"/>
        <w:ind w:firstLine="482"/>
        <w:rPr>
          <w:rFonts w:ascii="宋体"/>
          <w:b/>
          <w:bCs/>
          <w:kern w:val="0"/>
          <w:szCs w:val="24"/>
          <w:highlight w:val="none"/>
          <w:lang w:bidi="ar"/>
        </w:rPr>
      </w:pPr>
    </w:p>
    <w:p>
      <w:pPr>
        <w:widowControl/>
        <w:spacing w:line="600" w:lineRule="exact"/>
        <w:rPr>
          <w:rFonts w:ascii="宋体" w:hAnsi="宋体" w:cs="宋体"/>
          <w:b/>
          <w:bCs/>
          <w:kern w:val="0"/>
          <w:sz w:val="24"/>
          <w:szCs w:val="24"/>
          <w:highlight w:val="none"/>
        </w:rPr>
      </w:pPr>
      <w:r>
        <w:rPr>
          <w:rFonts w:hint="eastAsia" w:ascii="宋体" w:hAnsi="宋体" w:cs="宋体"/>
          <w:b/>
          <w:bCs/>
          <w:kern w:val="0"/>
          <w:sz w:val="24"/>
          <w:szCs w:val="24"/>
          <w:highlight w:val="none"/>
        </w:rPr>
        <w:t>残疾人福利性单位声明函【不属于残疾人福利性单位，不用提供此函】</w:t>
      </w:r>
    </w:p>
    <w:p>
      <w:pPr>
        <w:pStyle w:val="2"/>
        <w:spacing w:line="600" w:lineRule="exact"/>
        <w:ind w:firstLine="0" w:firstLineChars="0"/>
        <w:jc w:val="center"/>
        <w:rPr>
          <w:rFonts w:ascii="宋体" w:hAnsi="宋体" w:cs="宋体"/>
          <w:b/>
          <w:bCs/>
          <w:kern w:val="0"/>
          <w:sz w:val="24"/>
          <w:highlight w:val="none"/>
        </w:rPr>
      </w:pPr>
    </w:p>
    <w:p>
      <w:pPr>
        <w:pStyle w:val="2"/>
        <w:spacing w:line="600" w:lineRule="exact"/>
        <w:ind w:firstLine="0" w:firstLineChars="0"/>
        <w:jc w:val="center"/>
        <w:rPr>
          <w:rFonts w:ascii="宋体" w:hAnsi="宋体" w:cs="宋体"/>
          <w:kern w:val="0"/>
          <w:sz w:val="24"/>
          <w:highlight w:val="none"/>
          <w:u w:val="single"/>
          <w:lang w:bidi="ar"/>
        </w:rPr>
      </w:pPr>
      <w:r>
        <w:rPr>
          <w:rFonts w:hint="eastAsia" w:ascii="宋体" w:hAnsi="宋体" w:cs="宋体"/>
          <w:b/>
          <w:bCs/>
          <w:kern w:val="0"/>
          <w:sz w:val="24"/>
          <w:highlight w:val="none"/>
        </w:rPr>
        <w:t>残疾人福利性单位声明函</w:t>
      </w:r>
    </w:p>
    <w:p>
      <w:pPr>
        <w:pStyle w:val="2"/>
        <w:spacing w:line="600" w:lineRule="exact"/>
        <w:ind w:firstLine="0" w:firstLineChars="0"/>
        <w:rPr>
          <w:rFonts w:ascii="宋体" w:hAnsi="宋体" w:cs="宋体"/>
          <w:kern w:val="0"/>
          <w:sz w:val="24"/>
          <w:highlight w:val="none"/>
          <w:u w:val="single"/>
          <w:lang w:bidi="ar"/>
        </w:rPr>
      </w:pPr>
      <w:r>
        <w:rPr>
          <w:rFonts w:hint="eastAsia" w:ascii="宋体" w:hAnsi="宋体" w:cs="宋体"/>
          <w:kern w:val="0"/>
          <w:sz w:val="24"/>
          <w:highlight w:val="none"/>
          <w:u w:val="single"/>
          <w:lang w:bidi="ar"/>
        </w:rPr>
        <w:t xml:space="preserve">                 （采购人）：</w:t>
      </w:r>
    </w:p>
    <w:p>
      <w:pPr>
        <w:widowControl/>
        <w:spacing w:line="600" w:lineRule="exact"/>
        <w:jc w:val="left"/>
        <w:rPr>
          <w:rFonts w:ascii="宋体" w:hAnsi="宋体" w:cs="宋体"/>
          <w:kern w:val="0"/>
          <w:sz w:val="24"/>
          <w:szCs w:val="24"/>
          <w:highlight w:val="none"/>
          <w:u w:val="single"/>
          <w:lang w:bidi="ar"/>
        </w:rPr>
      </w:pPr>
      <w:r>
        <w:rPr>
          <w:rFonts w:hint="eastAsia" w:ascii="宋体" w:hAnsi="宋体" w:cs="宋体"/>
          <w:kern w:val="0"/>
          <w:sz w:val="24"/>
          <w:szCs w:val="24"/>
          <w:highlight w:val="none"/>
          <w:u w:val="single"/>
          <w:lang w:bidi="ar"/>
        </w:rPr>
        <w:t xml:space="preserve">                 （采购代理机构）：</w:t>
      </w:r>
    </w:p>
    <w:p>
      <w:pPr>
        <w:widowControl/>
        <w:spacing w:line="600" w:lineRule="exact"/>
        <w:ind w:firstLine="480" w:firstLineChars="200"/>
        <w:jc w:val="left"/>
        <w:rPr>
          <w:rFonts w:ascii="宋体" w:hAnsi="宋体" w:cs="宋体"/>
          <w:kern w:val="0"/>
          <w:sz w:val="24"/>
          <w:szCs w:val="24"/>
          <w:highlight w:val="none"/>
          <w:lang w:bidi="ar"/>
        </w:rPr>
      </w:pPr>
      <w:r>
        <w:rPr>
          <w:rFonts w:hint="eastAsia" w:ascii="宋体" w:hAnsi="宋体" w:cs="宋体"/>
          <w:kern w:val="0"/>
          <w:sz w:val="24"/>
          <w:szCs w:val="24"/>
          <w:highlight w:val="none"/>
          <w:lang w:bidi="ar"/>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kern w:val="0"/>
          <w:sz w:val="24"/>
          <w:szCs w:val="24"/>
          <w:highlight w:val="none"/>
          <w:u w:val="single"/>
          <w:lang w:bidi="ar"/>
        </w:rPr>
        <w:t xml:space="preserve">            （采购人）</w:t>
      </w:r>
      <w:r>
        <w:rPr>
          <w:rFonts w:hint="eastAsia" w:ascii="宋体" w:hAnsi="宋体" w:cs="宋体"/>
          <w:kern w:val="0"/>
          <w:sz w:val="24"/>
          <w:szCs w:val="24"/>
          <w:highlight w:val="none"/>
          <w:lang w:bidi="ar"/>
        </w:rPr>
        <w:t>单位的</w:t>
      </w:r>
      <w:r>
        <w:rPr>
          <w:rFonts w:hint="eastAsia" w:ascii="宋体" w:hAnsi="宋体" w:cs="宋体"/>
          <w:kern w:val="0"/>
          <w:sz w:val="24"/>
          <w:szCs w:val="24"/>
          <w:highlight w:val="none"/>
          <w:u w:val="single"/>
          <w:lang w:bidi="ar"/>
        </w:rPr>
        <w:t xml:space="preserve">              （项目名称）</w:t>
      </w:r>
      <w:r>
        <w:rPr>
          <w:rFonts w:hint="eastAsia" w:ascii="宋体" w:hAnsi="宋体" w:cs="宋体"/>
          <w:kern w:val="0"/>
          <w:sz w:val="24"/>
          <w:szCs w:val="24"/>
          <w:highlight w:val="none"/>
          <w:lang w:bidi="ar"/>
        </w:rPr>
        <w:t>项目采购活动，由本单位提供本单位的服务，或者提供其他残疾人福利性单位的服务。</w:t>
      </w:r>
    </w:p>
    <w:p>
      <w:pPr>
        <w:widowControl/>
        <w:spacing w:line="600" w:lineRule="exact"/>
        <w:ind w:firstLine="480" w:firstLineChars="200"/>
        <w:jc w:val="left"/>
        <w:rPr>
          <w:rFonts w:ascii="宋体" w:hAnsi="宋体" w:cs="宋体"/>
          <w:kern w:val="0"/>
          <w:sz w:val="24"/>
          <w:szCs w:val="24"/>
          <w:highlight w:val="none"/>
          <w:lang w:bidi="ar"/>
        </w:rPr>
      </w:pPr>
      <w:r>
        <w:rPr>
          <w:rFonts w:hint="eastAsia" w:ascii="宋体" w:hAnsi="宋体" w:cs="宋体"/>
          <w:kern w:val="0"/>
          <w:sz w:val="24"/>
          <w:szCs w:val="24"/>
          <w:highlight w:val="none"/>
          <w:lang w:bidi="ar"/>
        </w:rPr>
        <w:t xml:space="preserve">本单位对上述声明的真实性负责。如有虚假，将依法承担相应责任。 </w:t>
      </w:r>
    </w:p>
    <w:p>
      <w:pPr>
        <w:pStyle w:val="2"/>
        <w:spacing w:line="600" w:lineRule="exact"/>
        <w:ind w:firstLine="0" w:firstLineChars="0"/>
        <w:rPr>
          <w:rFonts w:ascii="宋体" w:hAnsi="宋体" w:cs="宋体"/>
          <w:kern w:val="0"/>
          <w:sz w:val="24"/>
          <w:highlight w:val="none"/>
        </w:rPr>
      </w:pPr>
    </w:p>
    <w:p>
      <w:pPr>
        <w:tabs>
          <w:tab w:val="left" w:pos="4860"/>
        </w:tabs>
        <w:spacing w:line="600" w:lineRule="exact"/>
        <w:ind w:right="1559"/>
        <w:rPr>
          <w:rFonts w:ascii="宋体" w:hAnsi="宋体" w:cs="宋体"/>
          <w:kern w:val="0"/>
          <w:sz w:val="24"/>
          <w:szCs w:val="24"/>
          <w:highlight w:val="none"/>
          <w:lang w:bidi="ar"/>
        </w:rPr>
      </w:pPr>
      <w:r>
        <w:rPr>
          <w:rFonts w:hint="eastAsia" w:ascii="宋体" w:hAnsi="宋体" w:cs="宋体"/>
          <w:kern w:val="0"/>
          <w:sz w:val="24"/>
          <w:szCs w:val="24"/>
          <w:highlight w:val="none"/>
          <w:lang w:bidi="ar"/>
        </w:rPr>
        <w:t>单位名称（</w:t>
      </w:r>
      <w:r>
        <w:rPr>
          <w:rFonts w:hint="eastAsia" w:ascii="宋体" w:hAnsi="宋体" w:cs="宋体"/>
          <w:kern w:val="0"/>
          <w:sz w:val="24"/>
          <w:szCs w:val="24"/>
          <w:highlight w:val="none"/>
        </w:rPr>
        <w:t>盖章或电子签章</w:t>
      </w:r>
      <w:r>
        <w:rPr>
          <w:rFonts w:hint="eastAsia" w:ascii="宋体" w:hAnsi="宋体" w:cs="宋体"/>
          <w:kern w:val="0"/>
          <w:sz w:val="24"/>
          <w:szCs w:val="24"/>
          <w:highlight w:val="none"/>
          <w:lang w:bidi="ar"/>
        </w:rPr>
        <w:t>）：</w:t>
      </w:r>
    </w:p>
    <w:p>
      <w:pPr>
        <w:rPr>
          <w:rFonts w:ascii="宋体" w:hAnsi="宋体" w:cs="宋体"/>
          <w:highlight w:val="none"/>
        </w:rPr>
      </w:pPr>
      <w:r>
        <w:rPr>
          <w:rFonts w:hint="eastAsia" w:ascii="宋体" w:hAnsi="宋体" w:cs="宋体"/>
          <w:kern w:val="0"/>
          <w:sz w:val="24"/>
          <w:szCs w:val="24"/>
          <w:highlight w:val="none"/>
          <w:lang w:bidi="ar"/>
        </w:rPr>
        <w:t>日  期：</w:t>
      </w:r>
    </w:p>
    <w:p>
      <w:pPr>
        <w:pStyle w:val="2"/>
        <w:spacing w:line="600" w:lineRule="exact"/>
        <w:ind w:firstLine="0" w:firstLineChars="0"/>
        <w:rPr>
          <w:rFonts w:ascii="宋体" w:hAnsi="宋体" w:cs="宋体"/>
          <w:b/>
          <w:bCs/>
          <w:sz w:val="24"/>
          <w:highlight w:val="none"/>
        </w:rPr>
      </w:pPr>
    </w:p>
    <w:p>
      <w:pPr>
        <w:pStyle w:val="2"/>
        <w:spacing w:line="600" w:lineRule="exact"/>
        <w:ind w:firstLine="0" w:firstLineChars="0"/>
        <w:rPr>
          <w:rFonts w:ascii="宋体" w:hAnsi="宋体" w:cs="宋体"/>
          <w:b/>
          <w:bCs/>
          <w:sz w:val="24"/>
          <w:highlight w:val="none"/>
        </w:rPr>
      </w:pPr>
    </w:p>
    <w:p>
      <w:pPr>
        <w:pStyle w:val="2"/>
        <w:spacing w:line="600" w:lineRule="exact"/>
        <w:ind w:firstLine="0" w:firstLineChars="0"/>
        <w:rPr>
          <w:rFonts w:ascii="宋体" w:hAnsi="宋体" w:cs="宋体"/>
          <w:b/>
          <w:bCs/>
          <w:sz w:val="24"/>
          <w:highlight w:val="none"/>
        </w:rPr>
      </w:pPr>
    </w:p>
    <w:p>
      <w:pPr>
        <w:pStyle w:val="2"/>
        <w:spacing w:line="600" w:lineRule="exact"/>
        <w:ind w:firstLine="0" w:firstLineChars="0"/>
        <w:rPr>
          <w:rFonts w:ascii="宋体" w:hAnsi="宋体" w:cs="宋体"/>
          <w:b/>
          <w:bCs/>
          <w:sz w:val="24"/>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pStyle w:val="4"/>
        <w:pageBreakBefore/>
        <w:spacing w:line="400" w:lineRule="exact"/>
        <w:jc w:val="center"/>
        <w:rPr>
          <w:rFonts w:hint="eastAsia" w:ascii="宋体" w:hAnsi="宋体" w:cs="宋体"/>
          <w:sz w:val="28"/>
          <w:szCs w:val="28"/>
          <w:highlight w:val="none"/>
        </w:rPr>
      </w:pPr>
      <w:r>
        <w:rPr>
          <w:rFonts w:hint="eastAsia" w:ascii="宋体" w:hAnsi="宋体" w:cs="宋体"/>
          <w:sz w:val="28"/>
          <w:szCs w:val="28"/>
          <w:highlight w:val="none"/>
          <w:lang w:val="zh-CN"/>
        </w:rPr>
        <w:t>第六章</w:t>
      </w:r>
      <w:r>
        <w:rPr>
          <w:rFonts w:hint="eastAsia" w:ascii="宋体" w:hAnsi="宋体" w:cs="宋体"/>
          <w:sz w:val="28"/>
          <w:szCs w:val="28"/>
          <w:highlight w:val="none"/>
        </w:rPr>
        <w:t xml:space="preserve">  </w:t>
      </w:r>
      <w:r>
        <w:rPr>
          <w:rFonts w:hint="eastAsia" w:ascii="宋体" w:hAnsi="宋体" w:cs="宋体"/>
          <w:sz w:val="28"/>
          <w:szCs w:val="28"/>
          <w:highlight w:val="none"/>
          <w:lang w:val="zh-CN"/>
        </w:rPr>
        <w:t>评标办法及开标程序</w:t>
      </w:r>
      <w:bookmarkEnd w:id="64"/>
      <w:bookmarkEnd w:id="65"/>
      <w:bookmarkEnd w:id="66"/>
      <w:bookmarkEnd w:id="67"/>
      <w:bookmarkStart w:id="68" w:name="_Toc27912"/>
      <w:bookmarkStart w:id="69" w:name="_Toc9554"/>
      <w:bookmarkStart w:id="70" w:name="_Toc185"/>
      <w:bookmarkStart w:id="71" w:name="_Toc476644268"/>
    </w:p>
    <w:p>
      <w:pPr>
        <w:keepNext w:val="0"/>
        <w:keepLines w:val="0"/>
        <w:pageBreakBefore w:val="0"/>
        <w:widowControl/>
        <w:kinsoku/>
        <w:wordWrap/>
        <w:overflowPunct/>
        <w:topLinePunct w:val="0"/>
        <w:autoSpaceDE/>
        <w:autoSpaceDN/>
        <w:bidi w:val="0"/>
        <w:adjustRightInd/>
        <w:snapToGrid w:val="0"/>
        <w:spacing w:before="156" w:beforeLines="50" w:after="156" w:afterLines="50" w:line="400" w:lineRule="exact"/>
        <w:ind w:firstLine="482" w:firstLineChars="200"/>
        <w:textAlignment w:val="auto"/>
        <w:outlineLvl w:val="1"/>
        <w:rPr>
          <w:rFonts w:ascii="宋体" w:hAnsi="宋体" w:cs="宋体"/>
          <w:b/>
          <w:bCs/>
          <w:sz w:val="24"/>
          <w:szCs w:val="24"/>
          <w:highlight w:val="none"/>
        </w:rPr>
      </w:pPr>
      <w:bookmarkStart w:id="72" w:name="_Toc26885"/>
      <w:r>
        <w:rPr>
          <w:rFonts w:hint="eastAsia" w:ascii="宋体" w:hAnsi="宋体" w:cs="宋体"/>
          <w:b/>
          <w:bCs/>
          <w:sz w:val="24"/>
          <w:szCs w:val="24"/>
          <w:highlight w:val="none"/>
        </w:rPr>
        <w:t>一、评标原则</w:t>
      </w:r>
      <w:bookmarkEnd w:id="68"/>
      <w:bookmarkEnd w:id="69"/>
      <w:bookmarkEnd w:id="70"/>
      <w:bookmarkEnd w:id="72"/>
    </w:p>
    <w:p>
      <w:pPr>
        <w:keepNext w:val="0"/>
        <w:keepLines w:val="0"/>
        <w:pageBreakBefore w:val="0"/>
        <w:widowControl/>
        <w:kinsoku/>
        <w:wordWrap/>
        <w:overflowPunct/>
        <w:topLinePunct w:val="0"/>
        <w:autoSpaceDE/>
        <w:autoSpaceDN/>
        <w:bidi w:val="0"/>
        <w:adjustRightInd/>
        <w:snapToGrid w:val="0"/>
        <w:spacing w:before="156" w:beforeLines="50" w:after="156" w:afterLines="50"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评标工作遵循公平、公正、科学、择优原则和诚实、信誉、效率的服务原则。本着科学、严谨的态度，认真进行评标。择优选用，推进技术进步，确保服务质量、交货按期，节约投资，最大限度的保护当事人权益。严格按照招标文件的资格审查文件、商务技术文件、报价文件要求，对投标文件进行综合评定，提出优选方案，编写评标报告。对落标单位，评委会不做任何落标解释。投标人不得以任何方式干扰招投标工作的进行，一经发现，其投标文件将被拒绝。</w:t>
      </w:r>
      <w:bookmarkStart w:id="73" w:name="_Toc21777"/>
      <w:bookmarkStart w:id="74" w:name="_Toc17048"/>
      <w:bookmarkStart w:id="75" w:name="_Toc7988"/>
      <w:bookmarkStart w:id="76" w:name="_Toc15574"/>
    </w:p>
    <w:p>
      <w:pPr>
        <w:keepNext w:val="0"/>
        <w:keepLines w:val="0"/>
        <w:pageBreakBefore w:val="0"/>
        <w:widowControl/>
        <w:kinsoku/>
        <w:wordWrap/>
        <w:overflowPunct/>
        <w:topLinePunct w:val="0"/>
        <w:autoSpaceDE/>
        <w:autoSpaceDN/>
        <w:bidi w:val="0"/>
        <w:adjustRightInd/>
        <w:snapToGrid w:val="0"/>
        <w:spacing w:before="156" w:beforeLines="50" w:after="156" w:afterLines="50" w:line="400" w:lineRule="exact"/>
        <w:ind w:firstLine="482" w:firstLineChars="200"/>
        <w:textAlignment w:val="auto"/>
        <w:outlineLvl w:val="1"/>
        <w:rPr>
          <w:rFonts w:hint="eastAsia" w:ascii="宋体" w:hAnsi="宋体" w:cs="宋体"/>
          <w:b/>
          <w:bCs/>
          <w:sz w:val="24"/>
          <w:szCs w:val="24"/>
          <w:highlight w:val="none"/>
        </w:rPr>
      </w:pPr>
      <w:r>
        <w:rPr>
          <w:rFonts w:hint="eastAsia" w:ascii="宋体" w:hAnsi="宋体" w:cs="宋体"/>
          <w:b/>
          <w:bCs/>
          <w:sz w:val="24"/>
          <w:szCs w:val="24"/>
          <w:highlight w:val="none"/>
        </w:rPr>
        <w:t>二、评标组织</w:t>
      </w:r>
      <w:bookmarkEnd w:id="73"/>
      <w:bookmarkEnd w:id="74"/>
      <w:bookmarkEnd w:id="75"/>
      <w:bookmarkEnd w:id="76"/>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1.评标工作由招标代理机构负责组织，具体评标事务由评标委员会负责。评标委员会由有关技术等方面的5名专家组成。其中采购人代表不得超过1人且不能担任评标委员会组长，相关专家不少于成员总数的2/3。</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2.询标期间，投标人法人代表或法人授权代理人必须在场，负责解答有关事宜。如不在场，则事后不得对招标过程及结果提出异议。</w:t>
      </w:r>
    </w:p>
    <w:p>
      <w:pPr>
        <w:keepNext w:val="0"/>
        <w:keepLines w:val="0"/>
        <w:pageBreakBefore w:val="0"/>
        <w:widowControl/>
        <w:kinsoku/>
        <w:wordWrap/>
        <w:overflowPunct/>
        <w:topLinePunct w:val="0"/>
        <w:autoSpaceDE/>
        <w:autoSpaceDN/>
        <w:bidi w:val="0"/>
        <w:adjustRightInd/>
        <w:snapToGrid w:val="0"/>
        <w:spacing w:before="156" w:beforeLines="50" w:after="156" w:afterLines="50" w:line="400" w:lineRule="exact"/>
        <w:ind w:firstLine="482" w:firstLineChars="200"/>
        <w:textAlignment w:val="auto"/>
        <w:outlineLvl w:val="1"/>
        <w:rPr>
          <w:rFonts w:hint="eastAsia" w:ascii="宋体" w:hAnsi="宋体" w:cs="宋体"/>
          <w:b/>
          <w:bCs/>
          <w:sz w:val="24"/>
          <w:szCs w:val="24"/>
          <w:highlight w:val="none"/>
        </w:rPr>
      </w:pPr>
      <w:bookmarkStart w:id="77" w:name="_Toc25931"/>
      <w:bookmarkStart w:id="78" w:name="_Toc11138"/>
      <w:bookmarkStart w:id="79" w:name="_Toc32336"/>
      <w:bookmarkStart w:id="80" w:name="_Toc10583"/>
      <w:r>
        <w:rPr>
          <w:rFonts w:hint="eastAsia" w:ascii="宋体" w:hAnsi="宋体" w:cs="宋体"/>
          <w:b/>
          <w:bCs/>
          <w:sz w:val="24"/>
          <w:szCs w:val="24"/>
          <w:highlight w:val="none"/>
        </w:rPr>
        <w:t>三、评标程序</w:t>
      </w:r>
      <w:bookmarkEnd w:id="77"/>
      <w:bookmarkEnd w:id="78"/>
      <w:bookmarkEnd w:id="79"/>
      <w:bookmarkEnd w:id="80"/>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对各投标人的投标资格审查文件进行审查；然后</w:t>
      </w:r>
      <w:r>
        <w:rPr>
          <w:rFonts w:hint="eastAsia" w:ascii="宋体" w:hAnsi="宋体" w:cs="宋体"/>
          <w:sz w:val="24"/>
          <w:szCs w:val="24"/>
          <w:highlight w:val="none"/>
          <w:lang w:val="en-US" w:eastAsia="zh-CN"/>
        </w:rPr>
        <w:t>评标委员会</w:t>
      </w:r>
      <w:r>
        <w:rPr>
          <w:rFonts w:hint="eastAsia" w:ascii="宋体" w:hAnsi="宋体" w:cs="宋体"/>
          <w:sz w:val="24"/>
          <w:szCs w:val="24"/>
          <w:highlight w:val="none"/>
        </w:rPr>
        <w:t>对合格投标人的商务技术文件进行评审；商务技术文件评审结束后即公布投标人商务技术得分情况，之后开报价文件；对报价文件评审后，根据综合评审结果，提交评审报告。</w:t>
      </w:r>
    </w:p>
    <w:p>
      <w:pPr>
        <w:keepNext w:val="0"/>
        <w:keepLines w:val="0"/>
        <w:pageBreakBefore w:val="0"/>
        <w:widowControl/>
        <w:kinsoku/>
        <w:wordWrap/>
        <w:overflowPunct/>
        <w:topLinePunct w:val="0"/>
        <w:autoSpaceDE/>
        <w:autoSpaceDN/>
        <w:bidi w:val="0"/>
        <w:adjustRightInd/>
        <w:snapToGrid w:val="0"/>
        <w:spacing w:before="156" w:beforeLines="50" w:after="156" w:afterLines="50" w:line="400" w:lineRule="exact"/>
        <w:ind w:firstLine="482" w:firstLineChars="200"/>
        <w:textAlignment w:val="auto"/>
        <w:outlineLvl w:val="1"/>
        <w:rPr>
          <w:rFonts w:hint="eastAsia" w:ascii="宋体" w:hAnsi="宋体" w:cs="宋体"/>
          <w:b/>
          <w:bCs/>
          <w:sz w:val="24"/>
          <w:szCs w:val="24"/>
          <w:highlight w:val="none"/>
        </w:rPr>
      </w:pPr>
      <w:bookmarkStart w:id="81" w:name="_Toc2637"/>
      <w:bookmarkStart w:id="82" w:name="_Toc1990"/>
      <w:bookmarkStart w:id="83" w:name="_Toc10496"/>
      <w:bookmarkStart w:id="84" w:name="_Toc22388"/>
      <w:r>
        <w:rPr>
          <w:rFonts w:hint="eastAsia" w:ascii="宋体" w:hAnsi="宋体" w:cs="宋体"/>
          <w:b/>
          <w:bCs/>
          <w:sz w:val="24"/>
          <w:szCs w:val="24"/>
          <w:highlight w:val="none"/>
        </w:rPr>
        <w:t>四、评标办法</w:t>
      </w:r>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val="0"/>
        <w:spacing w:before="156" w:beforeLines="50" w:after="156" w:afterLines="50"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本次招标的评标办法采用百分制综合评分法。根据本项目招标文件的要求，按照本办法规定的内容和分值设置，资格审查采用合格制，商务技术为</w:t>
      </w:r>
      <w:r>
        <w:rPr>
          <w:rFonts w:hint="eastAsia" w:ascii="宋体" w:hAnsi="宋体" w:cs="宋体"/>
          <w:sz w:val="24"/>
          <w:szCs w:val="24"/>
          <w:highlight w:val="none"/>
          <w:u w:val="single"/>
          <w:lang w:val="en-US" w:eastAsia="zh-CN"/>
        </w:rPr>
        <w:t>80</w:t>
      </w:r>
      <w:r>
        <w:rPr>
          <w:rFonts w:hint="eastAsia" w:ascii="宋体" w:hAnsi="宋体" w:cs="宋体"/>
          <w:sz w:val="24"/>
          <w:szCs w:val="24"/>
          <w:highlight w:val="none"/>
        </w:rPr>
        <w:t>分，价格分为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20</w:t>
      </w:r>
      <w:r>
        <w:rPr>
          <w:rFonts w:hint="eastAsia" w:ascii="宋体" w:hAnsi="宋体" w:cs="宋体"/>
          <w:sz w:val="24"/>
          <w:szCs w:val="24"/>
          <w:highlight w:val="none"/>
        </w:rPr>
        <w:t>分，对投标人的投标文件中的商务技术、报价等内容进行评分，最终得出综合得分。</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00" w:lineRule="exact"/>
        <w:ind w:firstLine="482" w:firstLineChars="200"/>
        <w:textAlignment w:val="auto"/>
        <w:outlineLvl w:val="1"/>
        <w:rPr>
          <w:rFonts w:hint="eastAsia" w:ascii="宋体" w:hAnsi="宋体" w:cs="宋体"/>
          <w:b/>
          <w:bCs/>
          <w:sz w:val="24"/>
          <w:szCs w:val="24"/>
          <w:highlight w:val="none"/>
        </w:rPr>
      </w:pPr>
      <w:bookmarkStart w:id="85" w:name="_Toc22657"/>
      <w:bookmarkStart w:id="86" w:name="_Toc28686"/>
      <w:bookmarkStart w:id="87" w:name="_Toc13906"/>
      <w:bookmarkStart w:id="88" w:name="_Toc6549"/>
      <w:r>
        <w:rPr>
          <w:rFonts w:hint="eastAsia" w:ascii="宋体" w:hAnsi="宋体" w:cs="宋体"/>
          <w:b/>
          <w:bCs/>
          <w:sz w:val="24"/>
          <w:szCs w:val="24"/>
          <w:highlight w:val="none"/>
        </w:rPr>
        <w:t>五、评分原则</w:t>
      </w:r>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（一）商务技术评分（</w:t>
      </w:r>
      <w:r>
        <w:rPr>
          <w:rFonts w:hint="eastAsia" w:ascii="宋体" w:hAnsi="宋体" w:cs="宋体"/>
          <w:sz w:val="24"/>
          <w:szCs w:val="24"/>
          <w:highlight w:val="none"/>
          <w:u w:val="single"/>
          <w:lang w:val="en-US" w:eastAsia="zh-CN"/>
        </w:rPr>
        <w:t>80</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本次招标商务技术文件评分的评定由各评委成员按评分细则进行评审打分，每人一张评分计算表，并记名。投标文件各项评分内容由评标委员会成员各自独立评分，如某张表的一个因素项目超过规定的分值范围，则该张表无效。各评标委员会成员对各投标人的各项评分内容评分合计的算术平均值为各投标人最终商务技术文件得分（计算过程中小数点后按四舍五入保留2位）。</w:t>
      </w:r>
    </w:p>
    <w:p>
      <w:pPr>
        <w:pStyle w:val="2"/>
        <w:keepNext w:val="0"/>
        <w:keepLines w:val="0"/>
        <w:pageBreakBefore w:val="0"/>
        <w:kinsoku/>
        <w:wordWrap/>
        <w:overflowPunct/>
        <w:topLinePunct w:val="0"/>
        <w:autoSpaceDE/>
        <w:autoSpaceDN/>
        <w:bidi w:val="0"/>
        <w:adjustRightInd/>
        <w:spacing w:line="460" w:lineRule="exact"/>
        <w:ind w:firstLine="480"/>
        <w:textAlignment w:val="auto"/>
        <w:rPr>
          <w:rFonts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评分细则</w:t>
      </w:r>
    </w:p>
    <w:bookmarkEnd w:id="71"/>
    <w:tbl>
      <w:tblPr>
        <w:tblStyle w:val="22"/>
        <w:tblW w:w="8727" w:type="dxa"/>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9"/>
        <w:gridCol w:w="1794"/>
        <w:gridCol w:w="3984"/>
        <w:gridCol w:w="734"/>
        <w:gridCol w:w="13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88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bookmarkStart w:id="89" w:name="_Toc3034"/>
            <w:bookmarkStart w:id="90" w:name="_Toc8190"/>
            <w:bookmarkStart w:id="91" w:name="_Toc12749"/>
            <w:bookmarkStart w:id="92" w:name="_Toc20996"/>
            <w:r>
              <w:rPr>
                <w:rFonts w:hint="eastAsia" w:ascii="宋体" w:hAnsi="宋体" w:eastAsia="宋体" w:cs="宋体"/>
                <w:color w:val="auto"/>
                <w:sz w:val="24"/>
                <w:szCs w:val="24"/>
                <w:highlight w:val="none"/>
              </w:rPr>
              <w:t>序号</w:t>
            </w:r>
          </w:p>
        </w:tc>
        <w:tc>
          <w:tcPr>
            <w:tcW w:w="5778"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3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88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794" w:type="dxa"/>
            <w:tcBorders>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投标人业绩</w:t>
            </w:r>
          </w:p>
        </w:tc>
        <w:tc>
          <w:tcPr>
            <w:tcW w:w="3984" w:type="dxa"/>
            <w:tcBorders>
              <w:lef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年1月1日</w:t>
            </w:r>
            <w:r>
              <w:rPr>
                <w:rFonts w:hint="eastAsia" w:ascii="宋体" w:hAnsi="宋体" w:eastAsia="宋体" w:cs="宋体"/>
                <w:color w:val="auto"/>
                <w:sz w:val="24"/>
                <w:szCs w:val="24"/>
                <w:highlight w:val="none"/>
                <w:lang w:val="en-US" w:eastAsia="zh-CN"/>
              </w:rPr>
              <w:t>以来</w:t>
            </w:r>
            <w:r>
              <w:rPr>
                <w:rFonts w:hint="eastAsia" w:ascii="宋体" w:hAnsi="宋体" w:eastAsia="宋体" w:cs="宋体"/>
                <w:color w:val="auto"/>
                <w:sz w:val="24"/>
                <w:szCs w:val="24"/>
                <w:highlight w:val="none"/>
              </w:rPr>
              <w:t>（时间以合同签订时间为准）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承担过</w:t>
            </w:r>
            <w:r>
              <w:rPr>
                <w:rFonts w:hint="eastAsia" w:ascii="宋体" w:hAnsi="宋体" w:eastAsia="宋体" w:cs="宋体"/>
                <w:color w:val="auto"/>
                <w:sz w:val="24"/>
                <w:szCs w:val="24"/>
                <w:highlight w:val="none"/>
                <w:lang w:val="en-US" w:eastAsia="zh-CN"/>
              </w:rPr>
              <w:t>规划研究、项目选址、地块控规调整等项目的</w:t>
            </w:r>
            <w:r>
              <w:rPr>
                <w:rFonts w:hint="eastAsia" w:ascii="宋体" w:hAnsi="宋体" w:eastAsia="宋体" w:cs="宋体"/>
                <w:color w:val="auto"/>
                <w:sz w:val="24"/>
                <w:szCs w:val="24"/>
                <w:highlight w:val="none"/>
              </w:rPr>
              <w:t>，每个得1分；本项最高</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注：提供合同或协议复印件，编入投标文件中，未提供不得分。</w:t>
            </w:r>
          </w:p>
        </w:tc>
        <w:tc>
          <w:tcPr>
            <w:tcW w:w="7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3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08" w:hRule="atLeast"/>
        </w:trPr>
        <w:tc>
          <w:tcPr>
            <w:tcW w:w="889"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p>
        </w:tc>
        <w:tc>
          <w:tcPr>
            <w:tcW w:w="179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技术力量</w:t>
            </w:r>
          </w:p>
        </w:tc>
        <w:tc>
          <w:tcPr>
            <w:tcW w:w="3984" w:type="dxa"/>
            <w:tcBorders>
              <w:tl2br w:val="nil"/>
              <w:tr2bl w:val="nil"/>
            </w:tcBorders>
            <w:noWrap w:val="0"/>
            <w:vAlign w:val="center"/>
          </w:tcPr>
          <w:p>
            <w:pPr>
              <w:keepNext w:val="0"/>
              <w:keepLines w:val="0"/>
              <w:numPr>
                <w:ilvl w:val="0"/>
                <w:numId w:val="0"/>
              </w:numPr>
              <w:suppressLineNumbers w:val="0"/>
              <w:adjustRightInd/>
              <w:spacing w:before="0" w:beforeAutospacing="0" w:after="0" w:afterAutospacing="0" w:line="360" w:lineRule="exact"/>
              <w:ind w:left="0" w:right="0"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eastAsia="zh-CN"/>
              </w:rPr>
              <w:t>：</w:t>
            </w:r>
          </w:p>
          <w:p>
            <w:pPr>
              <w:keepNext w:val="0"/>
              <w:keepLines w:val="0"/>
              <w:suppressLineNumbers w:val="0"/>
              <w:adjustRightInd/>
              <w:spacing w:before="0" w:beforeAutospacing="0" w:after="0" w:afterAutospacing="0" w:line="360" w:lineRule="exact"/>
              <w:ind w:left="0" w:right="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同时具备高级</w:t>
            </w:r>
            <w:r>
              <w:rPr>
                <w:rFonts w:hint="eastAsia" w:ascii="宋体" w:hAnsi="宋体" w:eastAsia="宋体" w:cs="宋体"/>
                <w:color w:val="auto"/>
                <w:sz w:val="24"/>
                <w:szCs w:val="24"/>
                <w:highlight w:val="none"/>
                <w:lang w:val="en-US" w:eastAsia="zh-CN"/>
              </w:rPr>
              <w:t>工程师</w:t>
            </w:r>
            <w:r>
              <w:rPr>
                <w:rFonts w:hint="eastAsia" w:ascii="宋体" w:hAnsi="宋体" w:eastAsia="宋体" w:cs="宋体"/>
                <w:color w:val="auto"/>
                <w:sz w:val="24"/>
                <w:szCs w:val="24"/>
                <w:highlight w:val="none"/>
              </w:rPr>
              <w:t>及以上职称和注册</w:t>
            </w:r>
            <w:r>
              <w:rPr>
                <w:rFonts w:hint="eastAsia" w:ascii="宋体" w:hAnsi="宋体" w:cs="宋体"/>
                <w:color w:val="auto"/>
                <w:sz w:val="24"/>
                <w:szCs w:val="24"/>
                <w:highlight w:val="none"/>
                <w:lang w:val="en-US" w:eastAsia="zh-CN"/>
              </w:rPr>
              <w:t>城乡</w:t>
            </w:r>
            <w:r>
              <w:rPr>
                <w:rFonts w:hint="eastAsia" w:ascii="宋体" w:hAnsi="宋体" w:eastAsia="宋体" w:cs="宋体"/>
                <w:color w:val="auto"/>
                <w:sz w:val="24"/>
                <w:szCs w:val="24"/>
                <w:highlight w:val="none"/>
              </w:rPr>
              <w:t>规划师证书，得6分；仅具备高级</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师及以上职称</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注册</w:t>
            </w:r>
            <w:r>
              <w:rPr>
                <w:rFonts w:hint="eastAsia" w:ascii="宋体" w:hAnsi="宋体" w:cs="宋体"/>
                <w:color w:val="auto"/>
                <w:sz w:val="24"/>
                <w:szCs w:val="24"/>
                <w:highlight w:val="none"/>
                <w:lang w:val="en-US" w:eastAsia="zh-CN"/>
              </w:rPr>
              <w:t>城乡</w:t>
            </w:r>
            <w:r>
              <w:rPr>
                <w:rFonts w:hint="eastAsia" w:ascii="宋体" w:hAnsi="宋体" w:eastAsia="宋体" w:cs="宋体"/>
                <w:color w:val="auto"/>
                <w:sz w:val="24"/>
                <w:szCs w:val="24"/>
                <w:highlight w:val="none"/>
              </w:rPr>
              <w:t>规划师证书，得3分，本项最高分6分</w:t>
            </w:r>
            <w:r>
              <w:rPr>
                <w:rFonts w:hint="eastAsia" w:ascii="宋体" w:hAnsi="宋体" w:eastAsia="宋体" w:cs="宋体"/>
                <w:color w:val="auto"/>
                <w:sz w:val="24"/>
                <w:szCs w:val="24"/>
                <w:highlight w:val="none"/>
                <w:lang w:eastAsia="zh-CN"/>
              </w:rPr>
              <w:t>。</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职称专业仅限规划、建筑、景观、市政、道路桥梁这5类。</w:t>
            </w:r>
            <w:bookmarkStart w:id="93" w:name="_GoBack"/>
            <w:bookmarkEnd w:id="93"/>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注册证书、职称证书和投标人为其缴纳的2024年9或10月社保</w:t>
            </w:r>
            <w:r>
              <w:rPr>
                <w:rFonts w:hint="eastAsia" w:ascii="宋体" w:hAnsi="宋体" w:eastAsia="宋体" w:cs="宋体"/>
                <w:color w:val="auto"/>
                <w:sz w:val="24"/>
                <w:szCs w:val="24"/>
                <w:highlight w:val="none"/>
              </w:rPr>
              <w:t>，否则不得分。</w:t>
            </w:r>
          </w:p>
        </w:tc>
        <w:tc>
          <w:tcPr>
            <w:tcW w:w="7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p>
        </w:tc>
        <w:tc>
          <w:tcPr>
            <w:tcW w:w="13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88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p>
        </w:tc>
        <w:tc>
          <w:tcPr>
            <w:tcW w:w="179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eastAsia="zh-CN"/>
              </w:rPr>
            </w:pPr>
          </w:p>
        </w:tc>
        <w:tc>
          <w:tcPr>
            <w:tcW w:w="3984" w:type="dxa"/>
            <w:tcBorders>
              <w:tl2br w:val="nil"/>
              <w:tr2bl w:val="nil"/>
            </w:tcBorders>
            <w:noWrap w:val="0"/>
            <w:vAlign w:val="center"/>
          </w:tcPr>
          <w:p>
            <w:pPr>
              <w:keepNext w:val="0"/>
              <w:keepLines w:val="0"/>
              <w:suppressLineNumbers w:val="0"/>
              <w:spacing w:before="0" w:beforeAutospacing="0" w:after="0" w:afterAutospacing="0"/>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项目组</w:t>
            </w:r>
            <w:r>
              <w:rPr>
                <w:rFonts w:hint="eastAsia" w:ascii="宋体" w:hAnsi="宋体" w:eastAsia="宋体" w:cs="宋体"/>
                <w:color w:val="auto"/>
                <w:sz w:val="24"/>
                <w:szCs w:val="24"/>
                <w:highlight w:val="none"/>
                <w:lang w:val="en-US" w:eastAsia="zh-CN"/>
              </w:rPr>
              <w:t>成员（项目负责人除外，包括常驻人员）</w:t>
            </w:r>
            <w:r>
              <w:rPr>
                <w:rFonts w:hint="eastAsia" w:ascii="宋体" w:hAnsi="宋体" w:eastAsia="宋体" w:cs="宋体"/>
                <w:color w:val="auto"/>
                <w:sz w:val="24"/>
                <w:szCs w:val="24"/>
                <w:highlight w:val="none"/>
                <w:lang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同时具备高级</w:t>
            </w:r>
            <w:r>
              <w:rPr>
                <w:rFonts w:hint="eastAsia" w:ascii="宋体" w:hAnsi="宋体" w:eastAsia="宋体" w:cs="宋体"/>
                <w:color w:val="auto"/>
                <w:sz w:val="24"/>
                <w:szCs w:val="24"/>
                <w:highlight w:val="none"/>
                <w:lang w:val="en-US" w:eastAsia="zh-CN"/>
              </w:rPr>
              <w:t>工程师</w:t>
            </w:r>
            <w:r>
              <w:rPr>
                <w:rFonts w:hint="eastAsia" w:ascii="宋体" w:hAnsi="宋体" w:eastAsia="宋体" w:cs="宋体"/>
                <w:color w:val="auto"/>
                <w:sz w:val="24"/>
                <w:szCs w:val="24"/>
                <w:highlight w:val="none"/>
              </w:rPr>
              <w:t>及以上职称和注册</w:t>
            </w:r>
            <w:r>
              <w:rPr>
                <w:rFonts w:hint="eastAsia" w:ascii="宋体" w:hAnsi="宋体" w:cs="宋体"/>
                <w:color w:val="auto"/>
                <w:sz w:val="24"/>
                <w:szCs w:val="24"/>
                <w:highlight w:val="none"/>
                <w:lang w:val="en-US" w:eastAsia="zh-CN"/>
              </w:rPr>
              <w:t>城乡</w:t>
            </w:r>
            <w:r>
              <w:rPr>
                <w:rFonts w:hint="eastAsia" w:ascii="宋体" w:hAnsi="宋体" w:eastAsia="宋体" w:cs="宋体"/>
                <w:color w:val="auto"/>
                <w:sz w:val="24"/>
                <w:szCs w:val="24"/>
                <w:highlight w:val="none"/>
              </w:rPr>
              <w:t>规划师证书，每人得4分；仅具备高级</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师及以上职称</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注册</w:t>
            </w:r>
            <w:r>
              <w:rPr>
                <w:rFonts w:hint="eastAsia" w:ascii="宋体" w:hAnsi="宋体" w:cs="宋体"/>
                <w:color w:val="auto"/>
                <w:sz w:val="24"/>
                <w:szCs w:val="24"/>
                <w:highlight w:val="none"/>
                <w:lang w:val="en-US" w:eastAsia="zh-CN"/>
              </w:rPr>
              <w:t>城乡</w:t>
            </w:r>
            <w:r>
              <w:rPr>
                <w:rFonts w:hint="eastAsia" w:ascii="宋体" w:hAnsi="宋体" w:eastAsia="宋体" w:cs="宋体"/>
                <w:color w:val="auto"/>
                <w:sz w:val="24"/>
                <w:szCs w:val="24"/>
                <w:highlight w:val="none"/>
              </w:rPr>
              <w:t>规划师证书，得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分，本项最高得13分。</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职称专业仅限规划、建筑、景观、市政、道路桥梁这5类。</w:t>
            </w:r>
          </w:p>
          <w:p>
            <w:pPr>
              <w:pStyle w:val="8"/>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firstLine="240" w:firstLineChars="1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投标文件中</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注册证书、职称证书和投标人为其缴纳的2024年9或10月社保</w:t>
            </w:r>
            <w:r>
              <w:rPr>
                <w:rFonts w:hint="eastAsia" w:ascii="宋体" w:hAnsi="宋体" w:eastAsia="宋体" w:cs="宋体"/>
                <w:color w:val="auto"/>
                <w:sz w:val="24"/>
                <w:szCs w:val="24"/>
                <w:highlight w:val="none"/>
              </w:rPr>
              <w:t>，否则不得分。</w:t>
            </w:r>
          </w:p>
        </w:tc>
        <w:tc>
          <w:tcPr>
            <w:tcW w:w="7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3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09" w:hRule="atLeast"/>
        </w:trPr>
        <w:tc>
          <w:tcPr>
            <w:tcW w:w="88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794" w:type="dxa"/>
            <w:tcBorders>
              <w:tl2br w:val="nil"/>
              <w:tr2bl w:val="nil"/>
            </w:tcBorders>
            <w:noWrap w:val="0"/>
            <w:vAlign w:val="center"/>
          </w:tcPr>
          <w:p>
            <w:pPr>
              <w:keepNext w:val="0"/>
              <w:keepLines w:val="0"/>
              <w:widowControl/>
              <w:suppressLineNumbers w:val="0"/>
              <w:adjustRightInd/>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rPr>
              <w:t>工作组织</w:t>
            </w:r>
          </w:p>
        </w:tc>
        <w:tc>
          <w:tcPr>
            <w:tcW w:w="3984" w:type="dxa"/>
            <w:tcBorders>
              <w:tl2br w:val="nil"/>
              <w:tr2bl w:val="nil"/>
            </w:tcBorders>
            <w:noWrap w:val="0"/>
            <w:vAlign w:val="center"/>
          </w:tcPr>
          <w:p>
            <w:pPr>
              <w:keepNext w:val="0"/>
              <w:keepLines w:val="0"/>
              <w:widowControl/>
              <w:suppressLineNumbers w:val="0"/>
              <w:adjustRightInd/>
              <w:spacing w:before="0" w:beforeAutospacing="0" w:after="0" w:afterAutospacing="0" w:line="360" w:lineRule="exact"/>
              <w:ind w:left="0" w:right="0" w:firstLine="240" w:firstLineChars="1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rPr>
              <w:t>对项目工作组织的可行、合理，组织工作详细、符合实际</w:t>
            </w:r>
            <w:r>
              <w:rPr>
                <w:rFonts w:hint="eastAsia" w:ascii="宋体" w:hAnsi="宋体" w:eastAsia="宋体" w:cs="宋体"/>
                <w:bCs w:val="0"/>
                <w:color w:val="auto"/>
                <w:kern w:val="2"/>
                <w:sz w:val="24"/>
                <w:szCs w:val="24"/>
                <w:highlight w:val="none"/>
                <w:lang w:val="en-US" w:eastAsia="zh-CN"/>
              </w:rPr>
              <w:t>等方面进行评分（评分范围：5，4，3，2，1，0）</w:t>
            </w:r>
            <w:r>
              <w:rPr>
                <w:rFonts w:hint="eastAsia" w:ascii="宋体" w:hAnsi="宋体" w:eastAsia="宋体" w:cs="宋体"/>
                <w:bCs w:val="0"/>
                <w:color w:val="auto"/>
                <w:kern w:val="2"/>
                <w:sz w:val="24"/>
                <w:szCs w:val="24"/>
                <w:highlight w:val="none"/>
              </w:rPr>
              <w:t>。</w:t>
            </w:r>
          </w:p>
        </w:tc>
        <w:tc>
          <w:tcPr>
            <w:tcW w:w="734" w:type="dxa"/>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326" w:type="dxa"/>
            <w:tcBorders>
              <w:tl2br w:val="nil"/>
              <w:tr2bl w:val="nil"/>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46" w:hRule="atLeast"/>
        </w:trPr>
        <w:tc>
          <w:tcPr>
            <w:tcW w:w="88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7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实施进度</w:t>
            </w:r>
          </w:p>
        </w:tc>
        <w:tc>
          <w:tcPr>
            <w:tcW w:w="39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50" w:lineRule="exact"/>
              <w:ind w:left="0" w:right="0"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rPr>
              <w:t>对项目进度计划可行、合理，进度安排详细、符合实际，进度保证措施合理、可行</w:t>
            </w:r>
            <w:r>
              <w:rPr>
                <w:rFonts w:hint="eastAsia" w:ascii="宋体" w:hAnsi="宋体" w:eastAsia="宋体" w:cs="宋体"/>
                <w:bCs w:val="0"/>
                <w:color w:val="auto"/>
                <w:kern w:val="2"/>
                <w:sz w:val="24"/>
                <w:szCs w:val="24"/>
                <w:highlight w:val="none"/>
                <w:lang w:val="en-US" w:eastAsia="zh-CN"/>
              </w:rPr>
              <w:t>等方面进行评分（评分范围：6，5，4，3，2，1，0）</w:t>
            </w:r>
          </w:p>
        </w:tc>
        <w:tc>
          <w:tcPr>
            <w:tcW w:w="7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3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46" w:hRule="atLeast"/>
        </w:trPr>
        <w:tc>
          <w:tcPr>
            <w:tcW w:w="88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7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质量保证措施</w:t>
            </w:r>
          </w:p>
        </w:tc>
        <w:tc>
          <w:tcPr>
            <w:tcW w:w="39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50" w:lineRule="exact"/>
              <w:ind w:left="0" w:right="0"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rPr>
              <w:t>根据投标单位对质量保证的措施</w:t>
            </w:r>
            <w:r>
              <w:rPr>
                <w:rFonts w:hint="eastAsia" w:ascii="宋体" w:hAnsi="宋体" w:eastAsia="宋体" w:cs="宋体"/>
                <w:bCs w:val="0"/>
                <w:color w:val="auto"/>
                <w:kern w:val="2"/>
                <w:sz w:val="24"/>
                <w:szCs w:val="24"/>
                <w:highlight w:val="none"/>
                <w:lang w:val="en-US" w:eastAsia="zh-CN"/>
              </w:rPr>
              <w:t>方面进行评分（评分范围：6，5，4，3，2，1，0）</w:t>
            </w:r>
            <w:r>
              <w:rPr>
                <w:rFonts w:hint="eastAsia" w:ascii="宋体" w:hAnsi="宋体" w:eastAsia="宋体" w:cs="宋体"/>
                <w:bCs/>
                <w:color w:val="auto"/>
                <w:kern w:val="0"/>
                <w:sz w:val="24"/>
                <w:szCs w:val="24"/>
                <w:highlight w:val="none"/>
              </w:rPr>
              <w:t>。</w:t>
            </w:r>
          </w:p>
        </w:tc>
        <w:tc>
          <w:tcPr>
            <w:tcW w:w="7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3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46" w:hRule="atLeast"/>
        </w:trPr>
        <w:tc>
          <w:tcPr>
            <w:tcW w:w="88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7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关于重要课题研究的相关措施</w:t>
            </w:r>
          </w:p>
        </w:tc>
        <w:tc>
          <w:tcPr>
            <w:tcW w:w="39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50" w:lineRule="exact"/>
              <w:ind w:left="0" w:right="0" w:firstLine="240" w:firstLineChars="1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根据投标单位对</w:t>
            </w:r>
            <w:r>
              <w:rPr>
                <w:rFonts w:hint="eastAsia" w:ascii="宋体" w:hAnsi="宋体" w:eastAsia="宋体" w:cs="宋体"/>
                <w:bCs/>
                <w:color w:val="auto"/>
                <w:kern w:val="0"/>
                <w:sz w:val="24"/>
                <w:szCs w:val="24"/>
                <w:highlight w:val="none"/>
                <w:lang w:val="en-US" w:eastAsia="zh-CN"/>
              </w:rPr>
              <w:t>重要课题研究</w:t>
            </w:r>
            <w:r>
              <w:rPr>
                <w:rFonts w:hint="eastAsia" w:ascii="宋体" w:hAnsi="宋体" w:eastAsia="宋体" w:cs="宋体"/>
                <w:bCs/>
                <w:color w:val="auto"/>
                <w:kern w:val="0"/>
                <w:sz w:val="24"/>
                <w:szCs w:val="24"/>
                <w:highlight w:val="none"/>
              </w:rPr>
              <w:t>的措施</w:t>
            </w:r>
            <w:r>
              <w:rPr>
                <w:rFonts w:hint="eastAsia" w:ascii="宋体" w:hAnsi="宋体" w:eastAsia="宋体" w:cs="宋体"/>
                <w:bCs w:val="0"/>
                <w:color w:val="auto"/>
                <w:kern w:val="2"/>
                <w:sz w:val="24"/>
                <w:szCs w:val="24"/>
                <w:highlight w:val="none"/>
                <w:lang w:val="en-US" w:eastAsia="zh-CN"/>
              </w:rPr>
              <w:t>方面进行评分（评分范围：6，5，4，3，2，1，0）</w:t>
            </w:r>
            <w:r>
              <w:rPr>
                <w:rFonts w:hint="eastAsia" w:ascii="宋体" w:hAnsi="宋体" w:eastAsia="宋体" w:cs="宋体"/>
                <w:bCs/>
                <w:color w:val="auto"/>
                <w:kern w:val="0"/>
                <w:sz w:val="24"/>
                <w:szCs w:val="24"/>
                <w:highlight w:val="none"/>
              </w:rPr>
              <w:t>。</w:t>
            </w:r>
          </w:p>
        </w:tc>
        <w:tc>
          <w:tcPr>
            <w:tcW w:w="7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3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46" w:hRule="atLeast"/>
        </w:trPr>
        <w:tc>
          <w:tcPr>
            <w:tcW w:w="88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7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关于项目选址研究的相关措施</w:t>
            </w:r>
          </w:p>
        </w:tc>
        <w:tc>
          <w:tcPr>
            <w:tcW w:w="39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50" w:lineRule="exact"/>
              <w:ind w:left="0" w:right="0" w:firstLine="240" w:firstLineChars="1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根据投标单位对</w:t>
            </w:r>
            <w:r>
              <w:rPr>
                <w:rFonts w:hint="eastAsia" w:ascii="宋体" w:hAnsi="宋体" w:eastAsia="宋体" w:cs="宋体"/>
                <w:bCs/>
                <w:color w:val="auto"/>
                <w:kern w:val="0"/>
                <w:sz w:val="24"/>
                <w:szCs w:val="24"/>
                <w:highlight w:val="none"/>
                <w:lang w:val="en-US" w:eastAsia="zh-CN"/>
              </w:rPr>
              <w:t>项目选址研究</w:t>
            </w:r>
            <w:r>
              <w:rPr>
                <w:rFonts w:hint="eastAsia" w:ascii="宋体" w:hAnsi="宋体" w:eastAsia="宋体" w:cs="宋体"/>
                <w:bCs/>
                <w:color w:val="auto"/>
                <w:kern w:val="0"/>
                <w:sz w:val="24"/>
                <w:szCs w:val="24"/>
                <w:highlight w:val="none"/>
              </w:rPr>
              <w:t>的措施</w:t>
            </w:r>
            <w:r>
              <w:rPr>
                <w:rFonts w:hint="eastAsia" w:ascii="宋体" w:hAnsi="宋体" w:eastAsia="宋体" w:cs="宋体"/>
                <w:bCs w:val="0"/>
                <w:color w:val="auto"/>
                <w:kern w:val="2"/>
                <w:sz w:val="24"/>
                <w:szCs w:val="24"/>
                <w:highlight w:val="none"/>
                <w:lang w:val="en-US" w:eastAsia="zh-CN"/>
              </w:rPr>
              <w:t>方面进行评分（评分范围：6，5，4，3，2，1，0）</w:t>
            </w:r>
            <w:r>
              <w:rPr>
                <w:rFonts w:hint="eastAsia" w:ascii="宋体" w:hAnsi="宋体" w:eastAsia="宋体" w:cs="宋体"/>
                <w:bCs/>
                <w:color w:val="auto"/>
                <w:kern w:val="0"/>
                <w:sz w:val="24"/>
                <w:szCs w:val="24"/>
                <w:highlight w:val="none"/>
              </w:rPr>
              <w:t>。</w:t>
            </w:r>
          </w:p>
        </w:tc>
        <w:tc>
          <w:tcPr>
            <w:tcW w:w="7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3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1" w:hRule="atLeast"/>
        </w:trPr>
        <w:tc>
          <w:tcPr>
            <w:tcW w:w="88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7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关于总图管理的相关措施</w:t>
            </w:r>
          </w:p>
        </w:tc>
        <w:tc>
          <w:tcPr>
            <w:tcW w:w="39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50" w:lineRule="exact"/>
              <w:ind w:left="0" w:right="0" w:firstLine="240" w:firstLineChars="100"/>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根据投标单位对</w:t>
            </w:r>
            <w:r>
              <w:rPr>
                <w:rFonts w:hint="eastAsia" w:ascii="宋体" w:hAnsi="宋体" w:eastAsia="宋体" w:cs="宋体"/>
                <w:bCs/>
                <w:color w:val="auto"/>
                <w:kern w:val="0"/>
                <w:sz w:val="24"/>
                <w:szCs w:val="24"/>
                <w:highlight w:val="none"/>
                <w:lang w:val="en-US" w:eastAsia="zh-CN"/>
              </w:rPr>
              <w:t>总图管理</w:t>
            </w:r>
            <w:r>
              <w:rPr>
                <w:rFonts w:hint="eastAsia" w:ascii="宋体" w:hAnsi="宋体" w:eastAsia="宋体" w:cs="宋体"/>
                <w:bCs/>
                <w:color w:val="auto"/>
                <w:kern w:val="0"/>
                <w:sz w:val="24"/>
                <w:szCs w:val="24"/>
                <w:highlight w:val="none"/>
              </w:rPr>
              <w:t>的措施</w:t>
            </w:r>
            <w:r>
              <w:rPr>
                <w:rFonts w:hint="eastAsia" w:ascii="宋体" w:hAnsi="宋体" w:eastAsia="宋体" w:cs="宋体"/>
                <w:bCs w:val="0"/>
                <w:color w:val="auto"/>
                <w:kern w:val="2"/>
                <w:sz w:val="24"/>
                <w:szCs w:val="24"/>
                <w:highlight w:val="none"/>
                <w:lang w:val="en-US" w:eastAsia="zh-CN"/>
              </w:rPr>
              <w:t>方面进行评分（评分范围：6，5，4，3，2，1，0）</w:t>
            </w:r>
            <w:r>
              <w:rPr>
                <w:rFonts w:hint="eastAsia" w:ascii="宋体" w:hAnsi="宋体" w:eastAsia="宋体" w:cs="宋体"/>
                <w:bCs/>
                <w:color w:val="auto"/>
                <w:kern w:val="0"/>
                <w:sz w:val="24"/>
                <w:szCs w:val="24"/>
                <w:highlight w:val="none"/>
              </w:rPr>
              <w:t>。</w:t>
            </w:r>
          </w:p>
        </w:tc>
        <w:tc>
          <w:tcPr>
            <w:tcW w:w="7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3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46" w:hRule="atLeast"/>
        </w:trPr>
        <w:tc>
          <w:tcPr>
            <w:tcW w:w="88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7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关于规划技术咨询的相关措施</w:t>
            </w:r>
          </w:p>
        </w:tc>
        <w:tc>
          <w:tcPr>
            <w:tcW w:w="39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50" w:lineRule="exact"/>
              <w:ind w:left="0" w:right="0" w:firstLine="240" w:firstLineChars="1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根据投标单位对</w:t>
            </w:r>
            <w:r>
              <w:rPr>
                <w:rFonts w:hint="eastAsia" w:ascii="宋体" w:hAnsi="宋体" w:eastAsia="宋体" w:cs="宋体"/>
                <w:bCs/>
                <w:color w:val="auto"/>
                <w:kern w:val="0"/>
                <w:sz w:val="24"/>
                <w:szCs w:val="24"/>
                <w:highlight w:val="none"/>
                <w:lang w:val="en-US" w:eastAsia="zh-CN"/>
              </w:rPr>
              <w:t>规划技术咨询</w:t>
            </w:r>
            <w:r>
              <w:rPr>
                <w:rFonts w:hint="eastAsia" w:ascii="宋体" w:hAnsi="宋体" w:eastAsia="宋体" w:cs="宋体"/>
                <w:bCs/>
                <w:color w:val="auto"/>
                <w:kern w:val="0"/>
                <w:sz w:val="24"/>
                <w:szCs w:val="24"/>
                <w:highlight w:val="none"/>
              </w:rPr>
              <w:t>的措施</w:t>
            </w:r>
            <w:r>
              <w:rPr>
                <w:rFonts w:hint="eastAsia" w:ascii="宋体" w:hAnsi="宋体" w:eastAsia="宋体" w:cs="宋体"/>
                <w:bCs w:val="0"/>
                <w:color w:val="auto"/>
                <w:kern w:val="2"/>
                <w:sz w:val="24"/>
                <w:szCs w:val="24"/>
                <w:highlight w:val="none"/>
                <w:lang w:val="en-US" w:eastAsia="zh-CN"/>
              </w:rPr>
              <w:t>方面进行评分（评分范围：6，5，4，3，2，1，0）</w:t>
            </w:r>
            <w:r>
              <w:rPr>
                <w:rFonts w:hint="eastAsia" w:ascii="宋体" w:hAnsi="宋体" w:eastAsia="宋体" w:cs="宋体"/>
                <w:bCs/>
                <w:color w:val="auto"/>
                <w:kern w:val="0"/>
                <w:sz w:val="24"/>
                <w:szCs w:val="24"/>
                <w:highlight w:val="none"/>
              </w:rPr>
              <w:t>。</w:t>
            </w:r>
          </w:p>
        </w:tc>
        <w:tc>
          <w:tcPr>
            <w:tcW w:w="7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3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46" w:hRule="atLeast"/>
        </w:trPr>
        <w:tc>
          <w:tcPr>
            <w:tcW w:w="88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7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关于控规调整论证的相关措施</w:t>
            </w:r>
          </w:p>
        </w:tc>
        <w:tc>
          <w:tcPr>
            <w:tcW w:w="39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50" w:lineRule="exact"/>
              <w:ind w:left="0" w:right="0" w:firstLine="240" w:firstLineChars="1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根据投标单位对</w:t>
            </w:r>
            <w:r>
              <w:rPr>
                <w:rFonts w:hint="eastAsia" w:ascii="宋体" w:hAnsi="宋体" w:eastAsia="宋体" w:cs="宋体"/>
                <w:bCs/>
                <w:color w:val="auto"/>
                <w:kern w:val="0"/>
                <w:sz w:val="24"/>
                <w:szCs w:val="24"/>
                <w:highlight w:val="none"/>
                <w:lang w:val="en-US" w:eastAsia="zh-CN"/>
              </w:rPr>
              <w:t>控规调整论证</w:t>
            </w:r>
            <w:r>
              <w:rPr>
                <w:rFonts w:hint="eastAsia" w:ascii="宋体" w:hAnsi="宋体" w:eastAsia="宋体" w:cs="宋体"/>
                <w:bCs/>
                <w:color w:val="auto"/>
                <w:kern w:val="0"/>
                <w:sz w:val="24"/>
                <w:szCs w:val="24"/>
                <w:highlight w:val="none"/>
              </w:rPr>
              <w:t>的措施</w:t>
            </w:r>
            <w:r>
              <w:rPr>
                <w:rFonts w:hint="eastAsia" w:ascii="宋体" w:hAnsi="宋体" w:eastAsia="宋体" w:cs="宋体"/>
                <w:bCs w:val="0"/>
                <w:color w:val="auto"/>
                <w:kern w:val="2"/>
                <w:sz w:val="24"/>
                <w:szCs w:val="24"/>
                <w:highlight w:val="none"/>
                <w:lang w:val="en-US" w:eastAsia="zh-CN"/>
              </w:rPr>
              <w:t>方面进行评分（评分范围：6，5，4，3，2，1，0）</w:t>
            </w:r>
            <w:r>
              <w:rPr>
                <w:rFonts w:hint="eastAsia" w:ascii="宋体" w:hAnsi="宋体" w:eastAsia="宋体" w:cs="宋体"/>
                <w:bCs/>
                <w:color w:val="auto"/>
                <w:kern w:val="0"/>
                <w:sz w:val="24"/>
                <w:szCs w:val="24"/>
                <w:highlight w:val="none"/>
              </w:rPr>
              <w:t>。</w:t>
            </w:r>
          </w:p>
        </w:tc>
        <w:tc>
          <w:tcPr>
            <w:tcW w:w="7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3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46" w:hRule="atLeast"/>
        </w:trPr>
        <w:tc>
          <w:tcPr>
            <w:tcW w:w="88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7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关于地块方案试排的相关措施</w:t>
            </w:r>
          </w:p>
        </w:tc>
        <w:tc>
          <w:tcPr>
            <w:tcW w:w="39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50" w:lineRule="exact"/>
              <w:ind w:left="0" w:right="0" w:firstLine="240" w:firstLineChars="1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根据投标单位对</w:t>
            </w:r>
            <w:r>
              <w:rPr>
                <w:rFonts w:hint="eastAsia" w:ascii="宋体" w:hAnsi="宋体" w:eastAsia="宋体" w:cs="宋体"/>
                <w:bCs/>
                <w:color w:val="auto"/>
                <w:kern w:val="0"/>
                <w:sz w:val="24"/>
                <w:szCs w:val="24"/>
                <w:highlight w:val="none"/>
                <w:lang w:val="en-US" w:eastAsia="zh-CN"/>
              </w:rPr>
              <w:t>地块方案试排</w:t>
            </w:r>
            <w:r>
              <w:rPr>
                <w:rFonts w:hint="eastAsia" w:ascii="宋体" w:hAnsi="宋体" w:eastAsia="宋体" w:cs="宋体"/>
                <w:bCs/>
                <w:color w:val="auto"/>
                <w:kern w:val="0"/>
                <w:sz w:val="24"/>
                <w:szCs w:val="24"/>
                <w:highlight w:val="none"/>
              </w:rPr>
              <w:t>的措施</w:t>
            </w:r>
            <w:r>
              <w:rPr>
                <w:rFonts w:hint="eastAsia" w:ascii="宋体" w:hAnsi="宋体" w:eastAsia="宋体" w:cs="宋体"/>
                <w:bCs w:val="0"/>
                <w:color w:val="auto"/>
                <w:kern w:val="2"/>
                <w:sz w:val="24"/>
                <w:szCs w:val="24"/>
                <w:highlight w:val="none"/>
                <w:lang w:val="en-US" w:eastAsia="zh-CN"/>
              </w:rPr>
              <w:t>方面进行评分（评分范围：6，5，4，3，2，1，0）</w:t>
            </w:r>
            <w:r>
              <w:rPr>
                <w:rFonts w:hint="eastAsia" w:ascii="宋体" w:hAnsi="宋体" w:eastAsia="宋体" w:cs="宋体"/>
                <w:bCs/>
                <w:color w:val="auto"/>
                <w:kern w:val="0"/>
                <w:sz w:val="24"/>
                <w:szCs w:val="24"/>
                <w:highlight w:val="none"/>
              </w:rPr>
              <w:t>。</w:t>
            </w:r>
          </w:p>
        </w:tc>
        <w:tc>
          <w:tcPr>
            <w:tcW w:w="7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3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46" w:hRule="atLeast"/>
        </w:trPr>
        <w:tc>
          <w:tcPr>
            <w:tcW w:w="88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79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对于智慧新城规划思路的相关措施</w:t>
            </w:r>
          </w:p>
        </w:tc>
        <w:tc>
          <w:tcPr>
            <w:tcW w:w="39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50" w:lineRule="exact"/>
              <w:ind w:left="0" w:right="0" w:firstLine="240" w:firstLineChars="1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根据投标单位对</w:t>
            </w:r>
            <w:r>
              <w:rPr>
                <w:rFonts w:hint="eastAsia" w:ascii="宋体" w:hAnsi="宋体" w:eastAsia="宋体" w:cs="宋体"/>
                <w:bCs/>
                <w:color w:val="auto"/>
                <w:kern w:val="0"/>
                <w:sz w:val="24"/>
                <w:szCs w:val="24"/>
                <w:highlight w:val="none"/>
                <w:lang w:val="en-US" w:eastAsia="zh-CN"/>
              </w:rPr>
              <w:t>智慧新城规划思路</w:t>
            </w:r>
            <w:r>
              <w:rPr>
                <w:rFonts w:hint="eastAsia" w:ascii="宋体" w:hAnsi="宋体" w:eastAsia="宋体" w:cs="宋体"/>
                <w:bCs/>
                <w:color w:val="auto"/>
                <w:kern w:val="0"/>
                <w:sz w:val="24"/>
                <w:szCs w:val="24"/>
                <w:highlight w:val="none"/>
              </w:rPr>
              <w:t>的措施</w:t>
            </w:r>
            <w:r>
              <w:rPr>
                <w:rFonts w:hint="eastAsia" w:ascii="宋体" w:hAnsi="宋体" w:eastAsia="宋体" w:cs="宋体"/>
                <w:bCs w:val="0"/>
                <w:color w:val="auto"/>
                <w:kern w:val="2"/>
                <w:sz w:val="24"/>
                <w:szCs w:val="24"/>
                <w:highlight w:val="none"/>
                <w:lang w:val="en-US" w:eastAsia="zh-CN"/>
              </w:rPr>
              <w:t>方面进行评分（评分范围：6，5，4，3，2，1，0）</w:t>
            </w:r>
            <w:r>
              <w:rPr>
                <w:rFonts w:hint="eastAsia" w:ascii="宋体" w:hAnsi="宋体" w:eastAsia="宋体" w:cs="宋体"/>
                <w:bCs/>
                <w:color w:val="auto"/>
                <w:kern w:val="0"/>
                <w:sz w:val="24"/>
                <w:szCs w:val="24"/>
                <w:highlight w:val="none"/>
              </w:rPr>
              <w:t>。</w:t>
            </w:r>
          </w:p>
        </w:tc>
        <w:tc>
          <w:tcPr>
            <w:tcW w:w="7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32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bl>
    <w:p>
      <w:pPr>
        <w:widowControl/>
        <w:snapToGrid w:val="0"/>
        <w:spacing w:line="500" w:lineRule="exact"/>
        <w:ind w:firstLine="480" w:firstLineChars="200"/>
        <w:rPr>
          <w:rFonts w:hint="eastAsia" w:ascii="宋体" w:hAnsi="宋体" w:cs="宋体"/>
          <w:sz w:val="24"/>
          <w:szCs w:val="24"/>
          <w:highlight w:val="none"/>
        </w:rPr>
      </w:pPr>
    </w:p>
    <w:p>
      <w:pPr>
        <w:widowControl/>
        <w:numPr>
          <w:ilvl w:val="0"/>
          <w:numId w:val="14"/>
        </w:num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报价</w:t>
      </w:r>
      <w:r>
        <w:rPr>
          <w:rFonts w:hint="eastAsia" w:ascii="宋体" w:hAnsi="宋体" w:cs="宋体"/>
          <w:sz w:val="24"/>
          <w:szCs w:val="24"/>
          <w:highlight w:val="none"/>
        </w:rPr>
        <w:t>文件评分（</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20</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w:t>
      </w:r>
    </w:p>
    <w:p>
      <w:pPr>
        <w:keepNext w:val="0"/>
        <w:keepLines w:val="0"/>
        <w:pageBreakBefore w:val="0"/>
        <w:widowControl/>
        <w:numPr>
          <w:ilvl w:val="0"/>
          <w:numId w:val="0"/>
        </w:numPr>
        <w:kinsoku/>
        <w:wordWrap/>
        <w:overflowPunct/>
        <w:topLinePunct w:val="0"/>
        <w:bidi w:val="0"/>
        <w:snapToGrid w:val="0"/>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lang w:val="en-US" w:eastAsia="zh-CN"/>
        </w:rPr>
        <w:t>报价</w:t>
      </w:r>
      <w:r>
        <w:rPr>
          <w:rFonts w:hint="eastAsia" w:ascii="宋体" w:hAnsi="宋体" w:cs="宋体"/>
          <w:sz w:val="24"/>
          <w:szCs w:val="24"/>
          <w:highlight w:val="none"/>
        </w:rPr>
        <w:t>文件评分由各评委成员按评分细则进行评审打分，评标委员会认为投标人的报价明显低于其他通过符合性审查投标人的报价，有可能影响产品质量或者不能诚信履约的，应当要求其在评标现场30分钟内提供书面说明，必要时提交相关证明材料</w:t>
      </w:r>
      <w:r>
        <w:rPr>
          <w:rFonts w:hint="eastAsia" w:ascii="宋体" w:hAnsi="宋体" w:cs="宋体"/>
          <w:sz w:val="24"/>
          <w:szCs w:val="24"/>
          <w:highlight w:val="none"/>
          <w:lang w:eastAsia="zh-CN"/>
        </w:rPr>
        <w:t>；</w:t>
      </w:r>
      <w:r>
        <w:rPr>
          <w:rFonts w:hint="eastAsia" w:ascii="宋体" w:hAnsi="宋体" w:cs="宋体"/>
          <w:sz w:val="24"/>
          <w:szCs w:val="24"/>
          <w:highlight w:val="none"/>
        </w:rPr>
        <w:t>投标人不能证明其报价合理性的，评标委员会应当将其作为无效投标处理。</w:t>
      </w:r>
    </w:p>
    <w:p>
      <w:pPr>
        <w:keepNext w:val="0"/>
        <w:keepLines w:val="0"/>
        <w:pageBreakBefore w:val="0"/>
        <w:widowControl/>
        <w:kinsoku/>
        <w:wordWrap/>
        <w:overflowPunct/>
        <w:topLinePunct w:val="0"/>
        <w:bidi w:val="0"/>
        <w:snapToGrid w:val="0"/>
        <w:spacing w:line="46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价格分采用低价优先法计算，即满足招标文件要求且报价最低的投标报价为评标基准价，其他投标人的价格分按照下列公式计算：</w:t>
      </w:r>
    </w:p>
    <w:p>
      <w:pPr>
        <w:keepNext w:val="0"/>
        <w:keepLines w:val="0"/>
        <w:pageBreakBefore w:val="0"/>
        <w:widowControl/>
        <w:kinsoku/>
        <w:wordWrap/>
        <w:overflowPunct/>
        <w:topLinePunct w:val="0"/>
        <w:bidi w:val="0"/>
        <w:snapToGrid w:val="0"/>
        <w:spacing w:line="46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价格分=（评标基准价/投标报价）×价格权值×100%</w:t>
      </w:r>
    </w:p>
    <w:p>
      <w:pPr>
        <w:keepNext w:val="0"/>
        <w:keepLines w:val="0"/>
        <w:pageBreakBefore w:val="0"/>
        <w:kinsoku/>
        <w:wordWrap/>
        <w:overflowPunct/>
        <w:topLinePunct w:val="0"/>
        <w:autoSpaceDE w:val="0"/>
        <w:autoSpaceDN w:val="0"/>
        <w:bidi w:val="0"/>
        <w:adjustRightInd w:val="0"/>
        <w:snapToGrid w:val="0"/>
        <w:spacing w:line="460" w:lineRule="exact"/>
        <w:ind w:firstLine="482"/>
        <w:textAlignment w:val="auto"/>
        <w:rPr>
          <w:rFonts w:ascii="宋体" w:hAnsi="宋体"/>
          <w:sz w:val="24"/>
          <w:szCs w:val="24"/>
          <w:highlight w:val="none"/>
        </w:rPr>
      </w:pPr>
      <w:r>
        <w:rPr>
          <w:rFonts w:hint="eastAsia" w:ascii="宋体" w:hAnsi="宋体"/>
          <w:b/>
          <w:bCs/>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b/>
          <w:bCs/>
          <w:sz w:val="24"/>
          <w:szCs w:val="24"/>
          <w:highlight w:val="none"/>
          <w:u w:val="single"/>
          <w:lang w:val="en-US" w:eastAsia="zh-CN"/>
        </w:rPr>
        <w:t>10</w:t>
      </w:r>
      <w:r>
        <w:rPr>
          <w:rFonts w:hint="eastAsia" w:ascii="宋体" w:hAnsi="宋体"/>
          <w:b/>
          <w:bCs/>
          <w:sz w:val="24"/>
          <w:szCs w:val="24"/>
          <w:highlight w:val="none"/>
          <w:u w:val="single"/>
        </w:rPr>
        <w:t xml:space="preserve"> </w:t>
      </w:r>
      <w:r>
        <w:rPr>
          <w:rFonts w:hint="eastAsia" w:ascii="宋体" w:hAnsi="宋体"/>
          <w:b/>
          <w:bCs/>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hint="eastAsia" w:ascii="宋体" w:hAnsi="宋体"/>
          <w:b/>
          <w:bCs/>
          <w:sz w:val="24"/>
          <w:szCs w:val="24"/>
          <w:highlight w:val="none"/>
          <w:u w:val="single"/>
        </w:rPr>
        <w:t xml:space="preserve"> </w:t>
      </w:r>
      <w:r>
        <w:rPr>
          <w:rFonts w:hint="eastAsia" w:ascii="宋体" w:hAnsi="宋体"/>
          <w:b/>
          <w:bCs/>
          <w:sz w:val="24"/>
          <w:szCs w:val="24"/>
          <w:highlight w:val="none"/>
          <w:u w:val="single"/>
          <w:lang w:val="en-US" w:eastAsia="zh-CN"/>
        </w:rPr>
        <w:t>30</w:t>
      </w:r>
      <w:r>
        <w:rPr>
          <w:rFonts w:hint="eastAsia" w:ascii="宋体" w:hAnsi="宋体"/>
          <w:b/>
          <w:bCs/>
          <w:sz w:val="24"/>
          <w:szCs w:val="24"/>
          <w:highlight w:val="none"/>
          <w:u w:val="single"/>
        </w:rPr>
        <w:t xml:space="preserve"> </w:t>
      </w:r>
      <w:r>
        <w:rPr>
          <w:rFonts w:hint="eastAsia" w:ascii="宋体" w:hAnsi="宋体"/>
          <w:b/>
          <w:bCs/>
          <w:sz w:val="24"/>
          <w:szCs w:val="24"/>
          <w:highlight w:val="none"/>
        </w:rPr>
        <w:t>%以上的，对联合体或者大中型企业的报价给予</w:t>
      </w:r>
      <w:r>
        <w:rPr>
          <w:rFonts w:hint="eastAsia" w:ascii="宋体" w:hAnsi="宋体"/>
          <w:b/>
          <w:bCs/>
          <w:sz w:val="24"/>
          <w:szCs w:val="24"/>
          <w:highlight w:val="none"/>
          <w:u w:val="single"/>
        </w:rPr>
        <w:t xml:space="preserve"> </w:t>
      </w:r>
      <w:r>
        <w:rPr>
          <w:rFonts w:hint="eastAsia" w:ascii="宋体" w:hAnsi="宋体"/>
          <w:b/>
          <w:bCs/>
          <w:sz w:val="24"/>
          <w:szCs w:val="24"/>
          <w:highlight w:val="none"/>
          <w:u w:val="single"/>
          <w:lang w:val="en-US" w:eastAsia="zh-CN"/>
        </w:rPr>
        <w:t>4</w:t>
      </w:r>
      <w:r>
        <w:rPr>
          <w:rFonts w:hint="eastAsia" w:ascii="宋体" w:hAnsi="宋体"/>
          <w:b/>
          <w:bCs/>
          <w:sz w:val="24"/>
          <w:szCs w:val="24"/>
          <w:highlight w:val="none"/>
          <w:u w:val="single"/>
        </w:rPr>
        <w:t xml:space="preserve"> </w:t>
      </w:r>
      <w:r>
        <w:rPr>
          <w:rFonts w:hint="eastAsia" w:ascii="宋体" w:hAnsi="宋体"/>
          <w:b/>
          <w:bCs/>
          <w:sz w:val="24"/>
          <w:szCs w:val="24"/>
          <w:highlight w:val="none"/>
        </w:rPr>
        <w:t>%的扣除，用扣除后的价格参加评审。</w:t>
      </w:r>
    </w:p>
    <w:p>
      <w:pPr>
        <w:keepNext w:val="0"/>
        <w:keepLines w:val="0"/>
        <w:pageBreakBefore w:val="0"/>
        <w:kinsoku/>
        <w:wordWrap/>
        <w:overflowPunct/>
        <w:topLinePunct w:val="0"/>
        <w:bidi w:val="0"/>
        <w:spacing w:line="460" w:lineRule="exact"/>
        <w:ind w:firstLine="482" w:firstLineChars="200"/>
        <w:textAlignment w:val="auto"/>
        <w:rPr>
          <w:rFonts w:ascii="宋体" w:cs="仿宋_GB2312"/>
          <w:sz w:val="24"/>
          <w:szCs w:val="24"/>
          <w:highlight w:val="none"/>
          <w:lang w:val="zh-CN"/>
        </w:rPr>
      </w:pPr>
      <w:r>
        <w:rPr>
          <w:rFonts w:ascii="宋体" w:hAnsi="宋体"/>
          <w:b/>
          <w:sz w:val="24"/>
          <w:szCs w:val="24"/>
          <w:highlight w:val="none"/>
        </w:rPr>
        <w:t>注：未按要求提供材料的</w:t>
      </w:r>
      <w:r>
        <w:rPr>
          <w:rFonts w:hint="eastAsia" w:ascii="宋体" w:hAnsi="宋体"/>
          <w:b/>
          <w:sz w:val="24"/>
          <w:szCs w:val="24"/>
          <w:highlight w:val="none"/>
          <w:lang w:val="en-US" w:eastAsia="zh-CN"/>
        </w:rPr>
        <w:t>或提供不符合要求的</w:t>
      </w:r>
      <w:r>
        <w:rPr>
          <w:rFonts w:ascii="宋体" w:hAnsi="宋体"/>
          <w:b/>
          <w:sz w:val="24"/>
          <w:szCs w:val="24"/>
          <w:highlight w:val="none"/>
        </w:rPr>
        <w:t>，均不给予价格扣除。</w:t>
      </w:r>
    </w:p>
    <w:bookmarkEnd w:id="89"/>
    <w:bookmarkEnd w:id="90"/>
    <w:bookmarkEnd w:id="91"/>
    <w:bookmarkEnd w:id="92"/>
    <w:p>
      <w:pPr>
        <w:keepNext w:val="0"/>
        <w:keepLines w:val="0"/>
        <w:pageBreakBefore w:val="0"/>
        <w:widowControl/>
        <w:kinsoku/>
        <w:wordWrap/>
        <w:overflowPunct/>
        <w:topLinePunct w:val="0"/>
        <w:autoSpaceDE/>
        <w:autoSpaceDN/>
        <w:bidi w:val="0"/>
        <w:adjustRightInd/>
        <w:snapToGrid w:val="0"/>
        <w:spacing w:before="156" w:beforeLines="50" w:after="156" w:afterLines="50" w:line="400" w:lineRule="exact"/>
        <w:ind w:firstLine="480" w:firstLineChars="200"/>
        <w:textAlignment w:val="auto"/>
        <w:outlineLvl w:val="1"/>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三</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询标</w:t>
      </w:r>
    </w:p>
    <w:p>
      <w:pPr>
        <w:pStyle w:val="3"/>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Times New Roman" w:hAnsi="Times New Roman"/>
          <w:bCs/>
          <w:sz w:val="24"/>
          <w:highlight w:val="none"/>
        </w:rPr>
      </w:pPr>
      <w:r>
        <w:rPr>
          <w:rFonts w:ascii="Times New Roman" w:hAnsi="Times New Roman"/>
          <w:bCs/>
          <w:sz w:val="24"/>
          <w:highlight w:val="none"/>
        </w:rPr>
        <w:t>对投标文件中存在含义不清楚的内容，必要时评标委员会要求供应商作必要的澄清、说明或补正。询标记录需供应商授权代表签字确认，它将作为投标文件的一部分。</w:t>
      </w:r>
    </w:p>
    <w:p>
      <w:pPr>
        <w:keepNext w:val="0"/>
        <w:keepLines w:val="0"/>
        <w:pageBreakBefore w:val="0"/>
        <w:widowControl/>
        <w:kinsoku/>
        <w:wordWrap/>
        <w:overflowPunct/>
        <w:topLinePunct w:val="0"/>
        <w:autoSpaceDE/>
        <w:autoSpaceDN/>
        <w:bidi w:val="0"/>
        <w:adjustRightInd/>
        <w:snapToGrid w:val="0"/>
        <w:spacing w:before="156" w:beforeLines="50" w:after="156" w:afterLines="50" w:line="400" w:lineRule="exact"/>
        <w:ind w:firstLine="480" w:firstLineChars="200"/>
        <w:textAlignment w:val="auto"/>
        <w:outlineLvl w:val="1"/>
        <w:rPr>
          <w:rFonts w:ascii="Times New Roman" w:hAnsi="Times New Roman"/>
          <w:bCs/>
          <w:sz w:val="24"/>
          <w:highlight w:val="none"/>
        </w:rPr>
      </w:pP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四</w:t>
      </w:r>
      <w:r>
        <w:rPr>
          <w:rFonts w:hint="eastAsia" w:ascii="宋体" w:hAnsi="宋体" w:cs="宋体"/>
          <w:b w:val="0"/>
          <w:bCs w:val="0"/>
          <w:sz w:val="24"/>
          <w:szCs w:val="24"/>
          <w:highlight w:val="none"/>
          <w:lang w:eastAsia="zh-CN"/>
        </w:rPr>
        <w:t>）</w:t>
      </w:r>
      <w:r>
        <w:rPr>
          <w:rFonts w:ascii="Times New Roman" w:hAnsi="Times New Roman"/>
          <w:bCs/>
          <w:sz w:val="24"/>
          <w:highlight w:val="none"/>
        </w:rPr>
        <w:t>评标结果汇总完成后，除下列情形外，任何人不得修改评标结果：</w:t>
      </w:r>
    </w:p>
    <w:p>
      <w:pPr>
        <w:pStyle w:val="3"/>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Times New Roman" w:hAnsi="Times New Roman"/>
          <w:bCs/>
          <w:sz w:val="24"/>
          <w:highlight w:val="none"/>
        </w:rPr>
      </w:pPr>
      <w:r>
        <w:rPr>
          <w:rFonts w:ascii="Times New Roman" w:hAnsi="Times New Roman"/>
          <w:bCs/>
          <w:sz w:val="24"/>
          <w:highlight w:val="none"/>
        </w:rPr>
        <w:t>（</w:t>
      </w:r>
      <w:r>
        <w:rPr>
          <w:rFonts w:hint="eastAsia" w:ascii="Times New Roman" w:hAnsi="Times New Roman"/>
          <w:bCs/>
          <w:sz w:val="24"/>
          <w:highlight w:val="none"/>
          <w:lang w:val="en-US" w:eastAsia="zh-CN"/>
        </w:rPr>
        <w:t>1</w:t>
      </w:r>
      <w:r>
        <w:rPr>
          <w:rFonts w:ascii="Times New Roman" w:hAnsi="Times New Roman"/>
          <w:bCs/>
          <w:sz w:val="24"/>
          <w:highlight w:val="none"/>
        </w:rPr>
        <w:t>）分值汇总计算错误的</w:t>
      </w:r>
    </w:p>
    <w:p>
      <w:pPr>
        <w:pStyle w:val="3"/>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Times New Roman" w:hAnsi="Times New Roman"/>
          <w:bCs/>
          <w:sz w:val="24"/>
          <w:highlight w:val="none"/>
        </w:rPr>
      </w:pPr>
      <w:r>
        <w:rPr>
          <w:rFonts w:ascii="Times New Roman" w:hAnsi="Times New Roman"/>
          <w:bCs/>
          <w:sz w:val="24"/>
          <w:highlight w:val="none"/>
        </w:rPr>
        <w:t>（</w:t>
      </w:r>
      <w:r>
        <w:rPr>
          <w:rFonts w:hint="eastAsia" w:ascii="Times New Roman" w:hAnsi="Times New Roman"/>
          <w:bCs/>
          <w:sz w:val="24"/>
          <w:highlight w:val="none"/>
          <w:lang w:val="en-US" w:eastAsia="zh-CN"/>
        </w:rPr>
        <w:t>2</w:t>
      </w:r>
      <w:r>
        <w:rPr>
          <w:rFonts w:ascii="Times New Roman" w:hAnsi="Times New Roman"/>
          <w:bCs/>
          <w:sz w:val="24"/>
          <w:highlight w:val="none"/>
        </w:rPr>
        <w:t>）分项评分超出评分标准范围的；</w:t>
      </w:r>
    </w:p>
    <w:p>
      <w:pPr>
        <w:pStyle w:val="3"/>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Times New Roman" w:hAnsi="Times New Roman"/>
          <w:bCs/>
          <w:sz w:val="24"/>
          <w:highlight w:val="none"/>
        </w:rPr>
      </w:pPr>
      <w:r>
        <w:rPr>
          <w:rFonts w:ascii="Times New Roman" w:hAnsi="Times New Roman"/>
          <w:bCs/>
          <w:sz w:val="24"/>
          <w:highlight w:val="none"/>
        </w:rPr>
        <w:t>（</w:t>
      </w:r>
      <w:r>
        <w:rPr>
          <w:rFonts w:hint="eastAsia" w:ascii="Times New Roman" w:hAnsi="Times New Roman"/>
          <w:bCs/>
          <w:sz w:val="24"/>
          <w:highlight w:val="none"/>
          <w:lang w:val="en-US" w:eastAsia="zh-CN"/>
        </w:rPr>
        <w:t>3</w:t>
      </w:r>
      <w:r>
        <w:rPr>
          <w:rFonts w:ascii="Times New Roman" w:hAnsi="Times New Roman"/>
          <w:bCs/>
          <w:sz w:val="24"/>
          <w:highlight w:val="none"/>
        </w:rPr>
        <w:t>）评标委员会成员对客观评审因素评分不一致的；</w:t>
      </w:r>
    </w:p>
    <w:p>
      <w:pPr>
        <w:pStyle w:val="3"/>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Times New Roman" w:hAnsi="Times New Roman"/>
          <w:bCs/>
          <w:sz w:val="24"/>
          <w:highlight w:val="none"/>
        </w:rPr>
      </w:pPr>
      <w:r>
        <w:rPr>
          <w:rFonts w:ascii="Times New Roman" w:hAnsi="Times New Roman"/>
          <w:bCs/>
          <w:sz w:val="24"/>
          <w:highlight w:val="none"/>
        </w:rPr>
        <w:t>（</w:t>
      </w:r>
      <w:r>
        <w:rPr>
          <w:rFonts w:hint="eastAsia" w:ascii="Times New Roman" w:hAnsi="Times New Roman"/>
          <w:bCs/>
          <w:sz w:val="24"/>
          <w:highlight w:val="none"/>
          <w:lang w:val="en-US" w:eastAsia="zh-CN"/>
        </w:rPr>
        <w:t>4</w:t>
      </w:r>
      <w:r>
        <w:rPr>
          <w:rFonts w:ascii="Times New Roman" w:hAnsi="Times New Roman"/>
          <w:bCs/>
          <w:sz w:val="24"/>
          <w:highlight w:val="none"/>
        </w:rPr>
        <w:t>）经评标委员会认定评分畸高、畸低的。</w:t>
      </w:r>
    </w:p>
    <w:p>
      <w:pPr>
        <w:keepNext w:val="0"/>
        <w:keepLines w:val="0"/>
        <w:pageBreakBefore w:val="0"/>
        <w:kinsoku/>
        <w:wordWrap/>
        <w:overflowPunct/>
        <w:topLinePunct w:val="0"/>
        <w:autoSpaceDE w:val="0"/>
        <w:autoSpaceDN w:val="0"/>
        <w:bidi w:val="0"/>
        <w:spacing w:line="460" w:lineRule="exact"/>
        <w:ind w:firstLine="482"/>
        <w:textAlignment w:val="auto"/>
        <w:rPr>
          <w:rFonts w:ascii="宋体" w:hAnsi="宋体" w:cs="仿宋_GB2312"/>
          <w:sz w:val="24"/>
          <w:szCs w:val="24"/>
          <w:highlight w:val="none"/>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五</w:t>
      </w:r>
      <w:r>
        <w:rPr>
          <w:rFonts w:hint="eastAsia" w:ascii="宋体" w:hAnsi="宋体" w:cs="仿宋_GB2312"/>
          <w:sz w:val="24"/>
          <w:szCs w:val="24"/>
          <w:highlight w:val="none"/>
        </w:rPr>
        <w:t>）其他</w:t>
      </w:r>
    </w:p>
    <w:p>
      <w:pPr>
        <w:keepNext w:val="0"/>
        <w:keepLines w:val="0"/>
        <w:pageBreakBefore w:val="0"/>
        <w:kinsoku/>
        <w:wordWrap/>
        <w:overflowPunct/>
        <w:topLinePunct w:val="0"/>
        <w:autoSpaceDE w:val="0"/>
        <w:autoSpaceDN w:val="0"/>
        <w:bidi w:val="0"/>
        <w:spacing w:line="460" w:lineRule="exact"/>
        <w:ind w:firstLine="482"/>
        <w:textAlignment w:val="auto"/>
        <w:rPr>
          <w:rFonts w:ascii="宋体" w:hAnsi="宋体" w:cs="仿宋_GB2312"/>
          <w:sz w:val="24"/>
          <w:szCs w:val="24"/>
          <w:highlight w:val="none"/>
        </w:rPr>
      </w:pPr>
      <w:r>
        <w:rPr>
          <w:rFonts w:hint="eastAsia" w:ascii="宋体" w:hAnsi="宋体" w:cs="仿宋_GB2312"/>
          <w:sz w:val="24"/>
          <w:szCs w:val="24"/>
          <w:highlight w:val="none"/>
        </w:rPr>
        <w:t>评分时保留小数点后1位小数，计算评分值时保留小数点后2位小数，由评标委员会当场统一计算。</w:t>
      </w:r>
    </w:p>
    <w:p>
      <w:pPr>
        <w:keepNext w:val="0"/>
        <w:keepLines w:val="0"/>
        <w:pageBreakBefore w:val="0"/>
        <w:kinsoku/>
        <w:wordWrap/>
        <w:overflowPunct/>
        <w:topLinePunct w:val="0"/>
        <w:autoSpaceDE w:val="0"/>
        <w:autoSpaceDN w:val="0"/>
        <w:bidi w:val="0"/>
        <w:spacing w:line="460" w:lineRule="exact"/>
        <w:ind w:firstLine="482"/>
        <w:textAlignment w:val="auto"/>
        <w:rPr>
          <w:rFonts w:ascii="宋体" w:hAnsi="宋体" w:cs="仿宋_GB2312"/>
          <w:sz w:val="24"/>
          <w:szCs w:val="24"/>
          <w:highlight w:val="none"/>
        </w:rPr>
      </w:pPr>
      <w:r>
        <w:rPr>
          <w:rFonts w:hint="eastAsia" w:ascii="宋体" w:hAnsi="宋体" w:cs="仿宋_GB2312"/>
          <w:sz w:val="24"/>
          <w:szCs w:val="24"/>
          <w:highlight w:val="none"/>
        </w:rPr>
        <w:t>投标人的</w:t>
      </w:r>
      <w:r>
        <w:rPr>
          <w:rFonts w:hint="eastAsia" w:ascii="宋体" w:hAnsi="宋体" w:cs="仿宋_GB2312"/>
          <w:sz w:val="24"/>
          <w:szCs w:val="24"/>
          <w:highlight w:val="none"/>
          <w:lang w:val="en-US" w:eastAsia="zh-CN"/>
        </w:rPr>
        <w:t>综合</w:t>
      </w:r>
      <w:r>
        <w:rPr>
          <w:rFonts w:hint="eastAsia" w:ascii="宋体" w:hAnsi="宋体" w:cs="仿宋_GB2312"/>
          <w:sz w:val="24"/>
          <w:szCs w:val="24"/>
          <w:highlight w:val="none"/>
        </w:rPr>
        <w:t>总得分为商务技术文件及报价</w:t>
      </w:r>
      <w:r>
        <w:rPr>
          <w:rFonts w:hint="eastAsia" w:ascii="宋体" w:hAnsi="宋体" w:cs="仿宋_GB2312"/>
          <w:sz w:val="24"/>
          <w:szCs w:val="24"/>
          <w:highlight w:val="none"/>
          <w:lang w:val="en-US" w:eastAsia="zh-CN"/>
        </w:rPr>
        <w:t>文件</w:t>
      </w:r>
      <w:r>
        <w:rPr>
          <w:rFonts w:hint="eastAsia" w:ascii="宋体" w:hAnsi="宋体" w:cs="仿宋_GB2312"/>
          <w:sz w:val="24"/>
          <w:szCs w:val="24"/>
          <w:highlight w:val="none"/>
        </w:rPr>
        <w:t>二部分得分的总和。</w:t>
      </w:r>
    </w:p>
    <w:p>
      <w:pPr>
        <w:keepNext w:val="0"/>
        <w:keepLines w:val="0"/>
        <w:pageBreakBefore w:val="0"/>
        <w:kinsoku/>
        <w:wordWrap/>
        <w:overflowPunct/>
        <w:topLinePunct w:val="0"/>
        <w:autoSpaceDE w:val="0"/>
        <w:autoSpaceDN w:val="0"/>
        <w:bidi w:val="0"/>
        <w:spacing w:line="460" w:lineRule="exact"/>
        <w:ind w:firstLine="482"/>
        <w:textAlignment w:val="auto"/>
        <w:rPr>
          <w:rFonts w:ascii="宋体" w:hAnsi="宋体" w:cs="仿宋_GB2312"/>
          <w:sz w:val="24"/>
          <w:szCs w:val="24"/>
          <w:highlight w:val="none"/>
        </w:rPr>
      </w:pPr>
      <w:r>
        <w:rPr>
          <w:rFonts w:hint="eastAsia" w:ascii="宋体" w:hAnsi="宋体" w:cs="仿宋_GB2312"/>
          <w:sz w:val="24"/>
          <w:szCs w:val="24"/>
          <w:highlight w:val="none"/>
        </w:rPr>
        <w:t>报价是中标的一个重要因素，但最低报价不是中标的唯一依据。</w:t>
      </w:r>
    </w:p>
    <w:p>
      <w:pPr>
        <w:keepNext w:val="0"/>
        <w:keepLines w:val="0"/>
        <w:pageBreakBefore w:val="0"/>
        <w:widowControl/>
        <w:kinsoku/>
        <w:wordWrap/>
        <w:overflowPunct/>
        <w:topLinePunct w:val="0"/>
        <w:autoSpaceDE/>
        <w:autoSpaceDN/>
        <w:bidi w:val="0"/>
        <w:adjustRightInd/>
        <w:snapToGrid w:val="0"/>
        <w:spacing w:before="156" w:beforeLines="50" w:after="156" w:afterLines="50" w:line="400" w:lineRule="exact"/>
        <w:ind w:firstLine="482" w:firstLineChars="200"/>
        <w:textAlignment w:val="auto"/>
        <w:outlineLvl w:val="1"/>
        <w:rPr>
          <w:rFonts w:hint="eastAsia" w:ascii="宋体" w:hAnsi="宋体" w:cs="宋体"/>
          <w:b/>
          <w:bCs/>
          <w:sz w:val="24"/>
          <w:szCs w:val="24"/>
          <w:highlight w:val="none"/>
        </w:rPr>
      </w:pPr>
      <w:r>
        <w:rPr>
          <w:rFonts w:hint="eastAsia" w:ascii="宋体" w:hAnsi="宋体" w:cs="宋体"/>
          <w:b/>
          <w:bCs/>
          <w:sz w:val="24"/>
          <w:szCs w:val="24"/>
          <w:highlight w:val="none"/>
        </w:rPr>
        <w:t>六、定标办法</w:t>
      </w:r>
    </w:p>
    <w:p>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ascii="宋体" w:hAnsi="宋体" w:cs="仿宋_GB2312"/>
          <w:sz w:val="24"/>
          <w:szCs w:val="24"/>
          <w:highlight w:val="none"/>
        </w:rPr>
      </w:pPr>
      <w:r>
        <w:rPr>
          <w:rFonts w:hint="eastAsia" w:ascii="宋体" w:hAnsi="宋体" w:cs="仿宋_GB2312"/>
          <w:sz w:val="24"/>
          <w:szCs w:val="24"/>
          <w:highlight w:val="none"/>
        </w:rPr>
        <w:t>1.本次招标由评标委员会直接确定中标</w:t>
      </w:r>
      <w:r>
        <w:rPr>
          <w:rFonts w:hint="eastAsia" w:ascii="宋体" w:hAnsi="宋体" w:cs="仿宋_GB2312"/>
          <w:sz w:val="24"/>
          <w:szCs w:val="24"/>
          <w:highlight w:val="none"/>
          <w:lang w:val="zh-CN"/>
        </w:rPr>
        <w:t>候选人</w:t>
      </w:r>
      <w:r>
        <w:rPr>
          <w:rFonts w:hint="eastAsia" w:ascii="宋体" w:hAnsi="宋体" w:cs="仿宋_GB2312"/>
          <w:sz w:val="24"/>
          <w:szCs w:val="24"/>
          <w:highlight w:val="none"/>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仿宋_GB2312"/>
          <w:sz w:val="24"/>
          <w:szCs w:val="24"/>
          <w:highlight w:val="none"/>
        </w:rPr>
        <w:t>2.由评标委员会按招标文件中规定的各项因素进行综合评审</w:t>
      </w:r>
      <w:r>
        <w:rPr>
          <w:rFonts w:hint="eastAsia" w:ascii="宋体" w:hAnsi="宋体" w:cs="仿宋_GB2312"/>
          <w:sz w:val="24"/>
          <w:szCs w:val="24"/>
          <w:highlight w:val="none"/>
          <w:lang w:eastAsia="zh-CN"/>
        </w:rPr>
        <w:t>，</w:t>
      </w:r>
      <w:r>
        <w:rPr>
          <w:rFonts w:hint="eastAsia" w:ascii="宋体" w:hAnsi="宋体" w:cs="仿宋_GB2312"/>
          <w:b/>
          <w:bCs/>
          <w:sz w:val="24"/>
          <w:szCs w:val="24"/>
          <w:highlight w:val="none"/>
        </w:rPr>
        <w:t>确定综合得分最高的供应商为中标</w:t>
      </w:r>
      <w:r>
        <w:rPr>
          <w:rFonts w:hint="eastAsia" w:ascii="宋体" w:hAnsi="宋体" w:cs="仿宋_GB2312"/>
          <w:b/>
          <w:bCs/>
          <w:sz w:val="24"/>
          <w:szCs w:val="24"/>
          <w:highlight w:val="none"/>
          <w:lang w:val="en-US" w:eastAsia="zh-CN"/>
        </w:rPr>
        <w:t>候选</w:t>
      </w:r>
      <w:r>
        <w:rPr>
          <w:rFonts w:hint="eastAsia" w:ascii="宋体" w:hAnsi="宋体" w:cs="仿宋_GB2312"/>
          <w:b/>
          <w:bCs/>
          <w:sz w:val="24"/>
          <w:szCs w:val="24"/>
          <w:highlight w:val="none"/>
        </w:rPr>
        <w:t>人</w:t>
      </w:r>
      <w:r>
        <w:rPr>
          <w:rFonts w:hint="eastAsia" w:ascii="宋体" w:hAnsi="宋体" w:cs="仿宋_GB2312"/>
          <w:b/>
          <w:bCs/>
          <w:sz w:val="24"/>
          <w:szCs w:val="24"/>
          <w:highlight w:val="none"/>
          <w:lang w:eastAsia="zh-CN"/>
        </w:rPr>
        <w:t>。</w:t>
      </w:r>
      <w:r>
        <w:rPr>
          <w:rFonts w:hint="eastAsia" w:ascii="宋体" w:hAnsi="宋体" w:cs="仿宋_GB2312"/>
          <w:sz w:val="24"/>
          <w:szCs w:val="24"/>
          <w:highlight w:val="none"/>
        </w:rPr>
        <w:t>如出现综合得分相同时，投标报价低的优先；如综合得分和投标报价均相同，则现场抽签确定</w:t>
      </w:r>
      <w:r>
        <w:rPr>
          <w:rFonts w:hint="eastAsia" w:ascii="宋体" w:hAnsi="宋体" w:cs="仿宋_GB2312"/>
          <w:sz w:val="24"/>
          <w:szCs w:val="24"/>
          <w:highlight w:val="none"/>
          <w:lang w:val="zh-CN"/>
        </w:rPr>
        <w:t>。</w:t>
      </w:r>
    </w:p>
    <w:p>
      <w:pPr>
        <w:spacing w:line="360" w:lineRule="auto"/>
        <w:ind w:firstLine="470" w:firstLineChars="196"/>
        <w:rPr>
          <w:rFonts w:ascii="宋体" w:hAnsi="宋体" w:cs="宋体"/>
          <w:color w:val="auto"/>
          <w:kern w:val="0"/>
          <w:sz w:val="24"/>
          <w:highlight w:val="none"/>
        </w:rPr>
      </w:pPr>
      <w:r>
        <w:rPr>
          <w:rFonts w:hint="eastAsia" w:ascii="宋体" w:hAnsi="宋体" w:cs="仿宋_GB2312"/>
          <w:sz w:val="24"/>
          <w:szCs w:val="24"/>
          <w:highlight w:val="none"/>
          <w:lang w:val="zh-CN"/>
        </w:rPr>
        <w:t>3</w:t>
      </w:r>
      <w:r>
        <w:rPr>
          <w:rFonts w:hint="eastAsia" w:ascii="宋体" w:hAnsi="宋体" w:cs="仿宋_GB2312"/>
          <w:sz w:val="24"/>
          <w:szCs w:val="24"/>
          <w:highlight w:val="none"/>
          <w:lang w:val="en-US" w:eastAsia="zh-CN"/>
        </w:rPr>
        <w:t>.</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wordWrap/>
        <w:overflowPunct/>
        <w:topLinePunct w:val="0"/>
        <w:autoSpaceDE w:val="0"/>
        <w:autoSpaceDN w:val="0"/>
        <w:bidi w:val="0"/>
        <w:adjustRightInd/>
        <w:snapToGrid/>
        <w:spacing w:line="460" w:lineRule="exact"/>
        <w:ind w:firstLine="482"/>
        <w:textAlignment w:val="auto"/>
        <w:rPr>
          <w:rFonts w:ascii="宋体" w:hAnsi="宋体" w:cs="仿宋_GB2312"/>
          <w:sz w:val="24"/>
          <w:szCs w:val="24"/>
          <w:highlight w:val="none"/>
          <w:lang w:val="zh-CN"/>
        </w:rPr>
      </w:pPr>
      <w:r>
        <w:rPr>
          <w:rFonts w:hint="eastAsia" w:ascii="宋体" w:hAnsi="宋体" w:cs="仿宋_GB2312"/>
          <w:sz w:val="24"/>
          <w:szCs w:val="24"/>
          <w:highlight w:val="none"/>
          <w:lang w:val="en-US" w:eastAsia="zh-CN"/>
        </w:rPr>
        <w:t>4.</w:t>
      </w:r>
      <w:r>
        <w:rPr>
          <w:rFonts w:hint="eastAsia" w:ascii="宋体" w:hAnsi="宋体" w:cs="仿宋_GB2312"/>
          <w:sz w:val="24"/>
          <w:szCs w:val="24"/>
          <w:highlight w:val="none"/>
          <w:lang w:val="zh-CN"/>
        </w:rPr>
        <w:t>如中标候选人放弃中标</w:t>
      </w:r>
      <w:r>
        <w:rPr>
          <w:rFonts w:hint="eastAsia" w:ascii="宋体" w:hAnsi="宋体" w:cs="仿宋_GB2312"/>
          <w:sz w:val="24"/>
          <w:szCs w:val="24"/>
          <w:highlight w:val="none"/>
        </w:rPr>
        <w:t>；</w:t>
      </w:r>
      <w:r>
        <w:rPr>
          <w:rFonts w:hint="eastAsia" w:ascii="宋体" w:hAnsi="宋体" w:cs="仿宋_GB2312"/>
          <w:sz w:val="24"/>
          <w:szCs w:val="24"/>
          <w:highlight w:val="none"/>
          <w:lang w:val="zh-CN"/>
        </w:rPr>
        <w:t>因不可抗力提出不能履行合同；或者招标文件规定应当提交履约保证金而在规定的期限内未能提交的；或未能在规定时间内与采购单位签订合同的；或者经质疑，采购人审查后，确因中标候选人在本次采购活动中存在违法违规行为或其他原因使质疑成立的，采购人</w:t>
      </w:r>
      <w:r>
        <w:rPr>
          <w:rFonts w:hint="eastAsia" w:ascii="宋体" w:hAnsi="宋体" w:cs="仿宋_GB2312"/>
          <w:sz w:val="24"/>
          <w:szCs w:val="24"/>
          <w:highlight w:val="none"/>
        </w:rPr>
        <w:t>可</w:t>
      </w:r>
      <w:r>
        <w:rPr>
          <w:rFonts w:hint="eastAsia" w:ascii="宋体" w:hAnsi="宋体" w:cs="仿宋_GB2312"/>
          <w:sz w:val="24"/>
          <w:szCs w:val="24"/>
          <w:highlight w:val="none"/>
          <w:lang w:val="zh-CN"/>
        </w:rPr>
        <w:t>重新招标。</w:t>
      </w:r>
    </w:p>
    <w:p>
      <w:pPr>
        <w:pStyle w:val="2"/>
        <w:ind w:firstLine="440"/>
        <w:rPr>
          <w:highlight w:val="none"/>
          <w:lang w:val="zh-CN"/>
        </w:rPr>
      </w:pPr>
    </w:p>
    <w:p>
      <w:pPr>
        <w:pStyle w:val="2"/>
        <w:spacing w:line="600" w:lineRule="exact"/>
        <w:ind w:firstLine="440"/>
        <w:rPr>
          <w:rFonts w:ascii="宋体" w:hAnsi="宋体" w:cs="宋体"/>
          <w:highlight w:val="none"/>
        </w:rPr>
      </w:pPr>
    </w:p>
    <w:sectPr>
      <w:pgSz w:w="11906" w:h="16838"/>
      <w:pgMar w:top="1440" w:right="1803" w:bottom="1440" w:left="1803" w:header="851" w:footer="850"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-54610</wp:posOffset>
              </wp:positionV>
              <wp:extent cx="1308735" cy="2089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08735" cy="208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4.3pt;height:16.45pt;width:103.05pt;mso-position-horizontal:center;mso-position-horizontal-relative:margin;z-index:251660288;mso-width-relative:page;mso-height-relative:page;" filled="f" stroked="f" coordsize="21600,21600" o:gfxdata="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cdUgdYAAAAGAQAADwAAAAAA&#10;AAABACAAAAAiAAAAZHJzL2Rvd25yZXYueG1sUEsBAhQAFAAAAAgAh07iQBxKfcwVAgAACAQAAA4A&#10;AAAAAAAAAQAgAAAAJQEAAGRycy9lMm9Eb2MueG1sUEsFBgAAAAAGAAYAWQEAAKwFAAAAAA==&#10;">
              <v:fill on="f" focussize="0,0"/>
              <v:stroke on="f" weight="0.5pt"/>
              <v:imagedata o:title=""/>
              <o:lock v:ext="edit" aspectratio="f"/>
              <v:textbox inset="0mm,0mm,0mm,0mm">
                <w:txbxContent>
                  <w:p>
                    <w:pPr>
                      <w:pStyle w:val="13"/>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CCE31"/>
    <w:multiLevelType w:val="singleLevel"/>
    <w:tmpl w:val="A2CCCE31"/>
    <w:lvl w:ilvl="0" w:tentative="0">
      <w:start w:val="1"/>
      <w:numFmt w:val="chineseCounting"/>
      <w:suff w:val="nothing"/>
      <w:lvlText w:val="%1、"/>
      <w:lvlJc w:val="left"/>
      <w:rPr>
        <w:rFonts w:hint="eastAsia"/>
      </w:rPr>
    </w:lvl>
  </w:abstractNum>
  <w:abstractNum w:abstractNumId="1">
    <w:nsid w:val="A9FA96B3"/>
    <w:multiLevelType w:val="singleLevel"/>
    <w:tmpl w:val="A9FA96B3"/>
    <w:lvl w:ilvl="0" w:tentative="0">
      <w:start w:val="1"/>
      <w:numFmt w:val="decimal"/>
      <w:suff w:val="nothing"/>
      <w:lvlText w:val="%1、"/>
      <w:lvlJc w:val="left"/>
    </w:lvl>
  </w:abstractNum>
  <w:abstractNum w:abstractNumId="2">
    <w:nsid w:val="A9FD2E2B"/>
    <w:multiLevelType w:val="singleLevel"/>
    <w:tmpl w:val="A9FD2E2B"/>
    <w:lvl w:ilvl="0" w:tentative="0">
      <w:start w:val="2"/>
      <w:numFmt w:val="decimal"/>
      <w:suff w:val="space"/>
      <w:lvlText w:val="%1."/>
      <w:lvlJc w:val="left"/>
      <w:pPr>
        <w:ind w:left="361" w:firstLine="0"/>
      </w:pPr>
    </w:lvl>
  </w:abstractNum>
  <w:abstractNum w:abstractNumId="3">
    <w:nsid w:val="AB23D36E"/>
    <w:multiLevelType w:val="singleLevel"/>
    <w:tmpl w:val="AB23D36E"/>
    <w:lvl w:ilvl="0" w:tentative="0">
      <w:start w:val="1"/>
      <w:numFmt w:val="chineseCounting"/>
      <w:suff w:val="space"/>
      <w:lvlText w:val="第%1章"/>
      <w:lvlJc w:val="left"/>
      <w:rPr>
        <w:rFonts w:hint="eastAsia"/>
      </w:rPr>
    </w:lvl>
  </w:abstractNum>
  <w:abstractNum w:abstractNumId="4">
    <w:nsid w:val="B9112078"/>
    <w:multiLevelType w:val="singleLevel"/>
    <w:tmpl w:val="B9112078"/>
    <w:lvl w:ilvl="0" w:tentative="0">
      <w:start w:val="3"/>
      <w:numFmt w:val="chineseCounting"/>
      <w:suff w:val="space"/>
      <w:lvlText w:val="第%1章"/>
      <w:lvlJc w:val="left"/>
      <w:rPr>
        <w:rFonts w:hint="eastAsia"/>
      </w:rPr>
    </w:lvl>
  </w:abstractNum>
  <w:abstractNum w:abstractNumId="5">
    <w:nsid w:val="C4CE06A6"/>
    <w:multiLevelType w:val="singleLevel"/>
    <w:tmpl w:val="C4CE06A6"/>
    <w:lvl w:ilvl="0" w:tentative="0">
      <w:start w:val="3"/>
      <w:numFmt w:val="decimal"/>
      <w:suff w:val="nothing"/>
      <w:lvlText w:val="%1、"/>
      <w:lvlJc w:val="left"/>
    </w:lvl>
  </w:abstractNum>
  <w:abstractNum w:abstractNumId="6">
    <w:nsid w:val="E0533E77"/>
    <w:multiLevelType w:val="singleLevel"/>
    <w:tmpl w:val="E0533E77"/>
    <w:lvl w:ilvl="0" w:tentative="0">
      <w:start w:val="2"/>
      <w:numFmt w:val="chineseCounting"/>
      <w:suff w:val="space"/>
      <w:lvlText w:val="第%1章"/>
      <w:lvlJc w:val="left"/>
      <w:rPr>
        <w:rFonts w:hint="eastAsia"/>
      </w:rPr>
    </w:lvl>
  </w:abstractNum>
  <w:abstractNum w:abstractNumId="7">
    <w:nsid w:val="F1A6D1D4"/>
    <w:multiLevelType w:val="singleLevel"/>
    <w:tmpl w:val="F1A6D1D4"/>
    <w:lvl w:ilvl="0" w:tentative="0">
      <w:start w:val="3"/>
      <w:numFmt w:val="chineseCounting"/>
      <w:suff w:val="space"/>
      <w:lvlText w:val="第%1条"/>
      <w:lvlJc w:val="left"/>
      <w:rPr>
        <w:rFonts w:hint="eastAsia"/>
      </w:rPr>
    </w:lvl>
  </w:abstractNum>
  <w:abstractNum w:abstractNumId="8">
    <w:nsid w:val="F23A3BEC"/>
    <w:multiLevelType w:val="singleLevel"/>
    <w:tmpl w:val="F23A3BEC"/>
    <w:lvl w:ilvl="0" w:tentative="0">
      <w:start w:val="5"/>
      <w:numFmt w:val="chineseCounting"/>
      <w:suff w:val="space"/>
      <w:lvlText w:val="第%1章"/>
      <w:lvlJc w:val="left"/>
      <w:rPr>
        <w:rFonts w:hint="eastAsia"/>
      </w:rPr>
    </w:lvl>
  </w:abstractNum>
  <w:abstractNum w:abstractNumId="9">
    <w:nsid w:val="FA7B9577"/>
    <w:multiLevelType w:val="singleLevel"/>
    <w:tmpl w:val="FA7B9577"/>
    <w:lvl w:ilvl="0" w:tentative="0">
      <w:start w:val="2"/>
      <w:numFmt w:val="chineseCounting"/>
      <w:suff w:val="nothing"/>
      <w:lvlText w:val="（%1）"/>
      <w:lvlJc w:val="left"/>
      <w:rPr>
        <w:rFonts w:hint="eastAsia"/>
      </w:rPr>
    </w:lvl>
  </w:abstractNum>
  <w:abstractNum w:abstractNumId="10">
    <w:nsid w:val="0E7D0BCA"/>
    <w:multiLevelType w:val="singleLevel"/>
    <w:tmpl w:val="0E7D0BCA"/>
    <w:lvl w:ilvl="0" w:tentative="0">
      <w:start w:val="2"/>
      <w:numFmt w:val="chineseCounting"/>
      <w:suff w:val="nothing"/>
      <w:lvlText w:val="%1、"/>
      <w:lvlJc w:val="left"/>
      <w:rPr>
        <w:rFonts w:hint="eastAsia"/>
      </w:rPr>
    </w:lvl>
  </w:abstractNum>
  <w:abstractNum w:abstractNumId="11">
    <w:nsid w:val="540DC5A7"/>
    <w:multiLevelType w:val="multilevel"/>
    <w:tmpl w:val="540DC5A7"/>
    <w:lvl w:ilvl="0" w:tentative="0">
      <w:start w:val="1"/>
      <w:numFmt w:val="decimal"/>
      <w:lvlText w:val="%1）"/>
      <w:lvlJc w:val="left"/>
      <w:pPr>
        <w:tabs>
          <w:tab w:val="left" w:pos="840"/>
        </w:tabs>
        <w:ind w:left="840" w:hanging="420"/>
      </w:pPr>
      <w:rPr>
        <w:rFonts w:hint="default" w:ascii="宋体" w:hAnsi="宋体" w:eastAsia="宋体" w:cs="宋体"/>
        <w:b w:val="0"/>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787D838A"/>
    <w:multiLevelType w:val="singleLevel"/>
    <w:tmpl w:val="787D838A"/>
    <w:lvl w:ilvl="0" w:tentative="0">
      <w:start w:val="1"/>
      <w:numFmt w:val="decimal"/>
      <w:suff w:val="nothing"/>
      <w:lvlText w:val="（%1）"/>
      <w:lvlJc w:val="left"/>
    </w:lvl>
  </w:abstractNum>
  <w:abstractNum w:abstractNumId="13">
    <w:nsid w:val="7D56A236"/>
    <w:multiLevelType w:val="singleLevel"/>
    <w:tmpl w:val="7D56A236"/>
    <w:lvl w:ilvl="0" w:tentative="0">
      <w:start w:val="1"/>
      <w:numFmt w:val="decimal"/>
      <w:suff w:val="nothing"/>
      <w:lvlText w:val="（%1）"/>
      <w:lvlJc w:val="left"/>
    </w:lvl>
  </w:abstractNum>
  <w:num w:numId="1">
    <w:abstractNumId w:val="3"/>
  </w:num>
  <w:num w:numId="2">
    <w:abstractNumId w:val="6"/>
  </w:num>
  <w:num w:numId="3">
    <w:abstractNumId w:val="11"/>
  </w:num>
  <w:num w:numId="4">
    <w:abstractNumId w:val="13"/>
  </w:num>
  <w:num w:numId="5">
    <w:abstractNumId w:val="4"/>
  </w:num>
  <w:num w:numId="6">
    <w:abstractNumId w:val="2"/>
  </w:num>
  <w:num w:numId="7">
    <w:abstractNumId w:val="7"/>
  </w:num>
  <w:num w:numId="8">
    <w:abstractNumId w:val="8"/>
  </w:num>
  <w:num w:numId="9">
    <w:abstractNumId w:val="0"/>
  </w:num>
  <w:num w:numId="10">
    <w:abstractNumId w:val="12"/>
  </w:num>
  <w:num w:numId="11">
    <w:abstractNumId w:val="5"/>
  </w:num>
  <w:num w:numId="12">
    <w:abstractNumId w:val="1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zZDJmNjQwZWE5YzYxZDc0YTA4Mzk3NDE1MzNlZmEifQ=="/>
  </w:docVars>
  <w:rsids>
    <w:rsidRoot w:val="00373EF4"/>
    <w:rsid w:val="00061999"/>
    <w:rsid w:val="000A017C"/>
    <w:rsid w:val="001161C3"/>
    <w:rsid w:val="001707BD"/>
    <w:rsid w:val="00223077"/>
    <w:rsid w:val="002A13F8"/>
    <w:rsid w:val="00373EF4"/>
    <w:rsid w:val="00381B4E"/>
    <w:rsid w:val="005D1967"/>
    <w:rsid w:val="00636AD0"/>
    <w:rsid w:val="00677B85"/>
    <w:rsid w:val="00733A8E"/>
    <w:rsid w:val="00782F5A"/>
    <w:rsid w:val="007A137F"/>
    <w:rsid w:val="0082513B"/>
    <w:rsid w:val="00A65EC7"/>
    <w:rsid w:val="00CE09C6"/>
    <w:rsid w:val="00E82C41"/>
    <w:rsid w:val="00F907EB"/>
    <w:rsid w:val="00FB5BC7"/>
    <w:rsid w:val="01445565"/>
    <w:rsid w:val="022E50C1"/>
    <w:rsid w:val="02301FCF"/>
    <w:rsid w:val="02497534"/>
    <w:rsid w:val="02C866AB"/>
    <w:rsid w:val="03C74DE5"/>
    <w:rsid w:val="05F66734"/>
    <w:rsid w:val="066C511D"/>
    <w:rsid w:val="07762B7A"/>
    <w:rsid w:val="07EF0236"/>
    <w:rsid w:val="084C7436"/>
    <w:rsid w:val="08B35707"/>
    <w:rsid w:val="09722ECD"/>
    <w:rsid w:val="09BE25B6"/>
    <w:rsid w:val="0A1B1AA5"/>
    <w:rsid w:val="0A6072CB"/>
    <w:rsid w:val="0AA334CE"/>
    <w:rsid w:val="0B7F1730"/>
    <w:rsid w:val="0BB35A1E"/>
    <w:rsid w:val="0C4A63AD"/>
    <w:rsid w:val="0C7B02EA"/>
    <w:rsid w:val="0C9A56A7"/>
    <w:rsid w:val="0D4032E2"/>
    <w:rsid w:val="0D755E43"/>
    <w:rsid w:val="0F6B429F"/>
    <w:rsid w:val="136E6DFB"/>
    <w:rsid w:val="13C133CE"/>
    <w:rsid w:val="141A2ADF"/>
    <w:rsid w:val="152F6D89"/>
    <w:rsid w:val="15FF3021"/>
    <w:rsid w:val="17213A39"/>
    <w:rsid w:val="177F789E"/>
    <w:rsid w:val="17BA5B38"/>
    <w:rsid w:val="17BB0A5C"/>
    <w:rsid w:val="190C6814"/>
    <w:rsid w:val="19526877"/>
    <w:rsid w:val="1A8B64E4"/>
    <w:rsid w:val="1B725DC0"/>
    <w:rsid w:val="1B770AE8"/>
    <w:rsid w:val="1BCD6688"/>
    <w:rsid w:val="1C9F721E"/>
    <w:rsid w:val="1DC35F95"/>
    <w:rsid w:val="1DFC1DE9"/>
    <w:rsid w:val="1ECE4BF1"/>
    <w:rsid w:val="1FBD492E"/>
    <w:rsid w:val="202D76F6"/>
    <w:rsid w:val="209F0569"/>
    <w:rsid w:val="20A21E92"/>
    <w:rsid w:val="21057177"/>
    <w:rsid w:val="23842E89"/>
    <w:rsid w:val="240F3CE2"/>
    <w:rsid w:val="256C5373"/>
    <w:rsid w:val="26FD2518"/>
    <w:rsid w:val="271E423C"/>
    <w:rsid w:val="28317FF6"/>
    <w:rsid w:val="28416434"/>
    <w:rsid w:val="285546FB"/>
    <w:rsid w:val="28D472A8"/>
    <w:rsid w:val="2B0F45C8"/>
    <w:rsid w:val="2BE27F2E"/>
    <w:rsid w:val="2C913E85"/>
    <w:rsid w:val="2CE619CF"/>
    <w:rsid w:val="2D1C121E"/>
    <w:rsid w:val="2D3A0C78"/>
    <w:rsid w:val="2DAC07F4"/>
    <w:rsid w:val="2F4B5643"/>
    <w:rsid w:val="2F4F74F4"/>
    <w:rsid w:val="30693D46"/>
    <w:rsid w:val="307B625B"/>
    <w:rsid w:val="30817D16"/>
    <w:rsid w:val="31AD0696"/>
    <w:rsid w:val="326544D9"/>
    <w:rsid w:val="332D1135"/>
    <w:rsid w:val="35327452"/>
    <w:rsid w:val="35BC17F0"/>
    <w:rsid w:val="361C5DEB"/>
    <w:rsid w:val="362B30EB"/>
    <w:rsid w:val="36E44BCF"/>
    <w:rsid w:val="378105FB"/>
    <w:rsid w:val="37963501"/>
    <w:rsid w:val="37E61084"/>
    <w:rsid w:val="38067072"/>
    <w:rsid w:val="39E135D3"/>
    <w:rsid w:val="3A842686"/>
    <w:rsid w:val="3ADD1FEC"/>
    <w:rsid w:val="3AE80991"/>
    <w:rsid w:val="3B3836C7"/>
    <w:rsid w:val="3C9C1A33"/>
    <w:rsid w:val="3CD1792F"/>
    <w:rsid w:val="3D052337"/>
    <w:rsid w:val="3D512BF7"/>
    <w:rsid w:val="3E1F6693"/>
    <w:rsid w:val="3F6F498B"/>
    <w:rsid w:val="40077B0C"/>
    <w:rsid w:val="406E1929"/>
    <w:rsid w:val="418B1B81"/>
    <w:rsid w:val="41FD4D22"/>
    <w:rsid w:val="42FE6FA4"/>
    <w:rsid w:val="43032877"/>
    <w:rsid w:val="434150E2"/>
    <w:rsid w:val="43F46F10"/>
    <w:rsid w:val="454D4212"/>
    <w:rsid w:val="45A04342"/>
    <w:rsid w:val="4628428D"/>
    <w:rsid w:val="47B10A89"/>
    <w:rsid w:val="48D242DF"/>
    <w:rsid w:val="490034EE"/>
    <w:rsid w:val="493C0826"/>
    <w:rsid w:val="49D106C7"/>
    <w:rsid w:val="4A963F66"/>
    <w:rsid w:val="4A9B332A"/>
    <w:rsid w:val="4BBA3C84"/>
    <w:rsid w:val="4BE07BCE"/>
    <w:rsid w:val="4C343A36"/>
    <w:rsid w:val="4CA30BBC"/>
    <w:rsid w:val="4CC4300C"/>
    <w:rsid w:val="4D895D8E"/>
    <w:rsid w:val="4DF01BDF"/>
    <w:rsid w:val="4E523629"/>
    <w:rsid w:val="4F5543EF"/>
    <w:rsid w:val="513B7615"/>
    <w:rsid w:val="51694A12"/>
    <w:rsid w:val="52067AC5"/>
    <w:rsid w:val="520D7203"/>
    <w:rsid w:val="533C471A"/>
    <w:rsid w:val="538517FB"/>
    <w:rsid w:val="53E71E41"/>
    <w:rsid w:val="545D52E9"/>
    <w:rsid w:val="54E12281"/>
    <w:rsid w:val="55382749"/>
    <w:rsid w:val="567B160F"/>
    <w:rsid w:val="57541431"/>
    <w:rsid w:val="575E405D"/>
    <w:rsid w:val="578C4726"/>
    <w:rsid w:val="5814296E"/>
    <w:rsid w:val="58C12AF6"/>
    <w:rsid w:val="598649EC"/>
    <w:rsid w:val="59C81C62"/>
    <w:rsid w:val="5A7A2F5C"/>
    <w:rsid w:val="5CDE0DE1"/>
    <w:rsid w:val="5D9F0F2C"/>
    <w:rsid w:val="5E5A6889"/>
    <w:rsid w:val="5EFD23AE"/>
    <w:rsid w:val="5F550079"/>
    <w:rsid w:val="5F6A3BB8"/>
    <w:rsid w:val="600314A1"/>
    <w:rsid w:val="60AF7A3C"/>
    <w:rsid w:val="60BB2A35"/>
    <w:rsid w:val="612400C6"/>
    <w:rsid w:val="612B1B6F"/>
    <w:rsid w:val="615D5386"/>
    <w:rsid w:val="61C67626"/>
    <w:rsid w:val="62BB2364"/>
    <w:rsid w:val="653E1551"/>
    <w:rsid w:val="65B37C6A"/>
    <w:rsid w:val="66445377"/>
    <w:rsid w:val="6727621A"/>
    <w:rsid w:val="674C3ED2"/>
    <w:rsid w:val="675608AD"/>
    <w:rsid w:val="68097099"/>
    <w:rsid w:val="692D1AE1"/>
    <w:rsid w:val="6A2353BE"/>
    <w:rsid w:val="6B3C6189"/>
    <w:rsid w:val="6B9876E6"/>
    <w:rsid w:val="6BEF7ADE"/>
    <w:rsid w:val="6CC938CF"/>
    <w:rsid w:val="6D2B4620"/>
    <w:rsid w:val="6EA12D56"/>
    <w:rsid w:val="6F345978"/>
    <w:rsid w:val="71F648EC"/>
    <w:rsid w:val="72A77B27"/>
    <w:rsid w:val="72EE408F"/>
    <w:rsid w:val="731651AB"/>
    <w:rsid w:val="74237B52"/>
    <w:rsid w:val="745F1315"/>
    <w:rsid w:val="750E639B"/>
    <w:rsid w:val="757C3BD5"/>
    <w:rsid w:val="76F33B29"/>
    <w:rsid w:val="771B7FDC"/>
    <w:rsid w:val="794013BD"/>
    <w:rsid w:val="7A054D43"/>
    <w:rsid w:val="7A540C7C"/>
    <w:rsid w:val="7AD80824"/>
    <w:rsid w:val="7ADD5115"/>
    <w:rsid w:val="7B2F5245"/>
    <w:rsid w:val="7E1E7645"/>
    <w:rsid w:val="7ED46C5A"/>
    <w:rsid w:val="7F5D6825"/>
    <w:rsid w:val="7F802513"/>
    <w:rsid w:val="7FEC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iPriority="39" w:semiHidden="0" w:name="toc 3"/>
    <w:lsdException w:uiPriority="0" w:name="toc 4"/>
    <w:lsdException w:uiPriority="0" w:name="toc 5"/>
    <w:lsdException w:qFormat="1" w:unhideWhenUsed="0" w:uiPriority="2"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character" w:default="1" w:styleId="18">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line="312" w:lineRule="auto"/>
      <w:ind w:firstLine="420" w:firstLineChars="200"/>
    </w:pPr>
    <w:rPr>
      <w:sz w:val="22"/>
    </w:rPr>
  </w:style>
  <w:style w:type="paragraph" w:styleId="3">
    <w:name w:val="Body Text Indent"/>
    <w:basedOn w:val="1"/>
    <w:qFormat/>
    <w:uiPriority w:val="0"/>
    <w:pPr>
      <w:spacing w:line="360" w:lineRule="auto"/>
      <w:ind w:firstLine="435"/>
    </w:pPr>
    <w:rPr>
      <w:sz w:val="28"/>
      <w:szCs w:val="24"/>
    </w:rPr>
  </w:style>
  <w:style w:type="paragraph" w:styleId="6">
    <w:name w:val="Body Text First Indent"/>
    <w:basedOn w:val="7"/>
    <w:next w:val="1"/>
    <w:qFormat/>
    <w:uiPriority w:val="0"/>
    <w:pPr>
      <w:ind w:firstLine="420" w:firstLineChars="100"/>
    </w:pPr>
  </w:style>
  <w:style w:type="paragraph" w:styleId="7">
    <w:name w:val="Body Text"/>
    <w:basedOn w:val="1"/>
    <w:next w:val="6"/>
    <w:link w:val="35"/>
    <w:qFormat/>
    <w:uiPriority w:val="0"/>
    <w:pPr>
      <w:spacing w:after="120"/>
    </w:pPr>
  </w:style>
  <w:style w:type="paragraph" w:styleId="8">
    <w:name w:val="Normal Indent"/>
    <w:basedOn w:val="1"/>
    <w:qFormat/>
    <w:uiPriority w:val="0"/>
    <w:pPr>
      <w:ind w:firstLine="420" w:firstLineChars="200"/>
    </w:pPr>
  </w:style>
  <w:style w:type="paragraph" w:styleId="9">
    <w:name w:val="annotation text"/>
    <w:basedOn w:val="1"/>
    <w:qFormat/>
    <w:uiPriority w:val="99"/>
    <w:pPr>
      <w:jc w:val="left"/>
    </w:pPr>
  </w:style>
  <w:style w:type="paragraph" w:styleId="10">
    <w:name w:val="toc 3"/>
    <w:basedOn w:val="1"/>
    <w:next w:val="1"/>
    <w:unhideWhenUsed/>
    <w:qFormat/>
    <w:uiPriority w:val="39"/>
    <w:pPr>
      <w:ind w:left="840" w:leftChars="400"/>
    </w:pPr>
    <w:rPr>
      <w:rFonts w:ascii="Times New Roman" w:hAnsi="Times New Roman" w:cs="Times New Roman"/>
      <w:szCs w:val="24"/>
    </w:rPr>
  </w:style>
  <w:style w:type="paragraph" w:styleId="11">
    <w:name w:val="Plain Text"/>
    <w:basedOn w:val="1"/>
    <w:next w:val="8"/>
    <w:qFormat/>
    <w:uiPriority w:val="0"/>
    <w:rPr>
      <w:rFonts w:ascii="宋体" w:hAnsi="Courier New"/>
    </w:rPr>
  </w:style>
  <w:style w:type="paragraph" w:styleId="12">
    <w:name w:val="Balloon Text"/>
    <w:basedOn w:val="1"/>
    <w:link w:val="34"/>
    <w:qFormat/>
    <w:uiPriority w:val="0"/>
    <w:rPr>
      <w:sz w:val="18"/>
      <w:szCs w:val="18"/>
    </w:rPr>
  </w:style>
  <w:style w:type="paragraph" w:styleId="13">
    <w:name w:val="footer"/>
    <w:basedOn w:val="1"/>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spacing w:line="720" w:lineRule="auto"/>
    </w:pPr>
    <w:rPr>
      <w:sz w:val="28"/>
    </w:rPr>
  </w:style>
  <w:style w:type="paragraph" w:styleId="16">
    <w:name w:val="toc 6"/>
    <w:basedOn w:val="1"/>
    <w:next w:val="1"/>
    <w:qFormat/>
    <w:uiPriority w:val="2"/>
    <w:pPr>
      <w:ind w:left="140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列出段落1"/>
    <w:basedOn w:val="1"/>
    <w:qFormat/>
    <w:uiPriority w:val="0"/>
    <w:pPr>
      <w:ind w:firstLine="420" w:firstLineChars="200"/>
    </w:pPr>
  </w:style>
  <w:style w:type="paragraph" w:styleId="24">
    <w:name w:val="List Paragraph"/>
    <w:basedOn w:val="1"/>
    <w:qFormat/>
    <w:uiPriority w:val="0"/>
  </w:style>
  <w:style w:type="paragraph" w:customStyle="1" w:styleId="25">
    <w:name w:val="正文_0_1"/>
    <w:qFormat/>
    <w:uiPriority w:val="1"/>
    <w:pPr>
      <w:jc w:val="both"/>
    </w:pPr>
    <w:rPr>
      <w:rFonts w:ascii="Times New Roman" w:hAnsi="Times New Roman" w:eastAsia="宋体" w:cs="Times New Roman"/>
      <w:sz w:val="21"/>
      <w:szCs w:val="21"/>
      <w:lang w:val="en-US" w:eastAsia="zh-CN" w:bidi="ar-SA"/>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 w:type="paragraph" w:customStyle="1" w:styleId="27">
    <w:name w:val="正文2"/>
    <w:basedOn w:val="1"/>
    <w:qFormat/>
    <w:uiPriority w:val="0"/>
    <w:pPr>
      <w:spacing w:before="156" w:line="360" w:lineRule="auto"/>
      <w:ind w:firstLine="510" w:firstLineChars="200"/>
    </w:pPr>
    <w:rPr>
      <w:sz w:val="24"/>
      <w:szCs w:val="20"/>
    </w:rPr>
  </w:style>
  <w:style w:type="character" w:customStyle="1" w:styleId="28">
    <w:name w:val="large1"/>
    <w:qFormat/>
    <w:uiPriority w:val="0"/>
    <w:rPr>
      <w:rFonts w:hint="eastAsia" w:ascii="宋体" w:hAnsi="宋体" w:eastAsia="宋体"/>
      <w:sz w:val="21"/>
      <w:szCs w:val="21"/>
    </w:rPr>
  </w:style>
  <w:style w:type="paragraph" w:customStyle="1" w:styleId="29">
    <w:name w:val="首行缩进"/>
    <w:basedOn w:val="1"/>
    <w:qFormat/>
    <w:uiPriority w:val="0"/>
    <w:pPr>
      <w:spacing w:line="360" w:lineRule="auto"/>
      <w:ind w:firstLine="480" w:firstLineChars="200"/>
    </w:pPr>
    <w:rPr>
      <w:rFonts w:hAnsi="宋体" w:cs="宋体"/>
      <w:sz w:val="24"/>
    </w:rPr>
  </w:style>
  <w:style w:type="paragraph" w:styleId="3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Body Text First Indent1"/>
    <w:basedOn w:val="7"/>
    <w:next w:val="1"/>
    <w:qFormat/>
    <w:uiPriority w:val="0"/>
    <w:pPr>
      <w:adjustRightInd w:val="0"/>
      <w:spacing w:line="360" w:lineRule="auto"/>
      <w:ind w:firstLine="420"/>
      <w:textAlignment w:val="baseline"/>
    </w:pPr>
    <w:rPr>
      <w:rFonts w:eastAsia="楷体_GB2312"/>
      <w:sz w:val="24"/>
    </w:rPr>
  </w:style>
  <w:style w:type="character" w:customStyle="1" w:styleId="32">
    <w:name w:val="font11"/>
    <w:basedOn w:val="18"/>
    <w:qFormat/>
    <w:uiPriority w:val="0"/>
    <w:rPr>
      <w:rFonts w:hint="eastAsia" w:ascii="宋体" w:hAnsi="宋体" w:eastAsia="宋体" w:cs="宋体"/>
      <w:color w:val="000000"/>
      <w:sz w:val="21"/>
      <w:szCs w:val="21"/>
      <w:u w:val="none"/>
    </w:rPr>
  </w:style>
  <w:style w:type="paragraph" w:customStyle="1" w:styleId="33">
    <w:name w:val="TOC 标题2"/>
    <w:basedOn w:val="4"/>
    <w:next w:val="1"/>
    <w:unhideWhenUsed/>
    <w:qFormat/>
    <w:uiPriority w:val="39"/>
    <w:pPr>
      <w:widowControl/>
      <w:spacing w:before="480" w:line="276" w:lineRule="auto"/>
      <w:jc w:val="left"/>
      <w:outlineLvl w:val="9"/>
    </w:pPr>
    <w:rPr>
      <w:rFonts w:ascii="Cambria" w:hAnsi="Cambria"/>
      <w:color w:val="366091"/>
      <w:kern w:val="0"/>
      <w:sz w:val="28"/>
      <w:szCs w:val="28"/>
    </w:rPr>
  </w:style>
  <w:style w:type="character" w:customStyle="1" w:styleId="34">
    <w:name w:val="批注框文本 Char"/>
    <w:basedOn w:val="18"/>
    <w:link w:val="12"/>
    <w:qFormat/>
    <w:uiPriority w:val="0"/>
    <w:rPr>
      <w:rFonts w:ascii="Calibri" w:hAnsi="Calibri"/>
      <w:kern w:val="2"/>
      <w:sz w:val="18"/>
      <w:szCs w:val="18"/>
    </w:rPr>
  </w:style>
  <w:style w:type="character" w:customStyle="1" w:styleId="35">
    <w:name w:val="正文文本 Char"/>
    <w:basedOn w:val="18"/>
    <w:link w:val="7"/>
    <w:qFormat/>
    <w:uiPriority w:val="99"/>
    <w:rPr>
      <w:rFonts w:ascii="Calibri" w:hAnsi="Calibri"/>
      <w:kern w:val="2"/>
      <w:sz w:val="21"/>
      <w:szCs w:val="22"/>
    </w:rPr>
  </w:style>
  <w:style w:type="paragraph" w:customStyle="1" w:styleId="36">
    <w:name w:val="BodyText1I2"/>
    <w:next w:val="1"/>
    <w:qFormat/>
    <w:uiPriority w:val="0"/>
    <w:pPr>
      <w:widowControl w:val="0"/>
      <w:tabs>
        <w:tab w:val="left" w:pos="435"/>
      </w:tabs>
      <w:spacing w:after="120" w:line="360" w:lineRule="auto"/>
      <w:ind w:left="420" w:leftChars="200" w:firstLine="420" w:firstLineChars="200"/>
      <w:jc w:val="both"/>
      <w:textAlignment w:val="baseline"/>
    </w:pPr>
    <w:rPr>
      <w:rFonts w:ascii="宋体" w:hAnsi="宋体" w:eastAsia="宋体" w:cs="Times New Roman"/>
      <w:kern w:val="2"/>
      <w:sz w:val="28"/>
      <w:szCs w:val="22"/>
      <w:lang w:val="en-US" w:eastAsia="zh-CN" w:bidi="ar-SA"/>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71</Pages>
  <Words>20446</Words>
  <Characters>21790</Characters>
  <Lines>307</Lines>
  <Paragraphs>86</Paragraphs>
  <TotalTime>12</TotalTime>
  <ScaleCrop>false</ScaleCrop>
  <LinksUpToDate>false</LinksUpToDate>
  <CharactersWithSpaces>22012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2024-01-05T01:57:00Z</dcterms:created>
  <dc:creator>Administrator</dc:creator>
  <cp:lastModifiedBy>Administrator</cp:lastModifiedBy>
  <cp:lastPrinted>2024-11-11T05:43:00Z</cp:lastPrinted>
  <dcterms:modified xsi:type="dcterms:W3CDTF">2024-11-12T00:59:24Z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E79621C9732445218D6BA11B2727C2B3_13</vt:lpwstr>
  </property>
</Properties>
</file>