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版本号：241114002</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成都市新津区2024年高素质农民培育工作</w:t>
      </w:r>
    </w:p>
    <w:p>
      <w:pPr>
        <w:pStyle w:val="null3"/>
        <w:jc w:val="center"/>
        <w:outlineLvl w:val="2"/>
      </w:pPr>
      <w:r>
        <w:rPr>
          <w:b/>
          <w:sz w:val="28"/>
        </w:rPr>
        <w:t>采购项目编号：</w:t>
      </w:r>
      <w:r>
        <w:rPr>
          <w:b/>
          <w:sz w:val="28"/>
        </w:rPr>
        <w:t>N5101182024000237</w:t>
      </w:r>
    </w:p>
    <w:p>
      <w:pPr>
        <w:pStyle w:val="null3"/>
        <w:jc w:val="left"/>
        <w:outlineLvl w:val="2"/>
      </w:pPr>
      <w:r>
        <w:rPr>
          <w:b/>
          <w:sz w:val="28"/>
        </w:rPr>
        <w:t>成都市新津区农业农村局</w:t>
      </w:r>
    </w:p>
    <w:p>
      <w:pPr>
        <w:pStyle w:val="null3"/>
        <w:jc w:val="center"/>
        <w:outlineLvl w:val="2"/>
      </w:pPr>
      <w:r>
        <w:rPr>
          <w:b/>
          <w:sz w:val="28"/>
        </w:rPr>
        <w:t>四川深德工程项目管理咨询有限公司</w:t>
      </w:r>
      <w:r>
        <w:rPr>
          <w:b/>
          <w:sz w:val="28"/>
        </w:rPr>
        <w:t>共同编制</w:t>
      </w:r>
    </w:p>
    <w:p>
      <w:pPr>
        <w:pStyle w:val="null3"/>
        <w:jc w:val="center"/>
      </w:pPr>
      <w:r>
        <w:rPr/>
        <w:t>2024年11月14日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四川深德工程项目管理咨询有限公司</w:t>
      </w:r>
      <w:r>
        <w:rPr/>
        <w:t xml:space="preserve"> （以下简称“代理机构”）受 </w:t>
      </w:r>
      <w:r>
        <w:rPr/>
        <w:t>成都市新津区农业农村局</w:t>
      </w:r>
      <w:r>
        <w:rPr/>
        <w:t xml:space="preserve"> 委托，拟对 </w:t>
      </w:r>
      <w:r>
        <w:rPr/>
        <w:t>成都市新津区2024年高素质农民培育工作</w:t>
      </w:r>
      <w:r>
        <w:rPr/>
        <w:t xml:space="preserve"> 采用竞争性磋商采购方式进行采购，兹邀请符合资格条件的供应商参加磋商，本项目为四川省</w:t>
      </w:r>
      <w:r>
        <w:rPr/>
        <w:t>成都市新津区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N5101182024000237</w:t>
      </w:r>
    </w:p>
    <w:p>
      <w:pPr>
        <w:pStyle w:val="null3"/>
        <w:jc w:val="left"/>
        <w:outlineLvl w:val="2"/>
      </w:pPr>
      <w:r>
        <w:rPr>
          <w:b/>
          <w:sz w:val="28"/>
        </w:rPr>
        <w:t>1.2.采购项目名称</w:t>
      </w:r>
      <w:r>
        <w:rPr>
          <w:b/>
          <w:sz w:val="28"/>
        </w:rPr>
        <w:t xml:space="preserve">： </w:t>
      </w:r>
      <w:r>
        <w:rPr>
          <w:b/>
          <w:sz w:val="28"/>
        </w:rPr>
        <w:t>成都市新津区2024年高素质农民培育工作</w:t>
      </w:r>
    </w:p>
    <w:p>
      <w:pPr>
        <w:pStyle w:val="null3"/>
        <w:jc w:val="left"/>
        <w:outlineLvl w:val="2"/>
      </w:pPr>
      <w:r>
        <w:rPr>
          <w:b/>
          <w:sz w:val="28"/>
        </w:rPr>
        <w:t>1.3.磋商项目简介</w:t>
      </w:r>
    </w:p>
    <w:p>
      <w:pPr>
        <w:pStyle w:val="null3"/>
        <w:ind w:firstLine="480"/>
        <w:jc w:val="left"/>
      </w:pPr>
      <w:r>
        <w:rPr/>
        <w:t>本项目为成都市新津区2024年高素质农民培育工作。按照新时代更高水平“天府粮仓”建设对强化乡村人才支撑的要求，坚持需求导向、产业主线、分层实施、全程培育，坚持生产技术技能、产业发展能力、农民素质素养协同提升，为全面推进乡村振兴和构建粮经统筹、农牧并重、种养循环的现代农业体系提供坚实人才保障，开展经营管理型培训160人，专业生产型培训46人。</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若为民办机构：应提供人力资源和社会保障行政部门或教育部门或其他行政主管部门颁发的办学许可证；供应商若为事业单位：应提供政府相关部门出具的证明其类别为非公益一类单位相关证明材料及事业单位法人证书。（描述：供应商若为民办机构：应提供人力资源和社会保障行政部门或教育部门或其他行政主管部门颁发的办学许可证；供应商若为事业单位：应提供政府相关部门出具的证明其类别为非公益一类单位相关证明材料及事业单位法人证书。（提供复印件并加盖供应商公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成都市新津区农业农村局</w:t>
      </w:r>
    </w:p>
    <w:p>
      <w:pPr>
        <w:pStyle w:val="null3"/>
        <w:ind w:firstLine="480"/>
        <w:jc w:val="left"/>
      </w:pPr>
      <w:r>
        <w:rPr/>
        <w:t xml:space="preserve"> 地址： </w:t>
      </w:r>
      <w:r>
        <w:rPr/>
        <w:t>四川省成都市新津区五津北路16号</w:t>
      </w:r>
    </w:p>
    <w:p>
      <w:pPr>
        <w:pStyle w:val="null3"/>
        <w:jc w:val="left"/>
      </w:pPr>
      <w:r>
        <w:rPr/>
        <w:t xml:space="preserve"> 邮编： </w:t>
      </w:r>
      <w:r>
        <w:rPr/>
        <w:t>611430</w:t>
      </w:r>
    </w:p>
    <w:p>
      <w:pPr>
        <w:pStyle w:val="null3"/>
        <w:jc w:val="left"/>
      </w:pPr>
      <w:r>
        <w:rPr/>
        <w:t xml:space="preserve"> 联系人： </w:t>
      </w:r>
      <w:r>
        <w:rPr/>
        <w:t>郑老师</w:t>
      </w:r>
    </w:p>
    <w:p>
      <w:pPr>
        <w:pStyle w:val="null3"/>
        <w:jc w:val="left"/>
      </w:pPr>
      <w:r>
        <w:rPr/>
        <w:t xml:space="preserve"> 联系电话： </w:t>
      </w:r>
      <w:r>
        <w:rPr/>
        <w:t>028-82516563</w:t>
      </w:r>
    </w:p>
    <w:p>
      <w:pPr>
        <w:pStyle w:val="null3"/>
        <w:ind w:firstLine="480"/>
        <w:jc w:val="left"/>
        <w:outlineLvl w:val="3"/>
      </w:pPr>
      <w:r>
        <w:rPr>
          <w:b/>
          <w:sz w:val="24"/>
        </w:rPr>
        <w:t>代理机构</w:t>
      </w:r>
      <w:r>
        <w:rPr>
          <w:b/>
          <w:sz w:val="24"/>
        </w:rPr>
        <w:t xml:space="preserve">： </w:t>
      </w:r>
      <w:r>
        <w:rPr>
          <w:b/>
          <w:sz w:val="24"/>
        </w:rPr>
        <w:t>四川深德工程项目管理咨询有限公司</w:t>
      </w:r>
    </w:p>
    <w:p>
      <w:pPr>
        <w:pStyle w:val="null3"/>
        <w:ind w:firstLine="480"/>
        <w:jc w:val="left"/>
      </w:pPr>
      <w:r>
        <w:rPr/>
        <w:t xml:space="preserve"> 地址： </w:t>
      </w:r>
      <w:r>
        <w:rPr/>
        <w:t>四川省成都市新津区五津街道兴园3路5号4层409号</w:t>
      </w:r>
    </w:p>
    <w:p>
      <w:pPr>
        <w:pStyle w:val="null3"/>
        <w:jc w:val="left"/>
      </w:pPr>
      <w:r>
        <w:rPr/>
        <w:t xml:space="preserve"> 邮编： </w:t>
      </w:r>
      <w:r>
        <w:rPr/>
        <w:t>611430</w:t>
      </w:r>
    </w:p>
    <w:p>
      <w:pPr>
        <w:pStyle w:val="null3"/>
        <w:jc w:val="left"/>
      </w:pPr>
      <w:r>
        <w:rPr/>
        <w:t xml:space="preserve"> 联系人： </w:t>
      </w:r>
      <w:r>
        <w:rPr/>
        <w:t>徐女士</w:t>
      </w:r>
    </w:p>
    <w:p>
      <w:pPr>
        <w:pStyle w:val="null3"/>
        <w:jc w:val="left"/>
      </w:pPr>
      <w:r>
        <w:rPr/>
        <w:t xml:space="preserve"> 联系电话： </w:t>
      </w:r>
      <w:r>
        <w:rPr/>
        <w:t>18884895665</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采购包1：366,000.00元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按照成本加合理利润的原则，定额收取代理服务费，由中标（成交）供应商向代理机构缴纳采购代理服务费。本项目采购代理服务费5400元。收款单位：四川深德工程项目管理咨询有限公司；开户行：中国民生银行股份有限公司新津支行；银行账号：634352874；联系电话：18884687377。</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成都市新津区农业农村局</w:t>
      </w:r>
      <w:r>
        <w:rPr/>
        <w:t xml:space="preserve"> 和 </w:t>
      </w:r>
      <w:r>
        <w:rPr/>
        <w:t>四川深德工程项目管理咨询有限公司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成都市新津区农业农村局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四川深德工程项目管理咨询有限公司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供应商提出验收申请之日起7日内进行验收</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按照本项目的技术服务要求、中标（成交）供应商的响应文件及承诺进行验收。</w:t>
      </w:r>
    </w:p>
    <w:p>
      <w:pPr>
        <w:pStyle w:val="null3"/>
        <w:ind w:firstLine="480"/>
        <w:jc w:val="left"/>
      </w:pPr>
      <w:r>
        <w:rPr/>
        <w:t>十、商务履约验收内容：</w:t>
      </w:r>
    </w:p>
    <w:p>
      <w:pPr>
        <w:pStyle w:val="null3"/>
        <w:ind w:firstLine="480"/>
        <w:jc w:val="left"/>
      </w:pPr>
      <w:r>
        <w:rPr/>
        <w:t>采购包1：</w:t>
      </w:r>
      <w:r>
        <w:rPr/>
        <w:t>按照本项目的商务要求、中标（成交）供应商的响应文件及承诺进行验收。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及《政府采购需求管理办法》（财库〔2021〕22号）要求、采购文件要求、成交供应商的响应文件及承诺、签订的合同以及验收所必须具备的其他材料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成都市新津区农业农村局</w:t>
      </w:r>
      <w:r>
        <w:rPr/>
        <w:t xml:space="preserve"> 负责答复；供应商对除采购需求外的磋商文件的询问、质疑由 </w:t>
      </w:r>
      <w:r>
        <w:rPr/>
        <w:t>四川深德工程项目管理咨询有限公司</w:t>
      </w:r>
      <w:r>
        <w:rPr/>
        <w:t xml:space="preserve"> 负责答复；供应商对采购过程、采购结果的询问、质疑由 </w:t>
      </w:r>
      <w:r>
        <w:rPr/>
        <w:t>四川深德工程项目管理咨询有限公司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联系人：徐女士</w:t>
      </w:r>
    </w:p>
    <w:p>
      <w:pPr>
        <w:pStyle w:val="null3"/>
        <w:jc w:val="left"/>
      </w:pPr>
      <w:r>
        <w:rPr/>
        <w:t>联系电话：18884895665</w:t>
      </w:r>
    </w:p>
    <w:p>
      <w:pPr>
        <w:pStyle w:val="null3"/>
        <w:jc w:val="left"/>
      </w:pPr>
      <w:r>
        <w:rPr/>
        <w:t>地址：四川省成都市新津区五津街道兴园3路5号4层409号</w:t>
      </w:r>
    </w:p>
    <w:p>
      <w:pPr>
        <w:pStyle w:val="null3"/>
        <w:jc w:val="left"/>
      </w:pPr>
      <w:r>
        <w:rPr/>
        <w:t>邮编：611430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366,000.00</w:t>
      </w:r>
    </w:p>
    <w:p>
      <w:pPr>
        <w:pStyle w:val="null3"/>
        <w:jc w:val="left"/>
      </w:pPr>
      <w:r>
        <w:rPr/>
        <w:t>采购包最高限价（元）: 366,000.00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培训服务</w:t>
            </w:r>
          </w:p>
        </w:tc>
        <w:tc>
          <w:tcPr>
            <w:tcW w:type="dxa" w:w="821"/>
          </w:tcPr>
          <w:p>
            <w:pPr>
              <w:pStyle w:val="null3"/>
              <w:jc w:val="left"/>
            </w:pPr>
            <w:r>
              <w:rPr/>
              <w:t>成都市新津区2024年高素质农民培育工作</w:t>
            </w:r>
          </w:p>
        </w:tc>
        <w:tc>
          <w:tcPr>
            <w:tcW w:type="dxa" w:w="821"/>
          </w:tcPr>
          <w:p>
            <w:pPr>
              <w:pStyle w:val="null3"/>
              <w:jc w:val="right"/>
            </w:pPr>
            <w:r>
              <w:rPr/>
              <w:t>1.00（项）</w:t>
            </w:r>
          </w:p>
        </w:tc>
        <w:tc>
          <w:tcPr>
            <w:tcW w:type="dxa" w:w="821"/>
          </w:tcPr>
          <w:p>
            <w:pPr>
              <w:pStyle w:val="null3"/>
              <w:jc w:val="right"/>
            </w:pPr>
            <w:r>
              <w:rPr/>
              <w:t>366,000.00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成都市新津区2024年高素质农民培育工作</w:t>
            </w:r>
          </w:p>
        </w:tc>
        <w:tc>
          <w:tcPr>
            <w:tcW w:type="dxa" w:w="977"/>
          </w:tcPr>
          <w:p>
            <w:pPr>
              <w:pStyle w:val="null3"/>
              <w:jc w:val="right"/>
            </w:pPr>
            <w:r>
              <w:rPr/>
              <w:t>1.00（项）</w:t>
            </w:r>
          </w:p>
        </w:tc>
        <w:tc>
          <w:tcPr>
            <w:tcW w:type="dxa" w:w="1173"/>
          </w:tcPr>
          <w:p>
            <w:pPr>
              <w:pStyle w:val="null3"/>
              <w:jc w:val="right"/>
            </w:pPr>
            <w:r>
              <w:rPr/>
              <w:t>366,000（元）</w:t>
            </w:r>
          </w:p>
        </w:tc>
        <w:tc>
          <w:tcPr>
            <w:tcW w:type="dxa" w:w="1173"/>
          </w:tcPr>
          <w:p>
            <w:pPr>
              <w:pStyle w:val="null3"/>
              <w:jc w:val="right"/>
            </w:pPr>
            <w:r>
              <w:rPr/>
              <w:t>366,000.00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标的名称：成都市新津区2024年高素质农民培育工作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ind w:firstLine="482"/>
              <w:jc w:val="both"/>
            </w:pPr>
            <w:r>
              <w:rPr>
                <w:rFonts w:ascii="simsun" w:hAnsi="simsun" w:cs="simsun" w:eastAsia="simsun"/>
                <w:b/>
                <w:sz w:val="21"/>
              </w:rPr>
              <w:t>一、项目概况</w:t>
            </w:r>
          </w:p>
          <w:p>
            <w:pPr>
              <w:pStyle w:val="null3"/>
              <w:ind w:firstLine="480"/>
              <w:jc w:val="both"/>
            </w:pPr>
            <w:r>
              <w:rPr>
                <w:rFonts w:ascii="simsun" w:hAnsi="simsun" w:cs="simsun" w:eastAsia="simsun"/>
                <w:sz w:val="21"/>
              </w:rPr>
              <w:t>1、本项目为成都市新津区2024年高素质农民培育工作。按照新时代更高水平“天府粮仓”建设对强化乡村人才支撑的要求，坚持需求导向、产业主线、分层实施、全程培育，坚持生产技术技能、产业发展能力、农民素质素养协同提升，为全面推进乡村振兴和构建粮经统筹、农牧并重、种养循环的现代农业体系提供坚实人才保障，开展经营管理型培训160人，专业生产型培训46人。</w:t>
            </w:r>
          </w:p>
          <w:p>
            <w:pPr>
              <w:pStyle w:val="null3"/>
              <w:ind w:firstLine="480"/>
              <w:jc w:val="both"/>
            </w:pPr>
            <w:r>
              <w:rPr>
                <w:rFonts w:ascii="simsun" w:hAnsi="simsun" w:cs="simsun" w:eastAsia="simsun"/>
                <w:sz w:val="21"/>
              </w:rPr>
              <w:t>2、本项目采用固定报价，经营管理型高素质农民培训补助标准为2000元/人，专业生产型培训补助标准为1000元/人，报价包含培训的相关支出，即课堂教学、实习实训、线上学习、现场观摩、交流实践、信息宣传、统计监测、资料、学员食宿，交通、后续服务等费用。</w:t>
            </w:r>
          </w:p>
          <w:p>
            <w:pPr>
              <w:pStyle w:val="null3"/>
              <w:ind w:firstLine="482"/>
              <w:jc w:val="both"/>
            </w:pPr>
            <w:r>
              <w:rPr>
                <w:rFonts w:ascii="simsun" w:hAnsi="simsun" w:cs="simsun" w:eastAsia="simsun"/>
                <w:b/>
                <w:sz w:val="21"/>
              </w:rPr>
              <w:t>二、</w:t>
            </w:r>
            <w:r>
              <w:rPr>
                <w:rFonts w:ascii="simsun" w:hAnsi="simsun" w:cs="simsun" w:eastAsia="simsun"/>
                <w:b/>
                <w:sz w:val="21"/>
              </w:rPr>
              <w:t>服务</w:t>
            </w:r>
            <w:r>
              <w:rPr>
                <w:rFonts w:ascii="simsun" w:hAnsi="simsun" w:cs="simsun" w:eastAsia="simsun"/>
                <w:b/>
                <w:sz w:val="21"/>
              </w:rPr>
              <w:t>内容及</w:t>
            </w:r>
            <w:r>
              <w:rPr>
                <w:rFonts w:ascii="simsun" w:hAnsi="simsun" w:cs="simsun" w:eastAsia="simsun"/>
                <w:b/>
                <w:sz w:val="21"/>
              </w:rPr>
              <w:t>要求</w:t>
            </w:r>
          </w:p>
          <w:p>
            <w:pPr>
              <w:pStyle w:val="null3"/>
              <w:ind w:firstLine="482"/>
              <w:jc w:val="both"/>
            </w:pPr>
            <w:r>
              <w:rPr>
                <w:rFonts w:ascii="simsun" w:hAnsi="simsun" w:cs="simsun" w:eastAsia="simsun"/>
                <w:b/>
                <w:sz w:val="21"/>
              </w:rPr>
              <w:t>（</w:t>
            </w:r>
            <w:r>
              <w:rPr>
                <w:rFonts w:ascii="simsun" w:hAnsi="simsun" w:cs="simsun" w:eastAsia="simsun"/>
                <w:b/>
                <w:sz w:val="21"/>
              </w:rPr>
              <w:t>一</w:t>
            </w:r>
            <w:r>
              <w:rPr>
                <w:rFonts w:ascii="simsun" w:hAnsi="simsun" w:cs="simsun" w:eastAsia="simsun"/>
                <w:b/>
                <w:sz w:val="21"/>
              </w:rPr>
              <w:t>）</w:t>
            </w:r>
            <w:r>
              <w:rPr>
                <w:rFonts w:ascii="simsun" w:hAnsi="simsun" w:cs="simsun" w:eastAsia="simsun"/>
                <w:b/>
                <w:sz w:val="21"/>
              </w:rPr>
              <w:t>服务内容</w:t>
            </w:r>
          </w:p>
          <w:p>
            <w:pPr>
              <w:pStyle w:val="null3"/>
              <w:ind w:firstLine="480"/>
              <w:jc w:val="both"/>
            </w:pPr>
            <w:r>
              <w:rPr>
                <w:rFonts w:ascii="simsun" w:hAnsi="simsun" w:cs="simsun" w:eastAsia="simsun"/>
                <w:sz w:val="21"/>
              </w:rPr>
              <w:t>1、</w:t>
            </w:r>
            <w:r>
              <w:rPr>
                <w:rFonts w:ascii="simsun" w:hAnsi="simsun" w:cs="simsun" w:eastAsia="simsun"/>
                <w:sz w:val="21"/>
              </w:rPr>
              <w:t>培训</w:t>
            </w:r>
            <w:r>
              <w:rPr>
                <w:rFonts w:ascii="simsun" w:hAnsi="simsun" w:cs="simsun" w:eastAsia="simsun"/>
                <w:sz w:val="21"/>
              </w:rPr>
              <w:t>人数：</w:t>
            </w:r>
            <w:r>
              <w:rPr>
                <w:rFonts w:ascii="simsun" w:hAnsi="simsun" w:cs="simsun" w:eastAsia="simsun"/>
                <w:sz w:val="21"/>
              </w:rPr>
              <w:t>经营管理型高素质农民培训160</w:t>
            </w:r>
            <w:r>
              <w:rPr>
                <w:rFonts w:ascii="simsun" w:hAnsi="simsun" w:cs="simsun" w:eastAsia="simsun"/>
                <w:sz w:val="21"/>
              </w:rPr>
              <w:t>人</w:t>
            </w:r>
            <w:r>
              <w:rPr>
                <w:rFonts w:ascii="simsun" w:hAnsi="simsun" w:cs="simsun" w:eastAsia="simsun"/>
                <w:sz w:val="21"/>
              </w:rPr>
              <w:t>，</w:t>
            </w:r>
            <w:r>
              <w:rPr>
                <w:rFonts w:ascii="simsun" w:hAnsi="simsun" w:cs="simsun" w:eastAsia="simsun"/>
                <w:sz w:val="21"/>
              </w:rPr>
              <w:t>专业生产型培训46人</w:t>
            </w:r>
            <w:r>
              <w:rPr>
                <w:rFonts w:ascii="simsun" w:hAnsi="simsun" w:cs="simsun" w:eastAsia="simsun"/>
                <w:sz w:val="21"/>
              </w:rPr>
              <w:t>；</w:t>
            </w:r>
          </w:p>
          <w:p>
            <w:pPr>
              <w:pStyle w:val="null3"/>
              <w:ind w:firstLine="480"/>
              <w:jc w:val="both"/>
            </w:pPr>
            <w:r>
              <w:rPr>
                <w:rFonts w:ascii="simsun" w:hAnsi="simsun" w:cs="simsun" w:eastAsia="simsun"/>
                <w:sz w:val="21"/>
              </w:rPr>
              <w:t>2、培训对象：种养大户、家庭农场主、农民合作社带头人、社会化服务专业人员、返乡创业创新人员、农村集体经济组织负责人等，分层分类实施培育。培育对象中，普通农户不得低于40%。</w:t>
            </w:r>
          </w:p>
          <w:p>
            <w:pPr>
              <w:pStyle w:val="null3"/>
              <w:ind w:firstLine="480"/>
              <w:jc w:val="both"/>
            </w:pPr>
            <w:r>
              <w:rPr>
                <w:rFonts w:ascii="simsun" w:hAnsi="simsun" w:cs="simsun" w:eastAsia="simsun"/>
                <w:sz w:val="21"/>
              </w:rPr>
              <w:t>3、培训要求：</w:t>
            </w:r>
          </w:p>
          <w:p>
            <w:pPr>
              <w:pStyle w:val="null3"/>
              <w:ind w:firstLine="480"/>
              <w:jc w:val="both"/>
            </w:pPr>
            <w:r>
              <w:rPr>
                <w:rFonts w:ascii="simsun" w:hAnsi="simsun" w:cs="simsun" w:eastAsia="simsun"/>
                <w:sz w:val="21"/>
              </w:rPr>
              <w:t>（1）提升技术技能水平：</w:t>
            </w:r>
            <w:r>
              <w:rPr>
                <w:rFonts w:ascii="simsun" w:hAnsi="simsun" w:cs="simsun" w:eastAsia="simsun"/>
                <w:sz w:val="21"/>
              </w:rPr>
              <w:t>结合《四川省粮油等主要作物大面积单产提升行动实施方案（2023-2030年）》，聚焦玉米、小麦、大豆、油菜等主要粮油作物大面积单产提升，针对不同区域、品种和技术需求合理设置培训内容，开展全产业链或单项关键技术培训，分品种组班、分技术授课、分阶段培训，推进“五良”融合。落实大食物观，助力设施农业、智慧农业发展，根据设施种植标准化园区、畜禽水产标准化养殖场、智慧农场等从业技能需求开展技术培训。强化绿色低碳、种养结合等生态循环农业技术模式落地应用，提升农业全产业链质量效益。加大农机领域培训力度，提升农机专业服务能力。及时开展增产提质、农业防灾减灾救灾技术措施及相关设施装备应用培训，做好专业师资课程储备。</w:t>
            </w:r>
          </w:p>
          <w:p>
            <w:pPr>
              <w:pStyle w:val="null3"/>
              <w:ind w:firstLine="480"/>
              <w:jc w:val="both"/>
            </w:pPr>
            <w:r>
              <w:rPr>
                <w:rFonts w:ascii="simsun" w:hAnsi="simsun" w:cs="simsun" w:eastAsia="simsun"/>
                <w:sz w:val="21"/>
              </w:rPr>
              <w:t>（2）提升产业发展能力：围绕经营管理、绿色发展、品牌创建、市场营销、风险防控等内容开展系统化培训，提升产业发展水平和带动能力。围绕促进农村一二三产业融合、乡村特色产业发展、农产品加工业优化升级、农村流通高质量发展等，分类开展系统培育，开展电商、直播等技能培训，开设农产品产地仓储保鲜实用技术和冷链物流运营管理等相关课程，拓宽农民增收渠道。</w:t>
            </w:r>
          </w:p>
          <w:p>
            <w:pPr>
              <w:pStyle w:val="null3"/>
              <w:ind w:firstLine="480"/>
              <w:jc w:val="both"/>
            </w:pPr>
            <w:r>
              <w:rPr>
                <w:rFonts w:ascii="simsun" w:hAnsi="simsun" w:cs="simsun" w:eastAsia="simsun"/>
                <w:sz w:val="21"/>
              </w:rPr>
              <w:t>（3）提升农民素质素养：培训内容突出习近平新时代中国特色社会主义思想、社会主义核心价值观，</w:t>
            </w:r>
            <w:r>
              <w:rPr>
                <w:rFonts w:ascii="simsun" w:hAnsi="simsun" w:cs="simsun" w:eastAsia="simsun"/>
                <w:sz w:val="21"/>
              </w:rPr>
              <w:t>教育引导农民听党话、感党恩、跟党走。普及三农相关政策、涉农法律法规、农业绿色发展、农业标准化、农产品质量安全、耕地保护建设、农业金融保险、乡村治理、农耕文化、农村移风易俗等领域知识、理念和倡导性要求，提升农民精神面貌，全面提升农民综合素质。鼓励高素质农民参与科普活动。</w:t>
            </w:r>
          </w:p>
          <w:p>
            <w:pPr>
              <w:pStyle w:val="null3"/>
              <w:ind w:firstLine="480"/>
              <w:jc w:val="both"/>
            </w:pPr>
            <w:r>
              <w:rPr>
                <w:rFonts w:ascii="simsun" w:hAnsi="simsun" w:cs="simsun" w:eastAsia="simsun"/>
                <w:sz w:val="21"/>
              </w:rPr>
              <w:t>（4）粮油作物大面积单产提升专题培训行动：以各类粮油生产经营服务主体为对象，强化急需、短板技能培训。</w:t>
            </w:r>
            <w:r>
              <w:rPr>
                <w:rFonts w:ascii="simsun" w:hAnsi="simsun" w:cs="simsun" w:eastAsia="simsun"/>
                <w:sz w:val="21"/>
              </w:rPr>
              <w:t>聚焦主要粮油作物耕种管收机械化作业环节，扩大实施专业农机手培育行动，提高农机手技能水平和职业素质</w:t>
            </w:r>
            <w:r>
              <w:rPr>
                <w:rFonts w:ascii="simsun" w:hAnsi="simsun" w:cs="simsun" w:eastAsia="simsun"/>
                <w:sz w:val="21"/>
              </w:rPr>
              <w:t>，</w:t>
            </w:r>
            <w:r>
              <w:rPr>
                <w:rFonts w:ascii="simsun" w:hAnsi="simsun" w:cs="simsun" w:eastAsia="simsun"/>
                <w:sz w:val="21"/>
              </w:rPr>
              <w:t>组织开展全省2024年度粮油作物冬季管理和春耕备耕专题线上技术培训。</w:t>
            </w:r>
          </w:p>
          <w:p>
            <w:pPr>
              <w:pStyle w:val="null3"/>
              <w:ind w:firstLine="480"/>
              <w:jc w:val="both"/>
            </w:pPr>
            <w:r>
              <w:rPr>
                <w:rFonts w:ascii="simsun" w:hAnsi="simsun" w:cs="simsun" w:eastAsia="simsun"/>
                <w:sz w:val="21"/>
              </w:rPr>
              <w:t>（5）新型农业经营主体产业发展能力提升培育行动：</w:t>
            </w:r>
            <w:r>
              <w:rPr>
                <w:rFonts w:ascii="simsun" w:hAnsi="simsun" w:cs="simsun" w:eastAsia="simsun"/>
                <w:sz w:val="21"/>
              </w:rPr>
              <w:t>开展主体发展能力提升培训，支持组织跨区域学习，帮助拓宽发展思路、优化发展路径，促进产业提档升级。面向上述主体从业就业人员，以相关涉农岗位所需的技术技能为主要内容，对其聘用的农业经理人，以经营管理、市场营销及品牌创建等为主要内容，通过订单式组班、定制式培训、师傅带徒弟等方式，提升农民就业能力，促进新型农业经营主体发展壮大。</w:t>
            </w:r>
          </w:p>
          <w:p>
            <w:pPr>
              <w:pStyle w:val="null3"/>
              <w:ind w:firstLine="480"/>
              <w:jc w:val="both"/>
            </w:pPr>
            <w:r>
              <w:rPr>
                <w:rFonts w:ascii="simsun" w:hAnsi="simsun" w:cs="simsun" w:eastAsia="simsun"/>
                <w:sz w:val="21"/>
              </w:rPr>
              <w:t>（6）金融担保知识专项培训行动：加强银行信贷、农业融资担保等相关知识技能培训，通过线上线下等多种方式为学员普及投融资、担保、财务管理、企业管理等知识。</w:t>
            </w:r>
          </w:p>
          <w:p>
            <w:pPr>
              <w:pStyle w:val="null3"/>
              <w:ind w:firstLine="480"/>
              <w:jc w:val="both"/>
            </w:pPr>
            <w:r>
              <w:rPr>
                <w:rFonts w:ascii="simsun" w:hAnsi="simsun" w:cs="simsun" w:eastAsia="simsun"/>
                <w:sz w:val="21"/>
              </w:rPr>
              <w:t>4、培训时间安排及课时要求：经营管理型高素质农民培训</w:t>
            </w:r>
            <w:r>
              <w:rPr>
                <w:rFonts w:ascii="simsun" w:hAnsi="simsun" w:cs="simsun" w:eastAsia="simsun"/>
                <w:sz w:val="21"/>
              </w:rPr>
              <w:t>累计培训时间10天80学时，其中理论培训6天，实训4天</w:t>
            </w:r>
            <w:r>
              <w:rPr>
                <w:rFonts w:ascii="simsun" w:hAnsi="simsun" w:cs="simsun" w:eastAsia="simsun"/>
                <w:sz w:val="21"/>
              </w:rPr>
              <w:t>，</w:t>
            </w:r>
            <w:r>
              <w:rPr>
                <w:rFonts w:ascii="simsun" w:hAnsi="simsun" w:cs="simsun" w:eastAsia="simsun"/>
                <w:sz w:val="21"/>
              </w:rPr>
              <w:t>线上学习学时为总学时的1/10</w:t>
            </w:r>
            <w:r>
              <w:rPr>
                <w:rFonts w:ascii="simsun" w:hAnsi="simsun" w:cs="simsun" w:eastAsia="simsun"/>
                <w:sz w:val="21"/>
              </w:rPr>
              <w:t>。专业生产型培训累计培训时间5天40学时，其中实习实训学时不低于总学时数的三分之二，专业生产型线上学习时间根据总体学时情况确定。</w:t>
            </w:r>
          </w:p>
          <w:p>
            <w:pPr>
              <w:pStyle w:val="null3"/>
              <w:ind w:firstLine="480"/>
              <w:jc w:val="both"/>
            </w:pPr>
            <w:r>
              <w:rPr>
                <w:rFonts w:ascii="simsun" w:hAnsi="simsun" w:cs="simsun" w:eastAsia="simsun"/>
                <w:sz w:val="21"/>
              </w:rPr>
              <w:t>5、培育方式：</w:t>
            </w:r>
            <w:r>
              <w:rPr>
                <w:rFonts w:ascii="simsun" w:hAnsi="simsun" w:cs="simsun" w:eastAsia="simsun"/>
                <w:sz w:val="21"/>
              </w:rPr>
              <w:t>做好教学双方精准对接，鼓励创新路径，探索农民教育培训模式，灵活运用送教下乡、进村办班、田间教学等农民接受度高的培训方式</w:t>
            </w:r>
            <w:r>
              <w:rPr>
                <w:rFonts w:ascii="simsun" w:hAnsi="simsun" w:cs="simsun" w:eastAsia="simsun"/>
                <w:sz w:val="21"/>
              </w:rPr>
              <w:t>。</w:t>
            </w:r>
            <w:r>
              <w:rPr>
                <w:rFonts w:ascii="simsun" w:hAnsi="simsun" w:cs="simsun" w:eastAsia="simsun"/>
                <w:sz w:val="21"/>
              </w:rPr>
              <w:t>结合农时农事安排和学员需求，模块化设计综合素养课、技术技能课和能力拓展课。指导承担任务的培育机构要按需制定培育计划，量身定制培训课程，优选师资教材，综合运用和优化组合课堂教学、现场教学、实践实训、线上学习、观摩交流等多种形式，创新培训方法，提高培训实效</w:t>
            </w:r>
            <w:r>
              <w:rPr>
                <w:rFonts w:ascii="simsun" w:hAnsi="simsun" w:cs="simsun" w:eastAsia="simsun"/>
                <w:sz w:val="21"/>
              </w:rPr>
              <w:t>。</w:t>
            </w:r>
          </w:p>
          <w:p>
            <w:pPr>
              <w:pStyle w:val="null3"/>
              <w:ind w:firstLine="480"/>
              <w:jc w:val="both"/>
            </w:pPr>
            <w:r>
              <w:rPr>
                <w:rFonts w:ascii="simsun" w:hAnsi="simsun" w:cs="simsun" w:eastAsia="simsun"/>
                <w:sz w:val="21"/>
              </w:rPr>
              <w:t>6、宣传报道：加大对高素质农民培育政策的宣传力度，利用政策宣传“明白纸”、手机短信、微信推送等方式，努力实现信息到户到人，提高政策知晓度和农民培训参与度。注重对高素质农民培育工作成功模式总结推广，组织开展优秀典型挖掘宣传，树立示范标杆，营造良好社会氛围。</w:t>
            </w:r>
          </w:p>
          <w:p>
            <w:pPr>
              <w:pStyle w:val="null3"/>
              <w:ind w:firstLine="482"/>
              <w:jc w:val="both"/>
            </w:pPr>
            <w:r>
              <w:rPr>
                <w:rFonts w:ascii="simsun" w:hAnsi="simsun" w:cs="simsun" w:eastAsia="simsun"/>
                <w:b/>
                <w:sz w:val="21"/>
              </w:rPr>
              <w:t>（</w:t>
            </w:r>
            <w:r>
              <w:rPr>
                <w:rFonts w:ascii="simsun" w:hAnsi="simsun" w:cs="simsun" w:eastAsia="simsun"/>
                <w:b/>
                <w:sz w:val="21"/>
              </w:rPr>
              <w:t>二</w:t>
            </w:r>
            <w:r>
              <w:rPr>
                <w:rFonts w:ascii="simsun" w:hAnsi="simsun" w:cs="simsun" w:eastAsia="simsun"/>
                <w:b/>
                <w:sz w:val="21"/>
              </w:rPr>
              <w:t>）</w:t>
            </w:r>
            <w:r>
              <w:rPr>
                <w:rFonts w:ascii="simsun" w:hAnsi="simsun" w:cs="simsun" w:eastAsia="simsun"/>
                <w:b/>
                <w:sz w:val="21"/>
              </w:rPr>
              <w:t>服务</w:t>
            </w:r>
            <w:r>
              <w:rPr>
                <w:rFonts w:ascii="simsun" w:hAnsi="simsun" w:cs="simsun" w:eastAsia="simsun"/>
                <w:b/>
                <w:sz w:val="21"/>
              </w:rPr>
              <w:t>要求</w:t>
            </w:r>
          </w:p>
          <w:p>
            <w:pPr>
              <w:pStyle w:val="null3"/>
              <w:ind w:firstLine="480"/>
              <w:jc w:val="both"/>
            </w:pPr>
            <w:r>
              <w:rPr>
                <w:rFonts w:ascii="simsun" w:hAnsi="simsun" w:cs="simsun" w:eastAsia="simsun"/>
                <w:sz w:val="21"/>
              </w:rPr>
              <w:t>1、本项目人员、设施设备基本配备要求：</w:t>
            </w:r>
          </w:p>
          <w:p>
            <w:pPr>
              <w:pStyle w:val="null3"/>
              <w:ind w:firstLine="480"/>
              <w:jc w:val="both"/>
            </w:pPr>
            <w:r>
              <w:rPr>
                <w:rFonts w:ascii="simsun" w:hAnsi="simsun" w:cs="simsun" w:eastAsia="simsun"/>
                <w:sz w:val="21"/>
              </w:rPr>
              <w:t>（1）配备项目负责人 1 名，主要负责整个项目的统筹安排及工作推进。</w:t>
            </w:r>
          </w:p>
          <w:p>
            <w:pPr>
              <w:pStyle w:val="null3"/>
              <w:ind w:firstLine="480"/>
              <w:jc w:val="both"/>
            </w:pPr>
            <w:r>
              <w:rPr>
                <w:rFonts w:ascii="simsun" w:hAnsi="simsun" w:cs="simsun" w:eastAsia="simsun"/>
                <w:sz w:val="21"/>
              </w:rPr>
              <w:t>（2）开设2个培训班，每班配备一位班主任，负责班级的日常管理；每班至少配备3位具有相关涉农专业（如：畜牧，动物医学，水产养殖，果树，蔬菜 ，农学，植物保护，作物遗传等农业植物相关专业）的培训教员。</w:t>
            </w:r>
          </w:p>
          <w:p>
            <w:pPr>
              <w:pStyle w:val="null3"/>
              <w:ind w:firstLine="480"/>
              <w:jc w:val="both"/>
            </w:pPr>
            <w:r>
              <w:rPr>
                <w:rFonts w:ascii="simsun" w:hAnsi="simsun" w:cs="simsun" w:eastAsia="simsun"/>
                <w:sz w:val="21"/>
              </w:rPr>
              <w:t>（3）成立班委会，引导学员加强相互交流和自我管理；</w:t>
            </w:r>
          </w:p>
          <w:p>
            <w:pPr>
              <w:pStyle w:val="null3"/>
              <w:ind w:firstLine="480"/>
              <w:jc w:val="both"/>
            </w:pPr>
            <w:r>
              <w:rPr>
                <w:rFonts w:ascii="simsun" w:hAnsi="simsun" w:cs="simsun" w:eastAsia="simsun"/>
                <w:sz w:val="21"/>
              </w:rPr>
              <w:t>（4）供应商应具备培训必须的教学、实践、管理条件，包括：①课堂集中教学场所及配套设施设备；②实习实训场所或合作实训基地；③专职教学管理人员和专兼职教员队伍；④培训目标所要求的其他软硬件条件。</w:t>
            </w:r>
          </w:p>
          <w:p>
            <w:pPr>
              <w:pStyle w:val="null3"/>
              <w:ind w:firstLine="480"/>
              <w:jc w:val="both"/>
            </w:pPr>
            <w:r>
              <w:rPr>
                <w:rFonts w:ascii="simsun" w:hAnsi="simsun" w:cs="simsun" w:eastAsia="simsun"/>
                <w:sz w:val="21"/>
              </w:rPr>
              <w:t>2、教学管理要求：</w:t>
            </w:r>
          </w:p>
          <w:p>
            <w:pPr>
              <w:pStyle w:val="null3"/>
              <w:ind w:firstLine="480"/>
              <w:jc w:val="both"/>
            </w:pPr>
            <w:r>
              <w:rPr>
                <w:rFonts w:ascii="simsun" w:hAnsi="simsun" w:cs="simsun" w:eastAsia="simsun"/>
                <w:sz w:val="21"/>
              </w:rPr>
              <w:t>（1）培训实行封闭管理，培训期间要有课程表和作息时间表，做好学员每天的培训签到，保证培训工作的顺畅有序。</w:t>
            </w:r>
          </w:p>
          <w:p>
            <w:pPr>
              <w:pStyle w:val="null3"/>
              <w:ind w:firstLine="480"/>
              <w:jc w:val="both"/>
            </w:pPr>
            <w:r>
              <w:rPr>
                <w:rFonts w:ascii="simsun" w:hAnsi="simsun" w:cs="simsun" w:eastAsia="simsun"/>
                <w:sz w:val="21"/>
              </w:rPr>
              <w:t>（2）向参加培训人员每人提供一套（本）规范教材或自编教材讲义，优先选用部省级规划、采购人推荐教材；提供笔、吊牌、培训须知、笔记本和文件袋等学习用具。</w:t>
            </w:r>
          </w:p>
          <w:p>
            <w:pPr>
              <w:pStyle w:val="null3"/>
              <w:ind w:firstLine="480"/>
              <w:jc w:val="both"/>
            </w:pPr>
            <w:r>
              <w:rPr>
                <w:rFonts w:ascii="simsun" w:hAnsi="simsun" w:cs="simsun" w:eastAsia="simsun"/>
                <w:sz w:val="21"/>
              </w:rPr>
              <w:t>（3）供应商应及时录入、审核和上报培训培育信息。建立培训学员档案，档案中应包括培训方案、学员信息、培训记录、考核结果、证书颁发和其他相关培训信息。利用农民教育培训信息管理系统开展高素质农民培育信息统计和发展情况监测。</w:t>
            </w:r>
          </w:p>
          <w:p>
            <w:pPr>
              <w:pStyle w:val="null3"/>
              <w:ind w:firstLine="480"/>
              <w:jc w:val="both"/>
            </w:pPr>
            <w:r>
              <w:rPr>
                <w:rFonts w:ascii="simsun" w:hAnsi="simsun" w:cs="simsun" w:eastAsia="simsun"/>
                <w:sz w:val="21"/>
              </w:rPr>
              <w:t>（4）加强学员安全教育，消除安全隐患，杜绝发生食物中毒、致伤等事故，学员参加培训时的一切安全问题由供应商负责。</w:t>
            </w:r>
          </w:p>
          <w:p>
            <w:pPr>
              <w:pStyle w:val="null3"/>
              <w:ind w:firstLine="480"/>
              <w:jc w:val="both"/>
            </w:pPr>
            <w:r>
              <w:rPr>
                <w:rFonts w:ascii="simsun" w:hAnsi="simsun" w:cs="simsun" w:eastAsia="simsun"/>
                <w:sz w:val="21"/>
              </w:rPr>
              <w:t>3、培训期间食宿及交通要求：供应商提供培训期间的每日三餐伙食和住宿，伙食标准为早餐为稀饭、馒头、面条等，午餐和晚餐至少保证2荤2素1汤，且干净卫生、荤素搭配、营养全面，住宿标准应为两人标准间，费用均由供应商承担；前往实习实训场地的交通由供应商统一安排，交通费用由供应商承担。</w:t>
            </w:r>
          </w:p>
          <w:p>
            <w:pPr>
              <w:pStyle w:val="null3"/>
              <w:ind w:firstLine="480"/>
              <w:jc w:val="both"/>
            </w:pPr>
            <w:r>
              <w:rPr>
                <w:rFonts w:ascii="simsun" w:hAnsi="simsun" w:cs="simsun" w:eastAsia="simsun"/>
                <w:sz w:val="21"/>
              </w:rPr>
              <w:t>4、培训结束后供应商须建立后续服务机制，实现线上、线下为学员提供技术咨询服务。</w:t>
            </w:r>
          </w:p>
          <w:p>
            <w:pPr>
              <w:pStyle w:val="null3"/>
              <w:ind w:firstLine="480"/>
              <w:jc w:val="both"/>
            </w:pPr>
            <w:r>
              <w:rPr>
                <w:rFonts w:ascii="simsun" w:hAnsi="simsun" w:cs="simsun" w:eastAsia="simsun"/>
                <w:sz w:val="21"/>
              </w:rPr>
              <w:t>5、安全要求：供应商指派专人负责培训工作的组织管理，落实好培训安全责任，涉及的饮食、住宿、交通等过程中的安全隐患进行全面排查，确保培训全过程无安全责任事故出现。为学员购买相应的保险，供应商对培训全过程中的一切涉及的人员、财产等全部安全责任负全责。</w:t>
            </w:r>
          </w:p>
          <w:p>
            <w:pPr>
              <w:pStyle w:val="null3"/>
              <w:jc w:val="left"/>
            </w:pPr>
            <w:r>
              <w:rPr>
                <w:rFonts w:ascii="simsun" w:hAnsi="simsun" w:cs="simsun" w:eastAsia="simsun"/>
                <w:sz w:val="21"/>
              </w:rPr>
              <w:t>注：1、以上带★号条款为实质性要求。</w:t>
            </w:r>
          </w:p>
          <w:p>
            <w:pPr>
              <w:pStyle w:val="null3"/>
              <w:jc w:val="left"/>
            </w:pPr>
            <w:r>
              <w:rPr>
                <w:rFonts w:ascii="simsun" w:hAnsi="simsun" w:cs="simsun" w:eastAsia="simsun"/>
                <w:sz w:val="21"/>
              </w:rPr>
              <w:t>2、本项目所涉及的所有国家标准、地方标准、行业标准等如有最新的标准以最新标准为准。</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2024年12月31日前完成培育工作。</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成都市新津区，采购人指定地点。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按照《财政部关于进一步加强政府采购需求和履约验收管理的指导意见》(财库〔2016〕205号)、采购文件要求、成交供应商的响应文件及承诺、签订的合同以及验收所必须具备的其他材料进行验收。</w:t>
            </w:r>
          </w:p>
        </w:tc>
      </w:tr>
      <w:tr>
        <w:tc>
          <w:tcPr>
            <w:tcW w:type="dxa" w:w="415"/>
          </w:tcPr>
          <w:p>
            <w:pPr>
              <w:pStyle w:val="null3"/>
              <w:jc w:val="center"/>
            </w:pPr>
            <w:r>
              <w:rPr/>
              <w:t>4</w:t>
            </w:r>
          </w:p>
        </w:tc>
        <w:tc>
          <w:tcPr>
            <w:tcW w:type="dxa" w:w="581"/>
          </w:tcPr>
          <w:p/>
        </w:tc>
        <w:tc>
          <w:tcPr>
            <w:tcW w:type="dxa" w:w="1495"/>
          </w:tcPr>
          <w:p>
            <w:pPr>
              <w:pStyle w:val="null3"/>
              <w:jc w:val="left"/>
            </w:pPr>
            <w:r>
              <w:rPr/>
              <w:t>支付方式</w:t>
            </w:r>
          </w:p>
        </w:tc>
        <w:tc>
          <w:tcPr>
            <w:tcW w:type="dxa" w:w="5814"/>
          </w:tcPr>
          <w:p>
            <w:pPr>
              <w:pStyle w:val="null3"/>
              <w:jc w:val="left"/>
            </w:pPr>
            <w:r>
              <w:rPr/>
              <w:t>一次付清</w:t>
            </w:r>
          </w:p>
        </w:tc>
      </w:tr>
      <w:tr>
        <w:tc>
          <w:tcPr>
            <w:tcW w:type="dxa" w:w="415"/>
          </w:tcPr>
          <w:p>
            <w:pPr>
              <w:pStyle w:val="null3"/>
              <w:jc w:val="center"/>
            </w:pPr>
            <w:r>
              <w:rPr/>
              <w:t>5</w:t>
            </w:r>
          </w:p>
        </w:tc>
        <w:tc>
          <w:tcPr>
            <w:tcW w:type="dxa" w:w="581"/>
          </w:tcPr>
          <w:p/>
        </w:tc>
        <w:tc>
          <w:tcPr>
            <w:tcW w:type="dxa" w:w="1495"/>
          </w:tcPr>
          <w:p>
            <w:pPr>
              <w:pStyle w:val="null3"/>
              <w:jc w:val="left"/>
            </w:pPr>
            <w:r>
              <w:rPr/>
              <w:t>付款进度安排</w:t>
            </w:r>
          </w:p>
        </w:tc>
        <w:tc>
          <w:tcPr>
            <w:tcW w:type="dxa" w:w="5814"/>
          </w:tcPr>
          <w:p>
            <w:pPr>
              <w:pStyle w:val="null3"/>
              <w:jc w:val="left"/>
            </w:pPr>
            <w:r>
              <w:rPr/>
              <w:t>1、所有人员培训完成取得结业证书后并经采购人验收合格后，采购人收到供应商出具的有效税务发票后10个工作日内支付合同金额的100%，达到付款条件起10日内，支付合同总金额的100.00%</w:t>
            </w:r>
          </w:p>
        </w:tc>
      </w:tr>
      <w:tr>
        <w:tc>
          <w:tcPr>
            <w:tcW w:type="dxa" w:w="415"/>
          </w:tcPr>
          <w:p>
            <w:pPr>
              <w:pStyle w:val="null3"/>
              <w:jc w:val="center"/>
            </w:pPr>
            <w:r>
              <w:rPr/>
              <w:t>6</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1）违约责任：①甲乙双方必须遵守本合同并执行合同中的各项规定，保证本合同的正常履行。②如因乙方工作人员在履行职务过程中的疏忽、失职、过错等故意或者过失原因给甲方造成损失或侵害，包括但不限于甲方本身的财产损失、由此而导致的甲方对任何第三方的法律责任等，乙方对此均应承担全部的赔偿责任。 （2）解决争议的方法：合同履行期间，若双方发生争议，可协商或由有关部门调解解决，协商或调解不成的，由当事人依法向甲方所在地人民法院起诉。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本项目为采用固定价格采购的项目，但因四川省政府采购一体化平台系统原因，必须包含价格评审因素。故本项目设置10分价格分评审因素，供应商均按固定价进行报价。2.由于本项目为固定报价且非专门面向中小企业采购，因此本项目不针对小微企业报价做价格扣除，在此对扶持小微企业的政策体现为：若最终综合得分存在相同情况下，小微企业优先成交。3.因系统格式固化无法做合理调整，采购人和成交供应商在签订合同时就款项支付以此约定为准：所有人员培训完成取得结业证书后并经采购人验收合格后，采购人收到供应商出具的有效税务发票后10个工作日内支付合同金额的100%。</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 xml:space="preserve">1.供应商需在使用投标(响应)客户端编制响应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提供复印件并进行电子签章） </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供应商若为民办机构：应提供人力资源和社会保障行政部门或教育部门或其他行政主管部门颁发的办学许可证；供应商若为事业单位：应提供政府相关部门出具的证明其类别为非公益一类单位相关证明材料及事业单位法人证书。</w:t>
            </w:r>
          </w:p>
        </w:tc>
        <w:tc>
          <w:tcPr>
            <w:tcW w:type="dxa" w:w="3322"/>
          </w:tcPr>
          <w:p>
            <w:pPr>
              <w:pStyle w:val="null3"/>
              <w:jc w:val="left"/>
            </w:pPr>
            <w:r>
              <w:rPr/>
              <w:t>供应商若为民办机构：应提供人力资源和社会保障行政部门或教育部门或其他行政主管部门颁发的办学许可证；供应商若为事业单位：应提供政府相关部门出具的证明其类别为非公益一类单位相关证明材料及事业单位法人证书。（提供复印件并加盖供应商公章）</w:t>
            </w:r>
          </w:p>
        </w:tc>
        <w:tc>
          <w:tcPr>
            <w:tcW w:type="dxa" w:w="1910"/>
          </w:tcPr>
          <w:p>
            <w:pPr>
              <w:pStyle w:val="null3"/>
              <w:jc w:val="left"/>
            </w:pPr>
            <w:r>
              <w:rPr/>
              <w:t>供应商应提交的相关证明材料</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供应商认为其他需要提供的文件和资料 供应商应提交的相关证明材料 投标（响应）函</w:t>
            </w:r>
          </w:p>
        </w:tc>
      </w:tr>
      <w:tr>
        <w:tc>
          <w:tcPr>
            <w:tcW w:type="dxa" w:w="581"/>
          </w:tcPr>
          <w:p>
            <w:pPr>
              <w:pStyle w:val="null3"/>
              <w:jc w:val="center"/>
            </w:pPr>
            <w:r>
              <w:rPr/>
              <w:t>2</w:t>
            </w:r>
          </w:p>
        </w:tc>
        <w:tc>
          <w:tcPr>
            <w:tcW w:type="dxa" w:w="2492"/>
          </w:tcPr>
          <w:p>
            <w:pPr>
              <w:pStyle w:val="null3"/>
              <w:jc w:val="left"/>
            </w:pPr>
            <w:r>
              <w:rPr/>
              <w:t>符合采购文件的实质性要求</w:t>
            </w:r>
          </w:p>
        </w:tc>
        <w:tc>
          <w:tcPr>
            <w:tcW w:type="dxa" w:w="3322"/>
          </w:tcPr>
          <w:p>
            <w:pPr>
              <w:pStyle w:val="null3"/>
              <w:jc w:val="left"/>
            </w:pPr>
            <w:r>
              <w:rPr/>
              <w:t>供应商响应文件符合采购文件的全部实质性要求</w:t>
            </w:r>
          </w:p>
        </w:tc>
        <w:tc>
          <w:tcPr>
            <w:tcW w:type="dxa" w:w="1910"/>
          </w:tcPr>
          <w:p>
            <w:pPr>
              <w:pStyle w:val="null3"/>
              <w:jc w:val="left"/>
            </w:pPr>
            <w:r>
              <w:rPr/>
              <w:t>供应商认为其他需要提供的文件和资料 商务应答表 供应商应提交的相关证明材料 报价表 投标（响应）函 技术要求及服务要求应答表</w:t>
            </w:r>
          </w:p>
        </w:tc>
      </w:tr>
      <w:tr>
        <w:tc>
          <w:tcPr>
            <w:tcW w:type="dxa" w:w="581"/>
          </w:tcPr>
          <w:p>
            <w:pPr>
              <w:pStyle w:val="null3"/>
              <w:jc w:val="center"/>
            </w:pPr>
            <w:r>
              <w:rPr/>
              <w:t>3</w:t>
            </w:r>
          </w:p>
        </w:tc>
        <w:tc>
          <w:tcPr>
            <w:tcW w:type="dxa" w:w="2492"/>
          </w:tcPr>
          <w:p>
            <w:pPr>
              <w:pStyle w:val="null3"/>
              <w:jc w:val="left"/>
            </w:pPr>
            <w:r>
              <w:rPr/>
              <w:t>不正当竞争预防措施（实质性要求）</w:t>
            </w:r>
          </w:p>
        </w:tc>
        <w:tc>
          <w:tcPr>
            <w:tcW w:type="dxa" w:w="3322"/>
          </w:tcPr>
          <w:p>
            <w:pPr>
              <w:pStyle w:val="null3"/>
              <w:jc w:val="left"/>
            </w:pPr>
            <w:r>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910"/>
          </w:tcPr>
          <w:p>
            <w:pPr>
              <w:pStyle w:val="null3"/>
              <w:jc w:val="left"/>
            </w:pPr>
            <w:r>
              <w:rPr/>
              <w:t>残疾人福利性单位声明函 供应商应提交的相关证明材料 报价表 监狱企业的证明文件</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实施方案</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实施方案</w:t>
            </w:r>
          </w:p>
        </w:tc>
        <w:tc>
          <w:tcPr>
            <w:tcW w:type="dxa" w:w="2575"/>
          </w:tcPr>
          <w:p>
            <w:pPr>
              <w:pStyle w:val="null3"/>
              <w:jc w:val="left"/>
            </w:pPr>
            <w:r>
              <w:rPr/>
              <w:t>供应商根据培训内容制定实施方案，方案内容包括但不限于：①详细培训计划、②培训方案、③课程设置、④教学计划、⑤培训大纲、⑥培训教材及培训设施设备、⑦师资分配、⑧生源组织方案、⑨宣传方案、⑩应急处理方案等；以上内容符合项目实际情况、完全响应采购要求、能够保障项目顺利实施的得30分，每缺漏一项扣3分，所提供的方案中每有一处缺陷的扣1.5分，扣完为止。（内容缺陷是指存在项目名称错误、地点区域错误、内容与本项目采购需求无关、未完整体现采购需求内容、仅有框架或标题、适用的标准错误中任意一种情形。)</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供应商认为其他需要提供的文件和资料</w:t>
            </w:r>
          </w:p>
        </w:tc>
      </w:tr>
      <w:tr>
        <w:tc>
          <w:tcPr>
            <w:tcW w:type="dxa" w:w="831"/>
            <w:vMerge/>
          </w:tcPr>
          <w:p/>
        </w:tc>
        <w:tc>
          <w:tcPr>
            <w:tcW w:type="dxa" w:w="1661"/>
          </w:tcPr>
          <w:p>
            <w:pPr>
              <w:pStyle w:val="null3"/>
              <w:jc w:val="left"/>
            </w:pPr>
            <w:r>
              <w:rPr/>
              <w:t>管理制度</w:t>
            </w:r>
          </w:p>
        </w:tc>
        <w:tc>
          <w:tcPr>
            <w:tcW w:type="dxa" w:w="2575"/>
          </w:tcPr>
          <w:p>
            <w:pPr>
              <w:pStyle w:val="null3"/>
              <w:jc w:val="left"/>
            </w:pPr>
            <w:r>
              <w:rPr/>
              <w:t>供应商根据培训内容制定教学管理机构制度包括但不限于：①规章制度、②学员管理制度、③老师管理制度、④财务管理制度、⑤卫生管理制度、⑥安全管理制度、⑦考勤管理制度、⑧培训管理制度、⑨档案管理制度、⑩考核制度等；以上内容符合项目实际情况、完全响应采购要求、能够保障项目顺利实施的得20分，每缺漏一项扣2分，所提供的方案中每有一处缺陷的扣1分，扣完为止。（内容缺陷是指存在项目名称错误、地点区域错误、内容与本项目采购需求无关、未完整体现采购需求内容、仅有框架或标题、适用的标准错误中任意一种情形。)</w:t>
            </w:r>
          </w:p>
        </w:tc>
        <w:tc>
          <w:tcPr>
            <w:tcW w:type="dxa" w:w="831"/>
          </w:tcPr>
          <w:p>
            <w:pPr>
              <w:pStyle w:val="null3"/>
              <w:jc w:val="center"/>
            </w:pPr>
            <w:r>
              <w:rPr/>
              <w:t>20.00</w:t>
            </w:r>
          </w:p>
        </w:tc>
        <w:tc>
          <w:tcPr>
            <w:tcW w:type="dxa" w:w="748"/>
          </w:tcPr>
          <w:p>
            <w:pPr>
              <w:pStyle w:val="null3"/>
              <w:jc w:val="center"/>
            </w:pPr>
            <w:r>
              <w:rPr/>
              <w:t>主观</w:t>
            </w:r>
          </w:p>
        </w:tc>
        <w:tc>
          <w:tcPr>
            <w:tcW w:type="dxa" w:w="1661"/>
          </w:tcPr>
          <w:p>
            <w:pPr>
              <w:pStyle w:val="null3"/>
              <w:jc w:val="left"/>
            </w:pPr>
            <w:r>
              <w:rPr/>
              <w:t>供应商认为其他需要提供的文件和资料</w:t>
            </w:r>
          </w:p>
        </w:tc>
      </w:tr>
      <w:tr>
        <w:tc>
          <w:tcPr>
            <w:tcW w:type="dxa" w:w="831"/>
            <w:vMerge/>
          </w:tcPr>
          <w:p/>
        </w:tc>
        <w:tc>
          <w:tcPr>
            <w:tcW w:type="dxa" w:w="1661"/>
          </w:tcPr>
          <w:p>
            <w:pPr>
              <w:pStyle w:val="null3"/>
              <w:jc w:val="left"/>
            </w:pPr>
            <w:r>
              <w:rPr/>
              <w:t>后期跟踪服务方案</w:t>
            </w:r>
          </w:p>
        </w:tc>
        <w:tc>
          <w:tcPr>
            <w:tcW w:type="dxa" w:w="2575"/>
          </w:tcPr>
          <w:p>
            <w:pPr>
              <w:pStyle w:val="null3"/>
              <w:jc w:val="left"/>
            </w:pPr>
            <w:r>
              <w:rPr/>
              <w:t>供应商根据培训内容制定后期跟踪服务方案：①服务人员安排、②服务网点、③响应时间及服务跟踪时间、④问题解决方式等；以上内容符合项目实际情况、完全响应采购要求、能够保障项目顺利实施的得12分，每缺漏一项扣3分，所提供的方案中每有一处缺陷的扣1.5分，扣完为止。（内容缺陷是指存在项目名称错误、地点区域错误、内容与本项目采购需求无关、未完整体现采购需求内容、仅有框架或标题、适用的标准错误中任意一种情形。)</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供应商认为其他需要提供的文件和资料</w:t>
            </w:r>
          </w:p>
        </w:tc>
      </w:tr>
      <w:tr>
        <w:tc>
          <w:tcPr>
            <w:tcW w:type="dxa" w:w="831"/>
            <w:vMerge/>
          </w:tcPr>
          <w:p/>
        </w:tc>
        <w:tc>
          <w:tcPr>
            <w:tcW w:type="dxa" w:w="1661"/>
          </w:tcPr>
          <w:p>
            <w:pPr>
              <w:pStyle w:val="null3"/>
              <w:jc w:val="left"/>
            </w:pPr>
            <w:r>
              <w:rPr/>
              <w:t>师资力量</w:t>
            </w:r>
          </w:p>
        </w:tc>
        <w:tc>
          <w:tcPr>
            <w:tcW w:type="dxa" w:w="2575"/>
          </w:tcPr>
          <w:p>
            <w:pPr>
              <w:pStyle w:val="null3"/>
              <w:jc w:val="left"/>
            </w:pPr>
            <w:r>
              <w:rPr/>
              <w:t>供应商满足本项目人员、设施设备基本配备要求前提下为本项目每增加一位具有涉农专业（如畜牧，动物医学，水产养殖，果树，蔬菜 ，农学，植物保护，作物遗传等农业植物相关专业）中级职称的培训教员得2分，具有高级及以上职称的得4分，本项最多得16分。 注：提供职称证书复印件并加盖供应商公章，以上人员不重复得分。</w:t>
            </w:r>
          </w:p>
        </w:tc>
        <w:tc>
          <w:tcPr>
            <w:tcW w:type="dxa" w:w="831"/>
          </w:tcPr>
          <w:p>
            <w:pPr>
              <w:pStyle w:val="null3"/>
              <w:jc w:val="center"/>
            </w:pPr>
            <w:r>
              <w:rPr/>
              <w:t>16.00</w:t>
            </w:r>
          </w:p>
        </w:tc>
        <w:tc>
          <w:tcPr>
            <w:tcW w:type="dxa" w:w="748"/>
          </w:tcPr>
          <w:p>
            <w:pPr>
              <w:pStyle w:val="null3"/>
              <w:jc w:val="center"/>
            </w:pPr>
            <w:r>
              <w:rPr/>
              <w:t>客观</w:t>
            </w:r>
          </w:p>
        </w:tc>
        <w:tc>
          <w:tcPr>
            <w:tcW w:type="dxa" w:w="1661"/>
          </w:tcPr>
          <w:p>
            <w:pPr>
              <w:pStyle w:val="null3"/>
              <w:jc w:val="left"/>
            </w:pPr>
            <w:r>
              <w:rPr/>
              <w:t>供应商认为其他需要提供的文件和资料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供应商自2021年1月1日起至今承担过类似涉农类培训项目的提供1个得4分，在此基础上增加1个得4分，最多得12分。 说明：提供培训合同复印件并加盖供应商公章。</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供应商认为其他需要提供的文件和资料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详见附件：供应商应提交的相关证明材料</w:t>
      </w:r>
    </w:p>
    <w:p>
      <w:pPr>
        <w:pStyle w:val="null3"/>
        <w:ind w:firstLine="960"/>
        <w:jc w:val="left"/>
      </w:pPr>
      <w:r>
        <w:rPr/>
        <w:t>详见附件：报价表</w:t>
      </w:r>
    </w:p>
    <w:p>
      <w:pPr>
        <w:pStyle w:val="null3"/>
        <w:ind w:firstLine="960"/>
        <w:jc w:val="left"/>
      </w:pPr>
      <w:r>
        <w:rPr/>
        <w:t>详见附件：商务应答表</w:t>
      </w:r>
    </w:p>
    <w:p>
      <w:pPr>
        <w:pStyle w:val="null3"/>
        <w:ind w:firstLine="960"/>
        <w:jc w:val="left"/>
      </w:pPr>
      <w:r>
        <w:rPr/>
        <w:t>详见附件：技术要求及服务要求应答表</w:t>
      </w:r>
    </w:p>
    <w:p>
      <w:pPr>
        <w:pStyle w:val="null3"/>
        <w:ind w:firstLine="960"/>
        <w:jc w:val="left"/>
      </w:pPr>
      <w:r>
        <w:rPr/>
        <w:t>详见附件：供应商认为其他需要提供的文件和资料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