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福州市中医院污水运维服务</w:t>
      </w:r>
    </w:p>
    <w:p>
      <w:pPr>
        <w:pStyle w:val="null3"/>
        <w:jc w:val="center"/>
        <w:outlineLvl w:val="2"/>
      </w:pPr>
      <w:r>
        <w:rPr>
          <w:sz w:val="28"/>
          <w:b/>
        </w:rPr>
        <w:t>备案编号：</w:t>
      </w:r>
      <w:r>
        <w:rPr>
          <w:sz w:val="28"/>
          <w:b/>
        </w:rPr>
        <w:t>CGXM-2024-350101-02959[2024]03643</w:t>
      </w:r>
    </w:p>
    <w:p>
      <w:pPr>
        <w:pStyle w:val="null3"/>
        <w:jc w:val="center"/>
        <w:outlineLvl w:val="2"/>
      </w:pPr>
      <w:r>
        <w:rPr>
          <w:sz w:val="28"/>
          <w:b/>
        </w:rPr>
        <w:t>项目编号：</w:t>
      </w:r>
      <w:r>
        <w:rPr>
          <w:sz w:val="28"/>
          <w:b/>
        </w:rPr>
        <w:t>[350101]XC[GK]2024008</w:t>
      </w:r>
    </w:p>
    <w:p>
      <w:pPr>
        <w:pStyle w:val="null3"/>
        <w:jc w:val="center"/>
        <w:outlineLvl w:val="2"/>
      </w:pPr>
      <w:r>
        <w:rPr>
          <w:sz w:val="28"/>
          <w:b/>
        </w:rPr>
        <w:t>采购人：</w:t>
      </w:r>
      <w:r>
        <w:rPr>
          <w:sz w:val="28"/>
          <w:b/>
        </w:rPr>
        <w:t>福州市中医院</w:t>
      </w:r>
    </w:p>
    <w:p>
      <w:pPr>
        <w:pStyle w:val="null3"/>
        <w:jc w:val="center"/>
        <w:outlineLvl w:val="2"/>
      </w:pPr>
      <w:r>
        <w:rPr>
          <w:sz w:val="28"/>
          <w:b/>
        </w:rPr>
        <w:t>代理机构：</w:t>
      </w:r>
      <w:r>
        <w:rPr>
          <w:sz w:val="28"/>
          <w:b/>
        </w:rPr>
        <w:t>福建信成项目管理有限公司</w:t>
      </w:r>
    </w:p>
    <w:p>
      <w:pPr>
        <w:pStyle w:val="null3"/>
        <w:jc w:val="center"/>
        <w:outlineLvl w:val="2"/>
      </w:pPr>
      <w:r>
        <w:rPr>
          <w:sz w:val="28"/>
          <w:b/>
        </w:rPr>
        <w:t>编制时间</w:t>
      </w:r>
      <w:r>
        <w:rPr>
          <w:sz w:val="28"/>
          <w:b/>
        </w:rPr>
        <w:t>：</w:t>
      </w:r>
      <w:r>
        <w:rPr>
          <w:sz w:val="28"/>
          <w:b/>
        </w:rPr>
        <w:t>2024年11月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福建信成项目管理有限公司</w:t>
      </w:r>
      <w:r>
        <w:rPr/>
        <w:t xml:space="preserve"> 采用公开招标方式组织 </w:t>
      </w:r>
      <w:r>
        <w:rPr/>
        <w:t>福州市中医院污水运维服务</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CGXM-2024-350101-02959[2024]03643</w:t>
      </w:r>
    </w:p>
    <w:p>
      <w:pPr>
        <w:pStyle w:val="null3"/>
        <w:ind w:firstLine="480"/>
        <w:jc w:val="left"/>
        <w:outlineLvl w:val="2"/>
      </w:pPr>
      <w:r>
        <w:rPr>
          <w:sz w:val="28"/>
          <w:b/>
        </w:rPr>
        <w:t>2、项目编号</w:t>
      </w:r>
      <w:r>
        <w:rPr>
          <w:sz w:val="28"/>
          <w:b/>
        </w:rPr>
        <w:t>：</w:t>
      </w:r>
      <w:r>
        <w:rPr>
          <w:sz w:val="28"/>
          <w:b/>
        </w:rPr>
        <w:t>[350101]XC[GK]2024008</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不适用于本项目</w:t>
      </w:r>
    </w:p>
    <w:p>
      <w:pPr>
        <w:pStyle w:val="null3"/>
        <w:ind w:firstLine="960"/>
        <w:jc w:val="left"/>
      </w:pPr>
      <w:r>
        <w:rPr/>
        <w:t>节能产品：</w:t>
      </w:r>
      <w:r>
        <w:rPr/>
        <w:t>不适用于本项目</w:t>
      </w:r>
    </w:p>
    <w:p>
      <w:pPr>
        <w:pStyle w:val="null3"/>
        <w:ind w:firstLine="960"/>
        <w:jc w:val="left"/>
      </w:pPr>
      <w:r>
        <w:rPr/>
        <w:t>环境标志产品：</w:t>
      </w:r>
      <w:r>
        <w:rPr/>
        <w:t>不适用于本项目</w:t>
      </w:r>
    </w:p>
    <w:p>
      <w:pPr>
        <w:pStyle w:val="null3"/>
        <w:ind w:firstLine="960"/>
        <w:jc w:val="left"/>
      </w:pPr>
      <w:r>
        <w:rPr/>
        <w:t>促进中小企业发展的相关政策：</w:t>
      </w:r>
    </w:p>
    <w:p>
      <w:pPr>
        <w:pStyle w:val="null3"/>
        <w:ind w:firstLine="960"/>
        <w:jc w:val="left"/>
      </w:pPr>
      <w:r>
        <w:rPr/>
        <w:t>采购包1：专门采购包预留</w:t>
      </w:r>
    </w:p>
    <w:p>
      <w:pPr>
        <w:pStyle w:val="null3"/>
        <w:jc w:val="left"/>
      </w:pPr>
      <w:r>
        <w:rPr/>
        <w:t>面向的企业规模：</w:t>
      </w:r>
      <w:r>
        <w:rPr/>
        <w:t>中小企业</w:t>
      </w:r>
    </w:p>
    <w:p>
      <w:pPr>
        <w:pStyle w:val="null3"/>
        <w:jc w:val="left"/>
      </w:pPr>
      <w:r>
        <w:rPr/>
        <w:t>预留形式：</w:t>
      </w:r>
      <w:r>
        <w:rPr/>
        <w:t>专门采购包预留</w:t>
      </w:r>
    </w:p>
    <w:p>
      <w:pPr>
        <w:pStyle w:val="null3"/>
        <w:jc w:val="left"/>
      </w:pPr>
      <w:r>
        <w:rPr/>
        <w:t>预留比例：</w:t>
      </w:r>
      <w:r>
        <w:rPr/>
        <w:t>100%</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96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资格承诺函</w:t>
            </w:r>
          </w:p>
        </w:tc>
        <w:tc>
          <w:tcPr>
            <w:tcW w:type="dxa" w:w="4614"/>
          </w:tcPr>
          <w:p>
            <w:pPr>
              <w:pStyle w:val="null3"/>
              <w:jc w:val="both"/>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both"/>
            </w:pPr>
            <w:r>
              <w:rPr/>
              <w:t>资格承诺函补充说明</w:t>
            </w:r>
          </w:p>
        </w:tc>
        <w:tc>
          <w:tcPr>
            <w:tcW w:type="dxa" w:w="4614"/>
          </w:tcPr>
          <w:p>
            <w:pPr>
              <w:pStyle w:val="null3"/>
              <w:jc w:val="both"/>
            </w:pPr>
            <w:r>
              <w:rPr/>
              <w:t>根据《福建省财政厅关于印发推行政府采购供应商资格承诺制指导意见的通知》（闽财购〔2024〕6号）要求，2024年10月1日起，政府采购项目推行投标人资格证明材料承诺制。投标人在投标时，按照规定提供相关资格承诺函（详见附件）的，可不提供《中华人民共和国政府采购法实施条例》第十七条第一款规定的资格条件证明材料；若未提供相关资格承诺函的，则应在投标时，提供《中华人民共和国政府采购法实施条例》第十七条第一款规定的资格条件证明材料；否则，视为未按照招标文件规定提交投标人的资格及资信文件，按资格审查不通过处理。</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7.2、在招标文件获取期限内，供应商应通过福建省政府采购网上公开信息系统的注册账号（免费注册）并获取招标文件(登陆福建省政府采购网上公开信息系统进行文件获取)，否则投标将被拒绝。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福州市中医院</w:t>
      </w:r>
    </w:p>
    <w:p>
      <w:pPr>
        <w:pStyle w:val="null3"/>
        <w:ind w:firstLine="960"/>
        <w:jc w:val="left"/>
      </w:pPr>
      <w:r>
        <w:rPr/>
        <w:t xml:space="preserve"> 地址： </w:t>
      </w:r>
      <w:r>
        <w:rPr/>
        <w:t>福州市鼓楼区鼓东路102号</w:t>
      </w:r>
    </w:p>
    <w:p>
      <w:pPr>
        <w:pStyle w:val="null3"/>
        <w:jc w:val="left"/>
      </w:pPr>
      <w:r>
        <w:rPr/>
        <w:t xml:space="preserve"> 邮编： </w:t>
      </w:r>
      <w:r>
        <w:rPr/>
        <w:t>350001</w:t>
      </w:r>
    </w:p>
    <w:p>
      <w:pPr>
        <w:pStyle w:val="null3"/>
        <w:jc w:val="left"/>
      </w:pPr>
      <w:r>
        <w:rPr/>
        <w:t xml:space="preserve"> 联系人： </w:t>
      </w:r>
      <w:r>
        <w:rPr/>
        <w:t>李盼</w:t>
      </w:r>
    </w:p>
    <w:p>
      <w:pPr>
        <w:pStyle w:val="null3"/>
        <w:jc w:val="left"/>
      </w:pPr>
      <w:r>
        <w:rPr/>
        <w:t xml:space="preserve"> 联系电话： </w:t>
      </w:r>
      <w:r>
        <w:rPr/>
        <w:t>18705087970</w:t>
      </w:r>
    </w:p>
    <w:p>
      <w:pPr>
        <w:pStyle w:val="null3"/>
        <w:ind w:firstLine="480"/>
        <w:jc w:val="left"/>
        <w:outlineLvl w:val="2"/>
      </w:pPr>
      <w:r>
        <w:rPr>
          <w:sz w:val="28"/>
          <w:b/>
        </w:rPr>
        <w:t>12、代理机构</w:t>
      </w:r>
      <w:r>
        <w:rPr>
          <w:sz w:val="28"/>
          <w:b/>
        </w:rPr>
        <w:t>：</w:t>
      </w:r>
      <w:r>
        <w:rPr>
          <w:sz w:val="28"/>
          <w:b/>
        </w:rPr>
        <w:t>福建信成项目管理有限公司</w:t>
      </w:r>
    </w:p>
    <w:p>
      <w:pPr>
        <w:pStyle w:val="null3"/>
        <w:ind w:firstLine="960"/>
        <w:jc w:val="both"/>
      </w:pPr>
      <w:r>
        <w:rPr/>
        <w:t xml:space="preserve"> 地址： </w:t>
      </w:r>
      <w:r>
        <w:rPr/>
        <w:t>福州市晋安区华林路271号幸福新村龙福楼601</w:t>
      </w:r>
    </w:p>
    <w:p>
      <w:pPr>
        <w:pStyle w:val="null3"/>
        <w:jc w:val="both"/>
      </w:pPr>
      <w:r>
        <w:rPr/>
        <w:t xml:space="preserve"> 邮编： </w:t>
      </w:r>
      <w:r>
        <w:rPr/>
        <w:t>350001</w:t>
      </w:r>
    </w:p>
    <w:p>
      <w:pPr>
        <w:pStyle w:val="null3"/>
        <w:jc w:val="both"/>
      </w:pPr>
      <w:r>
        <w:rPr/>
        <w:t xml:space="preserve"> 联系人： </w:t>
      </w:r>
      <w:r>
        <w:rPr/>
        <w:t>王程、卢鸿敏、李芳</w:t>
      </w:r>
    </w:p>
    <w:p>
      <w:pPr>
        <w:pStyle w:val="null3"/>
        <w:jc w:val="both"/>
      </w:pPr>
      <w:r>
        <w:rPr/>
        <w:t xml:space="preserve"> 联系电话： </w:t>
      </w:r>
      <w:r>
        <w:rPr/>
        <w:t>0591-87572007</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福建信成项目管理有限公司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898,000.00</w:t>
      </w:r>
    </w:p>
    <w:p>
      <w:pPr>
        <w:pStyle w:val="null3"/>
        <w:jc w:val="left"/>
      </w:pPr>
      <w:r>
        <w:rPr/>
        <w:t>采购包最高限价（元）: 898,000.00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福州市中医院鼓楼院区及福州市中医院贤南分部污水运维服务</w:t>
            </w:r>
          </w:p>
        </w:tc>
        <w:tc>
          <w:tcPr>
            <w:tcW w:type="dxa" w:w="1187"/>
          </w:tcPr>
          <w:p>
            <w:pPr>
              <w:pStyle w:val="null3"/>
              <w:jc w:val="right"/>
            </w:pPr>
            <w:r>
              <w:rPr/>
              <w:t>24.00</w:t>
            </w:r>
          </w:p>
        </w:tc>
        <w:tc>
          <w:tcPr>
            <w:tcW w:type="dxa" w:w="1187"/>
          </w:tcPr>
          <w:p>
            <w:pPr>
              <w:pStyle w:val="null3"/>
              <w:jc w:val="right"/>
            </w:pPr>
            <w:r>
              <w:rPr/>
              <w:t>480,000.00</w:t>
            </w:r>
          </w:p>
        </w:tc>
        <w:tc>
          <w:tcPr>
            <w:tcW w:type="dxa" w:w="1187"/>
          </w:tcPr>
          <w:p>
            <w:pPr>
              <w:pStyle w:val="null3"/>
              <w:jc w:val="left"/>
            </w:pPr>
            <w:r>
              <w:rPr/>
              <w:t>月</w:t>
            </w:r>
          </w:p>
        </w:tc>
        <w:tc>
          <w:tcPr>
            <w:tcW w:type="dxa" w:w="1187"/>
          </w:tcPr>
          <w:p>
            <w:pPr>
              <w:pStyle w:val="null3"/>
              <w:jc w:val="left"/>
            </w:pPr>
            <w:r>
              <w:rPr/>
              <w:t>其他未列明行业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福州市中医院五四北院区污水运维服务</w:t>
            </w:r>
          </w:p>
        </w:tc>
        <w:tc>
          <w:tcPr>
            <w:tcW w:type="dxa" w:w="1187"/>
          </w:tcPr>
          <w:p>
            <w:pPr>
              <w:pStyle w:val="null3"/>
              <w:jc w:val="right"/>
            </w:pPr>
            <w:r>
              <w:rPr/>
              <w:t>20.00</w:t>
            </w:r>
          </w:p>
        </w:tc>
        <w:tc>
          <w:tcPr>
            <w:tcW w:type="dxa" w:w="1187"/>
          </w:tcPr>
          <w:p>
            <w:pPr>
              <w:pStyle w:val="null3"/>
              <w:jc w:val="right"/>
            </w:pPr>
            <w:r>
              <w:rPr/>
              <w:t>418,000.00</w:t>
            </w:r>
          </w:p>
        </w:tc>
        <w:tc>
          <w:tcPr>
            <w:tcW w:type="dxa" w:w="1187"/>
          </w:tcPr>
          <w:p>
            <w:pPr>
              <w:pStyle w:val="null3"/>
              <w:jc w:val="left"/>
            </w:pPr>
            <w:r>
              <w:rPr/>
              <w:t>月</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福州市中医院鼓楼院区及福州市中医院贤南分部污水运维服务</w:t>
            </w:r>
          </w:p>
        </w:tc>
        <w:tc>
          <w:tcPr>
            <w:tcW w:type="dxa" w:w="554"/>
          </w:tcPr>
          <w:p>
            <w:pPr>
              <w:pStyle w:val="null3"/>
              <w:jc w:val="left"/>
            </w:pPr>
            <w:r>
              <w:rPr/>
              <w:t>月</w:t>
            </w:r>
          </w:p>
        </w:tc>
        <w:tc>
          <w:tcPr>
            <w:tcW w:type="dxa" w:w="554"/>
          </w:tcPr>
          <w:p>
            <w:pPr>
              <w:pStyle w:val="null3"/>
              <w:jc w:val="left"/>
            </w:pPr>
            <w:r>
              <w:rPr/>
              <w:t>元</w:t>
            </w:r>
          </w:p>
        </w:tc>
        <w:tc>
          <w:tcPr>
            <w:tcW w:type="dxa" w:w="1384"/>
          </w:tcPr>
          <w:p>
            <w:pPr>
              <w:pStyle w:val="null3"/>
              <w:jc w:val="right"/>
            </w:pPr>
            <w:r>
              <w:rPr/>
              <w:t>480,000.00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w:t>
            </w:r>
          </w:p>
        </w:tc>
        <w:tc>
          <w:tcPr>
            <w:tcW w:type="dxa" w:w="3046"/>
          </w:tcPr>
          <w:p>
            <w:pPr>
              <w:pStyle w:val="null3"/>
              <w:jc w:val="left"/>
            </w:pPr>
            <w:r>
              <w:rPr/>
              <w:t>福州市中医院五四北院区污水运维服务</w:t>
            </w:r>
          </w:p>
        </w:tc>
        <w:tc>
          <w:tcPr>
            <w:tcW w:type="dxa" w:w="554"/>
          </w:tcPr>
          <w:p>
            <w:pPr>
              <w:pStyle w:val="null3"/>
              <w:jc w:val="left"/>
            </w:pPr>
            <w:r>
              <w:rPr/>
              <w:t>月</w:t>
            </w:r>
          </w:p>
        </w:tc>
        <w:tc>
          <w:tcPr>
            <w:tcW w:type="dxa" w:w="554"/>
          </w:tcPr>
          <w:p>
            <w:pPr>
              <w:pStyle w:val="null3"/>
              <w:jc w:val="left"/>
            </w:pPr>
            <w:r>
              <w:rPr/>
              <w:t>元</w:t>
            </w:r>
          </w:p>
        </w:tc>
        <w:tc>
          <w:tcPr>
            <w:tcW w:type="dxa" w:w="1384"/>
          </w:tcPr>
          <w:p>
            <w:pPr>
              <w:pStyle w:val="null3"/>
              <w:jc w:val="right"/>
            </w:pPr>
            <w:r>
              <w:rPr/>
              <w:t>418,000.00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福州市中医院鼓楼院区及福州市中医院贤南分部污水运维服务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福州市中医院鼓楼院区及福州市中医院贤南分部污水运维服务</w:t>
            </w:r>
          </w:p>
        </w:tc>
        <w:tc>
          <w:tcPr>
            <w:tcW w:type="dxa" w:w="2076"/>
          </w:tcPr>
          <w:p>
            <w:pPr>
              <w:pStyle w:val="null3"/>
              <w:jc w:val="left"/>
            </w:pPr>
            <w:r>
              <w:rPr/>
              <w:t>福州市中医院鼓楼院区及福州市中医院贤南分部污水运维服务</w:t>
            </w:r>
          </w:p>
        </w:tc>
        <w:tc>
          <w:tcPr>
            <w:tcW w:type="dxa" w:w="415"/>
          </w:tcPr>
          <w:p>
            <w:pPr>
              <w:pStyle w:val="null3"/>
              <w:jc w:val="left"/>
            </w:pPr>
            <w:r>
              <w:rPr/>
              <w:t>月</w:t>
            </w:r>
          </w:p>
        </w:tc>
        <w:tc>
          <w:tcPr>
            <w:tcW w:type="dxa" w:w="415"/>
          </w:tcPr>
          <w:p>
            <w:pPr>
              <w:pStyle w:val="null3"/>
              <w:jc w:val="left"/>
            </w:pPr>
            <w:r>
              <w:rPr/>
              <w:t>元</w:t>
            </w:r>
          </w:p>
        </w:tc>
        <w:tc>
          <w:tcPr>
            <w:tcW w:type="dxa" w:w="831"/>
          </w:tcPr>
          <w:p>
            <w:pPr>
              <w:pStyle w:val="null3"/>
              <w:jc w:val="right"/>
            </w:pPr>
            <w:r>
              <w:rPr/>
              <w:t>480,000.00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福州市中医院五四北院区污水运维服务</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福州市中医院五四北院区污水运维服务</w:t>
            </w:r>
          </w:p>
        </w:tc>
        <w:tc>
          <w:tcPr>
            <w:tcW w:type="dxa" w:w="2076"/>
          </w:tcPr>
          <w:p>
            <w:pPr>
              <w:pStyle w:val="null3"/>
              <w:jc w:val="left"/>
            </w:pPr>
            <w:r>
              <w:rPr/>
              <w:t>福州市中医院五四北院区污水运维服务</w:t>
            </w:r>
          </w:p>
        </w:tc>
        <w:tc>
          <w:tcPr>
            <w:tcW w:type="dxa" w:w="415"/>
          </w:tcPr>
          <w:p>
            <w:pPr>
              <w:pStyle w:val="null3"/>
              <w:jc w:val="left"/>
            </w:pPr>
            <w:r>
              <w:rPr/>
              <w:t>月</w:t>
            </w:r>
          </w:p>
        </w:tc>
        <w:tc>
          <w:tcPr>
            <w:tcW w:type="dxa" w:w="415"/>
          </w:tcPr>
          <w:p>
            <w:pPr>
              <w:pStyle w:val="null3"/>
              <w:jc w:val="left"/>
            </w:pPr>
            <w:r>
              <w:rPr/>
              <w:t>元</w:t>
            </w:r>
          </w:p>
        </w:tc>
        <w:tc>
          <w:tcPr>
            <w:tcW w:type="dxa" w:w="831"/>
          </w:tcPr>
          <w:p>
            <w:pPr>
              <w:pStyle w:val="null3"/>
              <w:jc w:val="right"/>
            </w:pPr>
            <w:r>
              <w:rPr/>
              <w:t>418,000.00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若综合得分有相同的最高分，则在综合得分相同的投标人中按报价优惠顺序推荐中标候选人，若综合得分和报价均相同的，则在综合得分和报价均相同的投标人中按技术质量得分高低顺序推荐中标候选人，若综合得分、报价和技术质量得分均相同的，则在综合得分、报价和技术质量得分均相同的投标人中按商务质量得分高低顺序推荐中标候选人，若综合得分、报价、技术质量得分和商务质量得分均相同的，按随机抽取推荐中标候选人。</w:t>
            </w:r>
          </w:p>
          <w:p>
            <w:pPr>
              <w:pStyle w:val="null3"/>
              <w:jc w:val="left"/>
            </w:pPr>
            <w:r>
              <w:rPr/>
              <w:t>②若本款第①点规定方式为“无”，则按照下列方式确定：</w:t>
            </w:r>
          </w:p>
          <w:p>
            <w:pPr>
              <w:pStyle w:val="null3"/>
              <w:jc w:val="left"/>
            </w:pPr>
            <w:r>
              <w:rPr/>
              <w:t>/</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（1）潜在投标人可在质疑时效期间内对招标文件以书面形式提出质疑。</w:t>
            </w:r>
          </w:p>
          <w:p>
            <w:pPr>
              <w:pStyle w:val="null3"/>
              <w:jc w:val="left"/>
            </w:pPr>
            <w:r>
              <w:rPr/>
              <w:t xml:space="preserve">（2）质疑时效期间：应在依法获取招标文件之日起7个工作日内向 </w:t>
            </w:r>
            <w:r>
              <w:rPr/>
              <w:t>福建信成项目管理有限公司</w:t>
            </w:r>
            <w:r>
              <w:rPr/>
              <w:t xml:space="preserve"> 提出，依法获取招标文件的时间以福建省政府采购网上公开信息系统记载的为准。</w:t>
            </w:r>
          </w:p>
          <w:p>
            <w:pPr>
              <w:pStyle w:val="null3"/>
              <w:jc w:val="left"/>
            </w:pPr>
            <w:r>
              <w:rPr/>
              <w:t>※除上述规定外，对招标文件提出的质疑还应符合招标文件第三章第15.1条的有关规定。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1）采购代理服务费以采购包的中标（成交）金额，参照计价格〔2002〕1980号文标准，采购项目中标（成交）金额100万元（含）以下的下浮20%，采购项目中标（成交）金额100万元（不含）-500万元（不含）的下浮30%，采购项目中标（成交）金额500万元（含）以上的下浮40%，最低1000元执行。乙类大型医用设备集中采购项目按照计价标准整体下浮50%；（2）服务费缴纳账号：开户名 称：福建信成项目管理有限公司，账号：160200578，开户银行：中国民生银行福州闽都支行</w:t>
            </w:r>
          </w:p>
          <w:p>
            <w:pPr>
              <w:pStyle w:val="null3"/>
              <w:jc w:val="left"/>
            </w:pPr>
            <w:r>
              <w:rPr/>
              <w:t xml:space="preserve"> (2)其他：</w:t>
            </w:r>
          </w:p>
          <w:p>
            <w:pPr>
              <w:pStyle w:val="null3"/>
              <w:jc w:val="left"/>
            </w:pPr>
            <w:r>
              <w:rPr/>
              <w:t>19.2.1根据《政府采购质疑和投诉办法》(财政部令第94号)第十二条的规定。 19.2.2质疑与投诉 19.2.2.1质疑：根据《政府采购质疑和投诉办法》(财政部令第94号)第十条规定，以书面形式向采购人、采购代 理机构提出质疑。潜在供应商提交质疑书的补充材料：提供磋商文件首次查看（下载）时间证明材料并加盖供应商公章（首次下载之日以福建政府采购网上公开信息系统记载的为准）。供应商在法定质疑期内须一次性提出针对同一采购程序环节的质疑。接收质疑函的方式、联系部门、联系电话和提交地址 (1)接收质疑函的方式：书面形式现场提交； (2)接收质疑函的联系部门：福建信成项目管理有限公司项目组；地址：福州市晋安区华林路271号幸福新村-龙福楼6层601-603；联系方法：0591-87572007 19.2.2.2投诉：根据《政府采购质疑和投诉办法》(财政部令第94号)第十八条规定及《政府采购质疑和投诉办法》(财政部令第94号)第二十条规定。19.2.3中标人在领取中标通知书时，应向招标代理机构提供与电子投标文件一致的纸质投标文件（加盖中标人单位公章）2套：资格及资信证明部分的正本1份、副本1份，报价部分的正本1份、副本1份，技术商务部分的正本1份、副本1份。</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w:t>
            </w:r>
            <w:r>
              <w:rPr/>
              <w:t xml:space="preserve"> 的内容修正为下列内容：</w:t>
            </w:r>
          </w:p>
          <w:p>
            <w:pPr>
              <w:pStyle w:val="null3"/>
              <w:jc w:val="left"/>
            </w:pPr>
            <w:r>
              <w:rPr/>
              <w:t>/</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应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a.通过远程参与开标流程的供应商，供应商可远程线上解密（相关操作手册可查看福建省政府采购网首页操作指南），现场参与开标流程的供应商请携带CA证书到开标现场进行解密，选择携带CA证书并由代理机构进行解密的应在投标截止时间前到达开标现场，否则不予接收。供应商选择远程线上解密的，无须将CA证书送至开标地点。 b.供应商不到开标现场的，请在开标时自行登录采购系统，线上参与开标流程，并按规定在相应时段对响应文件进行远程解密、远程签章。 c.供应商应确保自身设施、设备、网络环境状况良好，在操作过程中因供应商自身原因造成无法正常观看开标流程、远程解密或签章的，后果由供应商自行承担。 d.在规定的时间内正确提交电子响应文件的供应商在开标时将由系统判定签到情况，供应商应在远程解密开启后在规定时间内使用CA数字证书进行响应文件的解密操作，逾期未解密的视为自行放弃投标。 e.开标结束后，供应商应当对开标结果进行签章，并在远程签章开放后的规定时间内完成，逾期未签章的视为认同开标结果。 f.远程解密及远程签章的开放起始时间均在开标过程中临时开启，远程解密环节的解密时限规定为30分钟，远程签章环节的签章时限规定为10分钟，请供应商务必密切关注实时开标流程，并根据流程在系统内按时操作，否则产生的后果由供应商自行承担。</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left"/>
      </w:pPr>
      <w:r>
        <w:rPr/>
        <w:t>投标人对提供福建省政府采购供应商资格承诺函及所承诺事项的真实性、合法性及有效性负责，并已知晓所提供资格承诺函内容不实的，可能涉嫌《中华人民共和国政府采购法》第七十七条第一款第(一)项规定的“提供虚假材料谋取中标成交”违法情形。经调查属实的，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福建信成项目管理有限公司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福建信成项目管理有限公司</w:t>
      </w:r>
      <w:r>
        <w:rPr/>
        <w:t xml:space="preserve"> 将在投标截止时间至少15个日历日前，在招标文件载明的指定媒体以更正公告的形式发布澄清或修改的内容。不足15个日历日的， </w:t>
      </w:r>
      <w:r>
        <w:rPr/>
        <w:t>福建信成项目管理有限公司</w:t>
      </w:r>
      <w:r>
        <w:rPr/>
        <w:t xml:space="preserve"> 将顺延投标截止时间及开标时间， </w:t>
      </w:r>
      <w:r>
        <w:rPr/>
        <w:t>福建信成项目管理有限公司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福建信成项目管理有限公司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福建信成项目管理有限公司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福建信成项目管理有限公司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福建信成项目管理有限公司</w:t>
      </w:r>
      <w:r>
        <w:rPr/>
        <w:t xml:space="preserve"> 可终止招标并发布终止公告。</w:t>
      </w:r>
    </w:p>
    <w:p>
      <w:pPr>
        <w:pStyle w:val="null3"/>
        <w:ind w:firstLine="480"/>
        <w:jc w:val="both"/>
      </w:pPr>
      <w:r>
        <w:rPr/>
        <w:t xml:space="preserve">8.2终止公告作为 </w:t>
      </w:r>
      <w:r>
        <w:rPr/>
        <w:t>福建信成项目管理有限公司</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福建信成项目管理有限公司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福建信成项目管理有限公司</w:t>
      </w:r>
      <w:r>
        <w:rPr/>
        <w:t xml:space="preserve"> 可于投标有效期届满之前书面要求投标人延长投标有效期，投标人应在 </w:t>
      </w:r>
      <w:r>
        <w:rPr/>
        <w:t>福建信成项目管理有限公司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本项目无须缴纳投标保证金</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福建信成项目管理有限公司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福建信成项目管理有限公司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福建信成项目管理有限公司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福建信成项目管理有限公司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福建信成项目管理有限公司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福建信成项目管理有限公司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福建信成项目管理有限公司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福建信成项目管理有限公司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福建信成项目管理有限公司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福建信成项目管理有限公司</w:t>
      </w:r>
      <w:r>
        <w:rPr/>
        <w:t xml:space="preserve"> 提出询问， </w:t>
      </w:r>
      <w:r>
        <w:rPr/>
        <w:t>福建信成项目管理有限公司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福建信成项目管理有限公司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福建信成项目管理有限公司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由福建信成项目管理有限公司派出的工作人员至少1人，</w:t>
      </w:r>
      <w:r>
        <w:rPr/>
        <w:t>其余1人可为采购人代表或福建信成项目管理有限公司的工作人员。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left"/>
      </w:pPr>
      <w:r>
        <w:rPr/>
        <w:t>③根据招标文件第四章第一点资格审查的1.3“④其他资格证明文件”要求，允许供应商采用资格承诺制的并提供符合要求的资格承诺函，视为满足招标文件的资格要求。</w:t>
      </w:r>
    </w:p>
    <w:p>
      <w:pPr>
        <w:pStyle w:val="null3"/>
        <w:ind w:firstLine="480"/>
        <w:jc w:val="both"/>
      </w:pPr>
      <w:r>
        <w:rPr/>
        <w:t>④.其他资格证明文件：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w:t>
            </w:r>
          </w:p>
        </w:tc>
        <w:tc>
          <w:tcPr>
            <w:tcW w:type="dxa" w:w="4614"/>
          </w:tcPr>
          <w:p>
            <w:pPr>
              <w:pStyle w:val="null3"/>
              <w:jc w:val="left"/>
            </w:pPr>
            <w:r>
              <w:rPr/>
              <w:t>采用资格承诺制的供应商，须根据投标(响应)格式文件要求提供资格承诺函，否则，视为未按照招标文件规定提交投标人的资格及资信文件，按资格审查不合格处理。</w:t>
            </w:r>
          </w:p>
        </w:tc>
      </w:tr>
      <w:tr>
        <w:tc>
          <w:tcPr>
            <w:tcW w:type="dxa" w:w="3692"/>
          </w:tcPr>
          <w:p>
            <w:pPr>
              <w:pStyle w:val="null3"/>
              <w:jc w:val="left"/>
            </w:pPr>
            <w:r>
              <w:rPr/>
              <w:t>资格承诺函补充说明</w:t>
            </w:r>
          </w:p>
        </w:tc>
        <w:tc>
          <w:tcPr>
            <w:tcW w:type="dxa" w:w="4614"/>
          </w:tcPr>
          <w:p>
            <w:pPr>
              <w:pStyle w:val="null3"/>
              <w:jc w:val="left"/>
            </w:pPr>
            <w:r>
              <w:rPr/>
              <w:t>根据《福建省财政厅关于印发推行政府采购供应商资格承诺制指导意见的通知》（闽财购〔2024〕6号）要求，2024年10月1日起，政府采购项目推行投标人资格证明材料承诺制。投标人在投标时，按照规定提供相关资格承诺函（详见附件）的，可不提供《中华人民共和国政府采购法实施条例》第十七条第一款规定的资格条件证明材料；若未提供相关资格承诺函的，则应在投标时，提供《中华人民共和国政府采购法实施条例》第十七条第一款规定的资格条件证明材料；否则，视为未按照招标文件规定提交投标人的资格及资信文件，按资格审查不通过处理。</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资格及资信证明部分中不得出现报价部分的全部或者部分的投标报价信息（或组成资料），否则资格审查不合格。</w:t>
            </w:r>
          </w:p>
        </w:tc>
      </w:tr>
    </w:tbl>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福建信成项目管理有限公司</w:t>
      </w:r>
      <w:r>
        <w:rPr/>
        <w:t xml:space="preserve"> 统一对外发布。</w:t>
      </w:r>
    </w:p>
    <w:p>
      <w:pPr>
        <w:pStyle w:val="null3"/>
        <w:ind w:firstLine="480"/>
        <w:jc w:val="both"/>
      </w:pPr>
      <w:r>
        <w:rPr/>
        <w:t xml:space="preserve">3、资格审查合格的投标人不足三家的，不进行评标。同时，本次采购活动结束， </w:t>
      </w:r>
      <w:r>
        <w:rPr/>
        <w:t>福建信成项目管理有限公司</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福建信成项目管理有限公司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福建信成项目管理有限公司</w:t>
      </w:r>
      <w:r>
        <w:rPr/>
        <w:t xml:space="preserve"> 统一对外发布。</w:t>
      </w:r>
    </w:p>
    <w:p>
      <w:pPr>
        <w:pStyle w:val="null3"/>
        <w:ind w:firstLine="480"/>
        <w:jc w:val="both"/>
      </w:pPr>
      <w:r>
        <w:rPr/>
        <w:t xml:space="preserve">②对 </w:t>
      </w:r>
      <w:r>
        <w:rPr/>
        <w:t>福建信成项目管理有限公司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1.投标文件的技术部分中出现报价部分的全部或部分的投标报价信息（或组成资料）；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2.属于招标文件规定评标委员会否决其投标的情形。</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1.投标文件的商务部分中出现报价部分的全部或部分的投标报价信息（或组成资料）；</w:t>
            </w:r>
          </w:p>
        </w:tc>
      </w:tr>
      <w:tr>
        <w:tc>
          <w:tcPr>
            <w:tcW w:type="dxa" w:w="4153"/>
          </w:tcPr>
          <w:p>
            <w:pPr>
              <w:pStyle w:val="null3"/>
              <w:jc w:val="left"/>
            </w:pPr>
            <w:r>
              <w:rPr/>
              <w:t>其他情形</w:t>
            </w:r>
          </w:p>
        </w:tc>
        <w:tc>
          <w:tcPr>
            <w:tcW w:type="dxa" w:w="4153"/>
          </w:tcPr>
          <w:p>
            <w:pPr>
              <w:pStyle w:val="null3"/>
              <w:jc w:val="left"/>
            </w:pPr>
            <w:r>
              <w:rPr/>
              <w:t>2.投标人对招标文件第五章第三款“商务条件”响应有任一项不满足招标文件要求的，其投标无效；</w:t>
            </w:r>
          </w:p>
        </w:tc>
      </w:tr>
      <w:tr>
        <w:tc>
          <w:tcPr>
            <w:tcW w:type="dxa" w:w="4153"/>
          </w:tcPr>
          <w:p>
            <w:pPr>
              <w:pStyle w:val="null3"/>
              <w:jc w:val="left"/>
            </w:pPr>
            <w:r>
              <w:rPr/>
              <w:t>其他情形</w:t>
            </w:r>
          </w:p>
        </w:tc>
        <w:tc>
          <w:tcPr>
            <w:tcW w:type="dxa" w:w="4153"/>
          </w:tcPr>
          <w:p>
            <w:pPr>
              <w:pStyle w:val="null3"/>
              <w:jc w:val="left"/>
            </w:pPr>
            <w:r>
              <w:rPr/>
              <w:t>3.属于招标文件规定评标委员会应否决其投标的情形。</w:t>
            </w:r>
          </w:p>
        </w:tc>
      </w:tr>
    </w:tbl>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若综合得分有相同的最高分，则在综合得分相同的投标人中按报价优惠顺序推荐中标候选人，若综合得分和报价均相同的，则在综合得分和报价均相同的投标人中按技术质量得分高低顺序推荐中标候选人，若综合得分、报价和技术质量得分均相同的，则在综合得分、报价和技术质量得分均相同的投标人中按商务质量得分高低顺序推荐中标候选人，若综合得分、报价、技术质量得分和商务质量得分均相同的，按随机抽取推荐中标候选人。</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福建信成项目管理有限公司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w:t>
      </w:r>
      <w:r>
        <w:rPr/>
        <w:t xml:space="preserve"> ，其中：F1指价格项评审因素得分、F2指技术项评审因素得分、F3指商务项评审因素得分，A1指价格项评审因素所占的权重、A2指技术项评审因素所占的权重、A3指商务项评审因素所占的权重，A1+A2+A3=1、F1×A1＋F2×A2＋F3×A3=100分（满分时） 。</w:t>
      </w:r>
    </w:p>
    <w:p>
      <w:pPr>
        <w:pStyle w:val="null3"/>
        <w:jc w:val="both"/>
      </w:pPr>
      <w:r>
        <w:rPr/>
        <w:t>各项评审因素的设置如下：</w:t>
      </w:r>
    </w:p>
    <w:p>
      <w:pPr>
        <w:pStyle w:val="null3"/>
        <w:jc w:val="both"/>
      </w:pPr>
      <w:r>
        <w:rPr/>
        <w:t>价格项（F1×A1）满分为10.0000分</w:t>
      </w:r>
    </w:p>
    <w:p>
      <w:pPr>
        <w:pStyle w:val="null3"/>
        <w:jc w:val="both"/>
      </w:pPr>
      <w:r>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技术项（F2×A2）满分为72.0000分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T1技术响应情况</w:t>
            </w:r>
          </w:p>
        </w:tc>
        <w:tc>
          <w:tcPr>
            <w:tcW w:type="dxa" w:w="831"/>
          </w:tcPr>
          <w:p>
            <w:pPr>
              <w:pStyle w:val="null3"/>
              <w:jc w:val="right"/>
            </w:pPr>
            <w:r>
              <w:rPr/>
              <w:t>33.0000</w:t>
            </w:r>
          </w:p>
        </w:tc>
        <w:tc>
          <w:tcPr>
            <w:tcW w:type="dxa" w:w="4153"/>
          </w:tcPr>
          <w:p>
            <w:pPr>
              <w:pStyle w:val="null3"/>
              <w:jc w:val="both"/>
            </w:pPr>
            <w:r>
              <w:rPr/>
              <w:t>根据各投标人对招标文件《第五章 招标内容及要求》二、技术和服务要求中的响应情况进行评议，其中：参与评分的评标序号（共33项），每负偏离一项扣1分，全部满足的得33分。注：评标序号1-评标序号33均为本级序号。【注：①投标人须按照本文件所列的所有技术要求如实地填写逐条响应，并列出正负偏离情况；因编排错乱或响应不完整而导致的不利评审由投标人自行承担。②技术和服务要求中若有要求投标人提供相应佐证材料的，投标人未提供相应佐证材料或者投标人的响应承诺与其佐证材料不一致的，评标委员会将以不利于投标人的内容为准进行评审（负偏离）】</w:t>
            </w:r>
          </w:p>
        </w:tc>
      </w:tr>
      <w:tr>
        <w:tc>
          <w:tcPr>
            <w:tcW w:type="dxa" w:w="3322"/>
          </w:tcPr>
          <w:p>
            <w:pPr>
              <w:pStyle w:val="null3"/>
              <w:jc w:val="both"/>
            </w:pPr>
            <w:r>
              <w:rPr/>
              <w:t>T2项目实施部署方案</w:t>
            </w:r>
          </w:p>
        </w:tc>
        <w:tc>
          <w:tcPr>
            <w:tcW w:type="dxa" w:w="831"/>
          </w:tcPr>
          <w:p>
            <w:pPr>
              <w:pStyle w:val="null3"/>
              <w:jc w:val="right"/>
            </w:pPr>
            <w:r>
              <w:rPr/>
              <w:t>3.0000</w:t>
            </w:r>
          </w:p>
        </w:tc>
        <w:tc>
          <w:tcPr>
            <w:tcW w:type="dxa" w:w="4153"/>
          </w:tcPr>
          <w:p>
            <w:pPr>
              <w:pStyle w:val="null3"/>
              <w:jc w:val="both"/>
            </w:pPr>
            <w:r>
              <w:rPr/>
              <w:t>根据投标人结合本项目实际情况制定的项目实施部署方案，方案内容包括但不限于实施的质量、管理目标、项目管理的总体安排、岗位设置及相应的职责、规章制度等情况，由评委进行评分：投标人所提供的方案完整合理可行，项目针对性强的得3分；方案较完整合理可行，部分具有项目针对性的得2.8分；方案不够完整、不够合理可行，项目针对性弱的得2.7分；未提供或提供不全的不得分。</w:t>
            </w:r>
          </w:p>
        </w:tc>
      </w:tr>
      <w:tr>
        <w:tc>
          <w:tcPr>
            <w:tcW w:type="dxa" w:w="3322"/>
          </w:tcPr>
          <w:p>
            <w:pPr>
              <w:pStyle w:val="null3"/>
              <w:jc w:val="both"/>
            </w:pPr>
            <w:r>
              <w:rPr/>
              <w:t>T3运维服务体系流程方案</w:t>
            </w:r>
          </w:p>
        </w:tc>
        <w:tc>
          <w:tcPr>
            <w:tcW w:type="dxa" w:w="831"/>
          </w:tcPr>
          <w:p>
            <w:pPr>
              <w:pStyle w:val="null3"/>
              <w:jc w:val="right"/>
            </w:pPr>
            <w:r>
              <w:rPr/>
              <w:t>3.0000</w:t>
            </w:r>
          </w:p>
        </w:tc>
        <w:tc>
          <w:tcPr>
            <w:tcW w:type="dxa" w:w="4153"/>
          </w:tcPr>
          <w:p>
            <w:pPr>
              <w:pStyle w:val="null3"/>
              <w:jc w:val="both"/>
            </w:pPr>
            <w:r>
              <w:rPr/>
              <w:t>根据投标人结合本项目实际情况制定的项目实施部署方案，方案内容包括但不限于实施的质量、管理目标、项目管理的总体安排、岗位设置及相应的职责、规章制度等情况，由评委进行评分：投标人所提供的方案完整合理可行，项目针对性强的得3分；方案较完整合理可行，部分具有项目针对性的得2.8分；方案不够完整、不够合理可行，项目针对性弱的得2.7分；未提供或提供不全的不得分。</w:t>
            </w:r>
          </w:p>
        </w:tc>
      </w:tr>
      <w:tr>
        <w:tc>
          <w:tcPr>
            <w:tcW w:type="dxa" w:w="3322"/>
          </w:tcPr>
          <w:p>
            <w:pPr>
              <w:pStyle w:val="null3"/>
              <w:jc w:val="both"/>
            </w:pPr>
            <w:r>
              <w:rPr/>
              <w:t>T4运营维护考核措施方案</w:t>
            </w:r>
          </w:p>
        </w:tc>
        <w:tc>
          <w:tcPr>
            <w:tcW w:type="dxa" w:w="831"/>
          </w:tcPr>
          <w:p>
            <w:pPr>
              <w:pStyle w:val="null3"/>
              <w:jc w:val="right"/>
            </w:pPr>
            <w:r>
              <w:rPr/>
              <w:t>3.0000</w:t>
            </w:r>
          </w:p>
        </w:tc>
        <w:tc>
          <w:tcPr>
            <w:tcW w:type="dxa" w:w="4153"/>
          </w:tcPr>
          <w:p>
            <w:pPr>
              <w:pStyle w:val="null3"/>
              <w:jc w:val="both"/>
            </w:pPr>
            <w:r>
              <w:rPr/>
              <w:t>根据投标人结合本项目实际情况制定的运营维护考核措施方案，方案内容包括但不限于运营维护考核制度、服务管理人员考核制度、运营维护考核措施等情况，由评委进行评分：投标人所提供的方案完整合理可行，项目针对性强的得3分；方案较完整合理可行，部分具有项目针对性的得2.8分；方案不够完整、不够合理可行，项目针对性弱的得2.7分；未提供或提供不全的不得分。</w:t>
            </w:r>
          </w:p>
        </w:tc>
      </w:tr>
      <w:tr>
        <w:tc>
          <w:tcPr>
            <w:tcW w:type="dxa" w:w="3322"/>
          </w:tcPr>
          <w:p>
            <w:pPr>
              <w:pStyle w:val="null3"/>
              <w:jc w:val="both"/>
            </w:pPr>
            <w:r>
              <w:rPr/>
              <w:t>T5服务保障措施方案</w:t>
            </w:r>
          </w:p>
        </w:tc>
        <w:tc>
          <w:tcPr>
            <w:tcW w:type="dxa" w:w="831"/>
          </w:tcPr>
          <w:p>
            <w:pPr>
              <w:pStyle w:val="null3"/>
              <w:jc w:val="right"/>
            </w:pPr>
            <w:r>
              <w:rPr/>
              <w:t>3.0000</w:t>
            </w:r>
          </w:p>
        </w:tc>
        <w:tc>
          <w:tcPr>
            <w:tcW w:type="dxa" w:w="4153"/>
          </w:tcPr>
          <w:p>
            <w:pPr>
              <w:pStyle w:val="null3"/>
              <w:jc w:val="both"/>
            </w:pPr>
            <w:r>
              <w:rPr/>
              <w:t>根据投标人结合本项目实际情况制定的服务保障措施方案，方案内容包括但不限于运营管理制度、人事制度、薪酬制度等情况，由评委进行评分：投标人所提供的方案完整合理可行，项目针对性强的得3分；方案较完整合理可行，部分具有项目针对性的得2.8分；方案不够完整、不够合理可行，项目针对性弱的得2.7分；未提供或提供不全的不得分。</w:t>
            </w:r>
          </w:p>
        </w:tc>
      </w:tr>
      <w:tr>
        <w:tc>
          <w:tcPr>
            <w:tcW w:type="dxa" w:w="3322"/>
          </w:tcPr>
          <w:p>
            <w:pPr>
              <w:pStyle w:val="null3"/>
              <w:jc w:val="both"/>
            </w:pPr>
            <w:r>
              <w:rPr/>
              <w:t>T6作业服务计划和保证措施方案</w:t>
            </w:r>
          </w:p>
        </w:tc>
        <w:tc>
          <w:tcPr>
            <w:tcW w:type="dxa" w:w="831"/>
          </w:tcPr>
          <w:p>
            <w:pPr>
              <w:pStyle w:val="null3"/>
              <w:jc w:val="right"/>
            </w:pPr>
            <w:r>
              <w:rPr/>
              <w:t>3.0000</w:t>
            </w:r>
          </w:p>
        </w:tc>
        <w:tc>
          <w:tcPr>
            <w:tcW w:type="dxa" w:w="4153"/>
          </w:tcPr>
          <w:p>
            <w:pPr>
              <w:pStyle w:val="null3"/>
              <w:jc w:val="both"/>
            </w:pPr>
            <w:r>
              <w:rPr/>
              <w:t>根据投标人结合本项目实际情况制定的作业服务计划和保证措施方案，方案内容包括但不限于作业计划安排包括计划的进度节点安排、每个进度计划的人员分工安排及项目实施时间进度表与对应的处罚措施等情况，由评委进行评分：投标人所提供的方案完整合理可行，项目针对性强的得3分；方案较完整合理可行，部分具有项目针对性的得2.8分；方案不够完整、不够合理可行，项目针对性弱的得2.7分；未提供或提供不全的不得分。</w:t>
            </w:r>
          </w:p>
        </w:tc>
      </w:tr>
      <w:tr>
        <w:tc>
          <w:tcPr>
            <w:tcW w:type="dxa" w:w="3322"/>
          </w:tcPr>
          <w:p>
            <w:pPr>
              <w:pStyle w:val="null3"/>
              <w:jc w:val="both"/>
            </w:pPr>
            <w:r>
              <w:rPr/>
              <w:t>T7设备维护保养方案</w:t>
            </w:r>
          </w:p>
        </w:tc>
        <w:tc>
          <w:tcPr>
            <w:tcW w:type="dxa" w:w="831"/>
          </w:tcPr>
          <w:p>
            <w:pPr>
              <w:pStyle w:val="null3"/>
              <w:jc w:val="right"/>
            </w:pPr>
            <w:r>
              <w:rPr/>
              <w:t>3.0000</w:t>
            </w:r>
          </w:p>
        </w:tc>
        <w:tc>
          <w:tcPr>
            <w:tcW w:type="dxa" w:w="4153"/>
          </w:tcPr>
          <w:p>
            <w:pPr>
              <w:pStyle w:val="null3"/>
              <w:jc w:val="both"/>
            </w:pPr>
            <w:r>
              <w:rPr/>
              <w:t>根据投标人结合本项目实际情况制定的设备维护保养方案，方案内容包括但不限于维保主要技术手段、维保质量保障措施、维保安全文明措施等情况，由评委进行评分：投标人所提供的方案完整合理可行，项目针对性强的得3分；方案较完整合理可行，部分具有项目针对性的得2.8分；方案不够完整、不够合理可行，项目针对性弱的得2.7分；未提供或提供不全的不得分。</w:t>
            </w:r>
          </w:p>
        </w:tc>
      </w:tr>
      <w:tr>
        <w:tc>
          <w:tcPr>
            <w:tcW w:type="dxa" w:w="3322"/>
          </w:tcPr>
          <w:p>
            <w:pPr>
              <w:pStyle w:val="null3"/>
              <w:jc w:val="both"/>
            </w:pPr>
            <w:r>
              <w:rPr/>
              <w:t>T8废液管理方案</w:t>
            </w:r>
          </w:p>
        </w:tc>
        <w:tc>
          <w:tcPr>
            <w:tcW w:type="dxa" w:w="831"/>
          </w:tcPr>
          <w:p>
            <w:pPr>
              <w:pStyle w:val="null3"/>
              <w:jc w:val="right"/>
            </w:pPr>
            <w:r>
              <w:rPr/>
              <w:t>2.0000</w:t>
            </w:r>
          </w:p>
        </w:tc>
        <w:tc>
          <w:tcPr>
            <w:tcW w:type="dxa" w:w="4153"/>
          </w:tcPr>
          <w:p>
            <w:pPr>
              <w:pStyle w:val="null3"/>
              <w:jc w:val="both"/>
            </w:pPr>
            <w:r>
              <w:rPr/>
              <w:t>根据投标人针对本项目提供的在线监测设备废液收集、处置管理方案等情况，由评委进行评分：进行评价，收集、处置措施规范、合理的得2分；收集、处置措施较规范、较合理的得1.8分；收集、处置措施较规范、合理较差的得1.7分。未提供方案或方案与项目实际需求无关不得分。</w:t>
            </w:r>
          </w:p>
        </w:tc>
      </w:tr>
      <w:tr>
        <w:tc>
          <w:tcPr>
            <w:tcW w:type="dxa" w:w="3322"/>
          </w:tcPr>
          <w:p>
            <w:pPr>
              <w:pStyle w:val="null3"/>
              <w:jc w:val="both"/>
            </w:pPr>
            <w:r>
              <w:rPr/>
              <w:t>T9重点难点分析</w:t>
            </w:r>
          </w:p>
        </w:tc>
        <w:tc>
          <w:tcPr>
            <w:tcW w:type="dxa" w:w="831"/>
          </w:tcPr>
          <w:p>
            <w:pPr>
              <w:pStyle w:val="null3"/>
              <w:jc w:val="right"/>
            </w:pPr>
            <w:r>
              <w:rPr/>
              <w:t>3.0000</w:t>
            </w:r>
          </w:p>
        </w:tc>
        <w:tc>
          <w:tcPr>
            <w:tcW w:type="dxa" w:w="4153"/>
          </w:tcPr>
          <w:p>
            <w:pPr>
              <w:pStyle w:val="null3"/>
              <w:jc w:val="both"/>
            </w:pPr>
            <w:r>
              <w:rPr/>
              <w:t>投标人应根据现场实际情况对本项目实施的重点和难点进行分析，并提出可行有效的解决方案，方案设计与项目要求的符合性、专业技术水平等情况，由评委进行评分：方案设计合理、针对性强的得3分；方案较合理、针对性较强的得2.8分；方案阐述简短，但总体合理的得2.7分；未提供的本项不得分。</w:t>
            </w:r>
          </w:p>
        </w:tc>
      </w:tr>
      <w:tr>
        <w:tc>
          <w:tcPr>
            <w:tcW w:type="dxa" w:w="3322"/>
          </w:tcPr>
          <w:p>
            <w:pPr>
              <w:pStyle w:val="null3"/>
              <w:jc w:val="both"/>
            </w:pPr>
            <w:r>
              <w:rPr/>
              <w:t>T10应急处理方案</w:t>
            </w:r>
          </w:p>
        </w:tc>
        <w:tc>
          <w:tcPr>
            <w:tcW w:type="dxa" w:w="831"/>
          </w:tcPr>
          <w:p>
            <w:pPr>
              <w:pStyle w:val="null3"/>
              <w:jc w:val="right"/>
            </w:pPr>
            <w:r>
              <w:rPr/>
              <w:t>3.0000</w:t>
            </w:r>
          </w:p>
        </w:tc>
        <w:tc>
          <w:tcPr>
            <w:tcW w:type="dxa" w:w="4153"/>
          </w:tcPr>
          <w:p>
            <w:pPr>
              <w:pStyle w:val="null3"/>
              <w:jc w:val="both"/>
            </w:pPr>
            <w:r>
              <w:rPr/>
              <w:t>根据投标人结合本项目实际情况制定的应急处理方案，方案内容包括但不限于运营异常、停电、停水及自然灾害等情况，由评委进行评分：投标人所提供的方案完整合理可行，项目针对性强的得3分；方案较完整合理可行，部分具有项目针对性的得2.8分；方案不够完整、不够合理可行，项目针对性弱的得2.7分；未提供或提供不全的不得分。</w:t>
            </w:r>
          </w:p>
        </w:tc>
      </w:tr>
      <w:tr>
        <w:tc>
          <w:tcPr>
            <w:tcW w:type="dxa" w:w="3322"/>
          </w:tcPr>
          <w:p>
            <w:pPr>
              <w:pStyle w:val="null3"/>
              <w:jc w:val="both"/>
            </w:pPr>
            <w:r>
              <w:rPr/>
              <w:t>T11档案管理制度</w:t>
            </w:r>
          </w:p>
        </w:tc>
        <w:tc>
          <w:tcPr>
            <w:tcW w:type="dxa" w:w="831"/>
          </w:tcPr>
          <w:p>
            <w:pPr>
              <w:pStyle w:val="null3"/>
              <w:jc w:val="right"/>
            </w:pPr>
            <w:r>
              <w:rPr/>
              <w:t>3.0000</w:t>
            </w:r>
          </w:p>
        </w:tc>
        <w:tc>
          <w:tcPr>
            <w:tcW w:type="dxa" w:w="4153"/>
          </w:tcPr>
          <w:p>
            <w:pPr>
              <w:pStyle w:val="null3"/>
              <w:jc w:val="both"/>
            </w:pPr>
            <w:r>
              <w:rPr/>
              <w:t>根据投标人提供的运维工作的档案管理制度情况，由评委进行评分：运维工作的档案管理制度完整、重点突出、能指导本项目实施的得3分；运维工作的档案管理制度较完整、重点较突出、较能指导本项目实施的得2.8分；运维工作的档案管理制度基本完整、基本能指导本项目实施的得2.7分；档案管理制度差的或未提供的本项不得分。</w:t>
            </w:r>
          </w:p>
        </w:tc>
      </w:tr>
      <w:tr>
        <w:tc>
          <w:tcPr>
            <w:tcW w:type="dxa" w:w="3322"/>
          </w:tcPr>
          <w:p>
            <w:pPr>
              <w:pStyle w:val="null3"/>
              <w:jc w:val="both"/>
            </w:pPr>
            <w:r>
              <w:rPr/>
              <w:t>T12项目负责人</w:t>
            </w:r>
          </w:p>
        </w:tc>
        <w:tc>
          <w:tcPr>
            <w:tcW w:type="dxa" w:w="831"/>
          </w:tcPr>
          <w:p>
            <w:pPr>
              <w:pStyle w:val="null3"/>
              <w:jc w:val="right"/>
            </w:pPr>
            <w:r>
              <w:rPr/>
              <w:t>3.0000</w:t>
            </w:r>
          </w:p>
        </w:tc>
        <w:tc>
          <w:tcPr>
            <w:tcW w:type="dxa" w:w="4153"/>
          </w:tcPr>
          <w:p>
            <w:pPr>
              <w:pStyle w:val="null3"/>
              <w:jc w:val="both"/>
            </w:pPr>
            <w:r>
              <w:rPr/>
              <w:t>投标人拟派本项目的项目负责人：具有注册环保工程师执业资格的得1分；具有环境工程相关专业高级工程师职称的得1分；具有高危行业企业主要负责人或安全管理人员安全生产知识和管理能力考核合格证的得1分。（满分3分）注：须提供该人员身份证复印件、学历证书复印件、相关证书复印件和投标截止时间前6个月内（不含投标截止时间当月）任意一个月投标人企业为其缴纳社保的证明材料。此评分项与其他评分项中提供的人员不得重复。</w:t>
            </w:r>
          </w:p>
        </w:tc>
      </w:tr>
      <w:tr>
        <w:tc>
          <w:tcPr>
            <w:tcW w:type="dxa" w:w="3322"/>
          </w:tcPr>
          <w:p>
            <w:pPr>
              <w:pStyle w:val="null3"/>
              <w:jc w:val="both"/>
            </w:pPr>
            <w:r>
              <w:rPr/>
              <w:t>T13技术负责人</w:t>
            </w:r>
          </w:p>
        </w:tc>
        <w:tc>
          <w:tcPr>
            <w:tcW w:type="dxa" w:w="831"/>
          </w:tcPr>
          <w:p>
            <w:pPr>
              <w:pStyle w:val="null3"/>
              <w:jc w:val="right"/>
            </w:pPr>
            <w:r>
              <w:rPr/>
              <w:t>2.0000</w:t>
            </w:r>
          </w:p>
        </w:tc>
        <w:tc>
          <w:tcPr>
            <w:tcW w:type="dxa" w:w="4153"/>
          </w:tcPr>
          <w:p>
            <w:pPr>
              <w:pStyle w:val="null3"/>
              <w:jc w:val="both"/>
            </w:pPr>
            <w:r>
              <w:rPr/>
              <w:t>投标人拟派本项目的技术负责人：具有注册环保工程师执业资格的得1分；具有环境工程相关专业中级及以上工程师职称的得1分。（满分2分）注：须提供该人员身份证复印件、相关证书复印件和投标截止时间前6个月内（不含投标截止时间当月）任意一个月投标人企业为其缴纳社保的证明材料。此评分项与其他评分项中提供的人员不得重复。</w:t>
            </w:r>
          </w:p>
        </w:tc>
      </w:tr>
      <w:tr>
        <w:tc>
          <w:tcPr>
            <w:tcW w:type="dxa" w:w="3322"/>
          </w:tcPr>
          <w:p>
            <w:pPr>
              <w:pStyle w:val="null3"/>
              <w:jc w:val="both"/>
            </w:pPr>
            <w:r>
              <w:rPr/>
              <w:t>T14运营服务人员</w:t>
            </w:r>
          </w:p>
        </w:tc>
        <w:tc>
          <w:tcPr>
            <w:tcW w:type="dxa" w:w="831"/>
          </w:tcPr>
          <w:p>
            <w:pPr>
              <w:pStyle w:val="null3"/>
              <w:jc w:val="right"/>
            </w:pPr>
            <w:r>
              <w:rPr/>
              <w:t>3.0000</w:t>
            </w:r>
          </w:p>
        </w:tc>
        <w:tc>
          <w:tcPr>
            <w:tcW w:type="dxa" w:w="4153"/>
          </w:tcPr>
          <w:p>
            <w:pPr>
              <w:pStyle w:val="null3"/>
              <w:jc w:val="both"/>
            </w:pPr>
            <w:r>
              <w:rPr/>
              <w:t>投标人拟委派本项目的运营服务人员中同时具备环保部门颁发的“环境保护设施运行人员技能培训合格证书（污废水处理工）”和“环境保护设施运行人员技能培训合格证书（自动监控（污废水）处理工）”的人员，每提供1人得0.75分，满分3分。注：须提供相关证书复印件和人员投标截止前六个月（不含投标当月）中任意一个月由社保机构或税务部门出具在投标人处依法缴纳的社保证明材料复印件，否则不得分。此评分项与其他评分项中提供的人员不得重复。</w:t>
            </w:r>
          </w:p>
        </w:tc>
      </w:tr>
      <w:tr>
        <w:tc>
          <w:tcPr>
            <w:tcW w:type="dxa" w:w="3322"/>
          </w:tcPr>
          <w:p>
            <w:pPr>
              <w:pStyle w:val="null3"/>
              <w:jc w:val="both"/>
            </w:pPr>
            <w:r>
              <w:rPr/>
              <w:t>T15维修人员</w:t>
            </w:r>
          </w:p>
        </w:tc>
        <w:tc>
          <w:tcPr>
            <w:tcW w:type="dxa" w:w="831"/>
          </w:tcPr>
          <w:p>
            <w:pPr>
              <w:pStyle w:val="null3"/>
              <w:jc w:val="right"/>
            </w:pPr>
            <w:r>
              <w:rPr/>
              <w:t>2.0000</w:t>
            </w:r>
          </w:p>
        </w:tc>
        <w:tc>
          <w:tcPr>
            <w:tcW w:type="dxa" w:w="4153"/>
          </w:tcPr>
          <w:p>
            <w:pPr>
              <w:pStyle w:val="null3"/>
              <w:jc w:val="both"/>
            </w:pPr>
            <w:r>
              <w:rPr/>
              <w:t>投标人拟投入本项目的维修人员中：具有中级及以上安装电工证书的得1分；具有中级及以上电焊工证书的得1分。（满分2分）注：须提供相关人员身份证复印件、相关证书复印件及投标截止时间前6个月内（不含投标截止时间当月）任意一个月投标人企业为其缴纳社保的证明材料。此评分项与其他评分项中提供的人员不得重复。</w:t>
            </w:r>
          </w:p>
        </w:tc>
      </w:tr>
    </w:tbl>
    <w:p>
      <w:pPr>
        <w:pStyle w:val="null3"/>
        <w:jc w:val="both"/>
      </w:pPr>
      <w:r>
        <w:rPr/>
        <w:t>商务项（F3×A3）满分为18.0000分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B1软件支持</w:t>
            </w:r>
          </w:p>
        </w:tc>
        <w:tc>
          <w:tcPr>
            <w:tcW w:type="dxa" w:w="831"/>
          </w:tcPr>
          <w:p>
            <w:pPr>
              <w:pStyle w:val="null3"/>
              <w:jc w:val="right"/>
            </w:pPr>
            <w:r>
              <w:rPr/>
              <w:t>3.0000</w:t>
            </w:r>
          </w:p>
        </w:tc>
        <w:tc>
          <w:tcPr>
            <w:tcW w:type="dxa" w:w="4153"/>
          </w:tcPr>
          <w:p>
            <w:pPr>
              <w:pStyle w:val="null3"/>
              <w:jc w:val="both"/>
            </w:pPr>
            <w:r>
              <w:rPr/>
              <w:t>投标人每提供一份与污水处理有关的软件著作权，且提供有效证书复印件的得1.5分；满分3分。</w:t>
            </w:r>
          </w:p>
        </w:tc>
      </w:tr>
      <w:tr>
        <w:tc>
          <w:tcPr>
            <w:tcW w:type="dxa" w:w="3322"/>
          </w:tcPr>
          <w:p>
            <w:pPr>
              <w:pStyle w:val="null3"/>
              <w:jc w:val="both"/>
            </w:pPr>
            <w:r>
              <w:rPr/>
              <w:t>B2服务情况</w:t>
            </w:r>
          </w:p>
        </w:tc>
        <w:tc>
          <w:tcPr>
            <w:tcW w:type="dxa" w:w="831"/>
          </w:tcPr>
          <w:p>
            <w:pPr>
              <w:pStyle w:val="null3"/>
              <w:jc w:val="right"/>
            </w:pPr>
            <w:r>
              <w:rPr/>
              <w:t>3.0000</w:t>
            </w:r>
          </w:p>
        </w:tc>
        <w:tc>
          <w:tcPr>
            <w:tcW w:type="dxa" w:w="4153"/>
          </w:tcPr>
          <w:p>
            <w:pPr>
              <w:pStyle w:val="null3"/>
              <w:jc w:val="both"/>
            </w:pPr>
            <w:r>
              <w:rPr/>
              <w:t>根据投标人近三年内在经营活动中未被服务过的业主通报批评或处罚的得3分，投标人须针对本项提供承诺函，未提供承诺函，或有被通报批评或处罚的本项不得分。</w:t>
            </w:r>
          </w:p>
        </w:tc>
      </w:tr>
      <w:tr>
        <w:tc>
          <w:tcPr>
            <w:tcW w:type="dxa" w:w="3322"/>
          </w:tcPr>
          <w:p>
            <w:pPr>
              <w:pStyle w:val="null3"/>
              <w:jc w:val="both"/>
            </w:pPr>
            <w:r>
              <w:rPr/>
              <w:t>B3售后服务响应情况</w:t>
            </w:r>
          </w:p>
        </w:tc>
        <w:tc>
          <w:tcPr>
            <w:tcW w:type="dxa" w:w="831"/>
          </w:tcPr>
          <w:p>
            <w:pPr>
              <w:pStyle w:val="null3"/>
              <w:jc w:val="right"/>
            </w:pPr>
            <w:r>
              <w:rPr/>
              <w:t>3.0000</w:t>
            </w:r>
          </w:p>
        </w:tc>
        <w:tc>
          <w:tcPr>
            <w:tcW w:type="dxa" w:w="4153"/>
          </w:tcPr>
          <w:p>
            <w:pPr>
              <w:pStyle w:val="null3"/>
              <w:jc w:val="both"/>
            </w:pPr>
            <w:r>
              <w:rPr/>
              <w:t>根据各投标人对本项目实施服务的机构设置情况、沟通交流方便性、应急处理能力、响应时间等方案情况进行打分，沟通交流方便、应急处理能力强、15分钟内响应，4小时内到达现场的得3分；沟通交流较方便、应急处理能力较强、30分钟内响应，6小时内到达现场的得2分；沟通交流、应急处理能力有待加强、30分钟内响应，8小时内到达现场的得1分；其他情况不得分。注：投标人需提供承诺函原件及可行性证据作为佐证依据，如评标委员会认为其实施方案不可行或佐证材料不能合理证明其到场的响应时间的，则不得分。到达时间以汽车通勤时间计算，需提供百度地图或高德地图等电子地图测算投标人应急响应人员到达现场的时间截图。</w:t>
            </w:r>
          </w:p>
        </w:tc>
      </w:tr>
      <w:tr>
        <w:tc>
          <w:tcPr>
            <w:tcW w:type="dxa" w:w="3322"/>
          </w:tcPr>
          <w:p>
            <w:pPr>
              <w:pStyle w:val="null3"/>
              <w:jc w:val="both"/>
            </w:pPr>
            <w:r>
              <w:rPr/>
              <w:t>B4意外保险情况</w:t>
            </w:r>
          </w:p>
        </w:tc>
        <w:tc>
          <w:tcPr>
            <w:tcW w:type="dxa" w:w="831"/>
          </w:tcPr>
          <w:p>
            <w:pPr>
              <w:pStyle w:val="null3"/>
              <w:jc w:val="right"/>
            </w:pPr>
            <w:r>
              <w:rPr/>
              <w:t>3.0000</w:t>
            </w:r>
          </w:p>
        </w:tc>
        <w:tc>
          <w:tcPr>
            <w:tcW w:type="dxa" w:w="4153"/>
          </w:tcPr>
          <w:p>
            <w:pPr>
              <w:pStyle w:val="null3"/>
              <w:jc w:val="both"/>
            </w:pPr>
            <w:r>
              <w:rPr/>
              <w:t>投标人承诺中标后为所有投入本项目员工购买人身意外保险情况（包括个人意外伤害商业保险或雇主责任险）进行评议，员工死亡伤残赔付限额≥100万元的，得3分；员工死亡伤残赔付限额介于100万元（不含）至50万元（不含）的得1.5分；员工死亡伤残赔付限额≤50万元或未提供不得分。投标人需提供承诺函，格式自拟。</w:t>
            </w:r>
          </w:p>
        </w:tc>
      </w:tr>
      <w:tr>
        <w:tc>
          <w:tcPr>
            <w:tcW w:type="dxa" w:w="3322"/>
          </w:tcPr>
          <w:p>
            <w:pPr>
              <w:pStyle w:val="null3"/>
              <w:jc w:val="both"/>
            </w:pPr>
            <w:r>
              <w:rPr/>
              <w:t>B5安全承诺</w:t>
            </w:r>
          </w:p>
        </w:tc>
        <w:tc>
          <w:tcPr>
            <w:tcW w:type="dxa" w:w="831"/>
          </w:tcPr>
          <w:p>
            <w:pPr>
              <w:pStyle w:val="null3"/>
              <w:jc w:val="right"/>
            </w:pPr>
            <w:r>
              <w:rPr/>
              <w:t>3.0000</w:t>
            </w:r>
          </w:p>
        </w:tc>
        <w:tc>
          <w:tcPr>
            <w:tcW w:type="dxa" w:w="4153"/>
          </w:tcPr>
          <w:p>
            <w:pPr>
              <w:pStyle w:val="null3"/>
              <w:jc w:val="both"/>
            </w:pPr>
            <w:r>
              <w:rPr/>
              <w:t>投标人承诺中标后，在服务期内，对拟投入的所有人员安全负全部责任，若发生安全事故，承担全部责任，提供承诺的得3分，未提供承诺的不得分。</w:t>
            </w:r>
          </w:p>
        </w:tc>
      </w:tr>
      <w:tr>
        <w:tc>
          <w:tcPr>
            <w:tcW w:type="dxa" w:w="3322"/>
          </w:tcPr>
          <w:p>
            <w:pPr>
              <w:pStyle w:val="null3"/>
              <w:jc w:val="both"/>
            </w:pPr>
            <w:r>
              <w:rPr/>
              <w:t>B6团队人员承诺</w:t>
            </w:r>
          </w:p>
        </w:tc>
        <w:tc>
          <w:tcPr>
            <w:tcW w:type="dxa" w:w="831"/>
          </w:tcPr>
          <w:p>
            <w:pPr>
              <w:pStyle w:val="null3"/>
              <w:jc w:val="right"/>
            </w:pPr>
            <w:r>
              <w:rPr/>
              <w:t>3.0000</w:t>
            </w:r>
          </w:p>
        </w:tc>
        <w:tc>
          <w:tcPr>
            <w:tcW w:type="dxa" w:w="4153"/>
          </w:tcPr>
          <w:p>
            <w:pPr>
              <w:pStyle w:val="null3"/>
              <w:jc w:val="both"/>
            </w:pPr>
            <w:r>
              <w:rPr/>
              <w:t>投标人承诺投入本项目的人员在服务期内不更换的得3分，未提供承诺的不得分。</w:t>
            </w:r>
          </w:p>
        </w:tc>
      </w:tr>
    </w:tbl>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rPr>
        <w:t>1.服务范围：提供福州市中医院鼓楼院区、福州市中医院贤南分部、福州市中医院五四北院区三处污水处理站运维服务，及在线设备运维服务。</w:t>
      </w:r>
    </w:p>
    <w:p>
      <w:pPr>
        <w:pStyle w:val="null3"/>
        <w:ind w:firstLine="482"/>
        <w:jc w:val="both"/>
      </w:pPr>
      <w:r>
        <w:rPr>
          <w:rFonts w:ascii="宋体" w:hAnsi="宋体" w:cs="宋体" w:eastAsia="宋体"/>
          <w:sz w:val="24"/>
        </w:rPr>
        <w:t>2.处理规模：福州市中医院鼓楼院区（包含污水处理站设备及发热门诊污水处理机）处理规模300m³/d，福州市中医院贤南分部300L/d，福州市中医院五四北院区800m³/d。</w:t>
      </w:r>
    </w:p>
    <w:p>
      <w:pPr>
        <w:pStyle w:val="null3"/>
        <w:ind w:firstLine="480"/>
        <w:jc w:val="left"/>
        <w:outlineLvl w:val="2"/>
      </w:pPr>
      <w:r>
        <w:rPr>
          <w:sz w:val="28"/>
          <w:b/>
        </w:rPr>
        <w:t>二、技术和服务要求（以“★”标示的内容为不允许负偏离的实质性要求）</w:t>
      </w:r>
    </w:p>
    <w:p>
      <w:pPr>
        <w:pStyle w:val="null3"/>
        <w:jc w:val="left"/>
      </w:pPr>
      <w:r>
        <w:rPr>
          <w:rFonts w:ascii="宋体" w:hAnsi="宋体" w:cs="宋体" w:eastAsia="宋体"/>
          <w:sz w:val="24"/>
          <w:b/>
        </w:rPr>
        <w:t>（一）污水处理站部分</w:t>
      </w:r>
    </w:p>
    <w:p>
      <w:pPr>
        <w:pStyle w:val="null3"/>
        <w:ind w:firstLine="480"/>
        <w:jc w:val="left"/>
      </w:pPr>
      <w:r>
        <w:rPr>
          <w:rFonts w:ascii="宋体" w:hAnsi="宋体" w:cs="宋体" w:eastAsia="宋体"/>
          <w:sz w:val="24"/>
        </w:rPr>
        <w:t>1.主要服务内容：</w:t>
      </w:r>
    </w:p>
    <w:p>
      <w:pPr>
        <w:pStyle w:val="null3"/>
        <w:ind w:firstLine="480"/>
        <w:jc w:val="left"/>
      </w:pPr>
      <w:r>
        <w:rPr>
          <w:rFonts w:ascii="宋体" w:hAnsi="宋体" w:cs="宋体" w:eastAsia="宋体"/>
          <w:sz w:val="24"/>
        </w:rPr>
        <w:t>【评标序号</w:t>
      </w:r>
      <w:r>
        <w:rPr>
          <w:rFonts w:ascii="宋体" w:hAnsi="宋体" w:cs="宋体" w:eastAsia="宋体"/>
          <w:sz w:val="24"/>
        </w:rPr>
        <w:t>1】1.1完成污水处理站日常运营管理，污水处理站的范围界定为污水处理站格栅渠进水口（含格栅渠）始至污水处理站标准化排口（含标准化排口）止。</w:t>
      </w:r>
    </w:p>
    <w:p>
      <w:pPr>
        <w:pStyle w:val="null3"/>
        <w:ind w:firstLine="480"/>
        <w:jc w:val="left"/>
      </w:pPr>
      <w:r>
        <w:rPr>
          <w:rFonts w:ascii="宋体" w:hAnsi="宋体" w:cs="宋体" w:eastAsia="宋体"/>
          <w:sz w:val="24"/>
        </w:rPr>
        <w:t>【评标序号</w:t>
      </w:r>
      <w:r>
        <w:rPr>
          <w:rFonts w:ascii="宋体" w:hAnsi="宋体" w:cs="宋体" w:eastAsia="宋体"/>
          <w:sz w:val="24"/>
        </w:rPr>
        <w:t>2】1.2污水处理站具体运营托管包括：所有设备设施日常运行、管理、维护、维修、保养，污水处理站运行所需的药剂、试剂、材料，污水处理站范围内管网的运营维护，水质自检及分析化验，运维人员配备及管理（运维人员工资福利、安全防护、安全责任），运维记录及技术资料存档，信息汇报等保证正常运营的所有内容。需确保出水水质稳定达标排放。（污处理站整体托管运营服务不包含排污许可证自行监测服务）。</w:t>
      </w:r>
    </w:p>
    <w:p>
      <w:pPr>
        <w:pStyle w:val="null3"/>
        <w:ind w:firstLine="480"/>
        <w:jc w:val="left"/>
      </w:pPr>
      <w:r>
        <w:rPr>
          <w:rFonts w:ascii="宋体" w:hAnsi="宋体" w:cs="宋体" w:eastAsia="宋体"/>
          <w:sz w:val="24"/>
        </w:rPr>
        <w:t>2.质量要求：</w:t>
      </w:r>
    </w:p>
    <w:p>
      <w:pPr>
        <w:pStyle w:val="null3"/>
        <w:ind w:firstLine="480"/>
        <w:jc w:val="left"/>
      </w:pPr>
      <w:r>
        <w:rPr>
          <w:rFonts w:ascii="宋体" w:hAnsi="宋体" w:cs="宋体" w:eastAsia="宋体"/>
          <w:sz w:val="24"/>
        </w:rPr>
        <w:t>【评标序号</w:t>
      </w:r>
      <w:r>
        <w:rPr>
          <w:rFonts w:ascii="宋体" w:hAnsi="宋体" w:cs="宋体" w:eastAsia="宋体"/>
          <w:sz w:val="24"/>
        </w:rPr>
        <w:t>3】2.1运营托管期污水处理站出水排放要求：出水水质满足《医疗机构水污染物排放标准》（GB18466-2005）表1中的标准值。</w:t>
      </w:r>
    </w:p>
    <w:p>
      <w:pPr>
        <w:pStyle w:val="null3"/>
        <w:ind w:firstLine="480"/>
        <w:jc w:val="left"/>
      </w:pPr>
      <w:r>
        <w:rPr>
          <w:rFonts w:ascii="宋体" w:hAnsi="宋体" w:cs="宋体" w:eastAsia="宋体"/>
          <w:sz w:val="24"/>
        </w:rPr>
        <w:t>主要水质指标限制如下：</w:t>
      </w:r>
    </w:p>
    <w:tbl>
      <w:tblPr>
        <w:tblW w:w="0" w:type="auto"/>
        <w:tblBorders>
          <w:top w:val="none" w:color="000000" w:sz="4"/>
          <w:left w:val="none" w:color="000000" w:sz="4"/>
          <w:bottom w:val="none" w:color="000000" w:sz="4"/>
          <w:right w:val="none" w:color="000000" w:sz="4"/>
          <w:insideH w:val="none"/>
          <w:insideV w:val="none"/>
        </w:tblBorders>
      </w:tblPr>
      <w:tblGrid>
        <w:gridCol w:w="1412"/>
        <w:gridCol w:w="1358"/>
        <w:gridCol w:w="1669"/>
        <w:gridCol w:w="1251"/>
        <w:gridCol w:w="2602"/>
      </w:tblGrid>
      <w:tr>
        <w:tc>
          <w:tcPr>
            <w:tcW w:type="dxa" w:w="1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pH（无量纲）</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COD（mg/L）</w:t>
            </w:r>
          </w:p>
        </w:tc>
        <w:tc>
          <w:tcPr>
            <w:tcW w:type="dxa" w:w="1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总余氯（</w:t>
            </w:r>
            <w:r>
              <w:rPr>
                <w:rFonts w:ascii="宋体" w:hAnsi="宋体" w:cs="宋体" w:eastAsia="宋体"/>
                <w:sz w:val="24"/>
              </w:rPr>
              <w:t>mg/L）</w:t>
            </w:r>
          </w:p>
        </w:tc>
        <w:tc>
          <w:tcPr>
            <w:tcW w:type="dxa" w:w="12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SS（mg/L）</w:t>
            </w:r>
          </w:p>
        </w:tc>
        <w:tc>
          <w:tcPr>
            <w:tcW w:type="dxa" w:w="2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粪大肠菌群数（</w:t>
            </w:r>
            <w:r>
              <w:rPr>
                <w:rFonts w:ascii="宋体" w:hAnsi="宋体" w:cs="宋体" w:eastAsia="宋体"/>
                <w:sz w:val="24"/>
              </w:rPr>
              <w:t>MPN/L）</w:t>
            </w:r>
          </w:p>
        </w:tc>
      </w:tr>
      <w:tr>
        <w:tc>
          <w:tcPr>
            <w:tcW w:type="dxa" w:w="1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6.0-9.0</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≤250</w:t>
            </w:r>
          </w:p>
        </w:tc>
        <w:tc>
          <w:tcPr>
            <w:tcW w:type="dxa" w:w="1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2-8</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≤60</w:t>
            </w:r>
          </w:p>
        </w:tc>
        <w:tc>
          <w:tcPr>
            <w:tcW w:type="dxa" w:w="2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≤5000</w:t>
            </w:r>
          </w:p>
        </w:tc>
      </w:tr>
    </w:tbl>
    <w:p>
      <w:pPr>
        <w:pStyle w:val="null3"/>
        <w:ind w:firstLine="482"/>
        <w:jc w:val="left"/>
      </w:pPr>
      <w:r>
        <w:rPr>
          <w:rFonts w:ascii="宋体" w:hAnsi="宋体" w:cs="宋体" w:eastAsia="宋体"/>
          <w:sz w:val="24"/>
          <w:b/>
        </w:rPr>
        <w:t>备注：采用含氯消毒剂消毒的工艺控制要求为：</w:t>
      </w:r>
    </w:p>
    <w:p>
      <w:pPr>
        <w:pStyle w:val="null3"/>
        <w:ind w:firstLine="482"/>
        <w:jc w:val="left"/>
      </w:pPr>
      <w:r>
        <w:rPr>
          <w:rFonts w:ascii="宋体" w:hAnsi="宋体" w:cs="宋体" w:eastAsia="宋体"/>
          <w:sz w:val="24"/>
          <w:b/>
        </w:rPr>
        <w:t>预处理标准：消毒接触池接触时间</w:t>
      </w:r>
      <w:r>
        <w:rPr>
          <w:rFonts w:ascii="宋体" w:hAnsi="宋体" w:cs="宋体" w:eastAsia="宋体"/>
          <w:sz w:val="24"/>
          <w:b/>
        </w:rPr>
        <w:t>≥1h，接触池出口总余氯2~8mg/L。</w:t>
      </w:r>
    </w:p>
    <w:p>
      <w:pPr>
        <w:pStyle w:val="null3"/>
        <w:ind w:firstLine="480"/>
        <w:jc w:val="left"/>
      </w:pPr>
      <w:r>
        <w:rPr>
          <w:rFonts w:ascii="宋体" w:hAnsi="宋体" w:cs="宋体" w:eastAsia="宋体"/>
          <w:sz w:val="24"/>
        </w:rPr>
        <w:t>【评标序号</w:t>
      </w:r>
      <w:r>
        <w:rPr>
          <w:rFonts w:ascii="宋体" w:hAnsi="宋体" w:cs="宋体" w:eastAsia="宋体"/>
          <w:sz w:val="24"/>
        </w:rPr>
        <w:t>4】2.2污水站废气排放要求：污水站废气排放满足《医疗机构水污染排放标准》（GB18466-2005）中关于废气排放要求的规定。</w:t>
      </w:r>
    </w:p>
    <w:p>
      <w:pPr>
        <w:pStyle w:val="null3"/>
        <w:ind w:firstLine="480"/>
        <w:jc w:val="left"/>
      </w:pPr>
      <w:r>
        <w:rPr>
          <w:rFonts w:ascii="宋体" w:hAnsi="宋体" w:cs="宋体" w:eastAsia="宋体"/>
          <w:sz w:val="24"/>
        </w:rPr>
        <w:t>具体指标如下：</w:t>
      </w:r>
    </w:p>
    <w:tbl>
      <w:tblPr>
        <w:tblW w:w="0" w:type="auto"/>
        <w:tblBorders>
          <w:top w:val="none" w:color="000000" w:sz="4"/>
          <w:left w:val="none" w:color="000000" w:sz="4"/>
          <w:bottom w:val="none" w:color="000000" w:sz="4"/>
          <w:right w:val="none" w:color="000000" w:sz="4"/>
          <w:insideH w:val="none"/>
          <w:insideV w:val="none"/>
        </w:tblBorders>
      </w:tblPr>
      <w:tblGrid>
        <w:gridCol w:w="1167"/>
        <w:gridCol w:w="1602"/>
        <w:gridCol w:w="1872"/>
        <w:gridCol w:w="1454"/>
        <w:gridCol w:w="2192"/>
      </w:tblGrid>
      <w:tr>
        <w:tc>
          <w:tcPr>
            <w:tcW w:type="dxa" w:w="1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氨（</w:t>
            </w:r>
            <w:r>
              <w:rPr>
                <w:rFonts w:ascii="宋体" w:hAnsi="宋体" w:cs="宋体" w:eastAsia="宋体"/>
                <w:sz w:val="24"/>
              </w:rPr>
              <w:t>mg/m3）</w:t>
            </w:r>
          </w:p>
        </w:tc>
        <w:tc>
          <w:tcPr>
            <w:tcW w:type="dxa" w:w="16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硫化氢（</w:t>
            </w:r>
            <w:r>
              <w:rPr>
                <w:rFonts w:ascii="宋体" w:hAnsi="宋体" w:cs="宋体" w:eastAsia="宋体"/>
                <w:sz w:val="24"/>
              </w:rPr>
              <w:t>mg/m3）</w:t>
            </w:r>
          </w:p>
        </w:tc>
        <w:tc>
          <w:tcPr>
            <w:tcW w:type="dxa" w:w="18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臭气浓度（无量纲）</w:t>
            </w:r>
          </w:p>
        </w:tc>
        <w:tc>
          <w:tcPr>
            <w:tcW w:type="dxa" w:w="14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氯气（</w:t>
            </w:r>
            <w:r>
              <w:rPr>
                <w:rFonts w:ascii="宋体" w:hAnsi="宋体" w:cs="宋体" w:eastAsia="宋体"/>
                <w:sz w:val="24"/>
              </w:rPr>
              <w:t>mg/m3）</w:t>
            </w:r>
          </w:p>
        </w:tc>
        <w:tc>
          <w:tcPr>
            <w:tcW w:type="dxa" w:w="21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甲烷（指处理站内最高体积百分数</w:t>
            </w:r>
            <w:r>
              <w:rPr>
                <w:rFonts w:ascii="宋体" w:hAnsi="宋体" w:cs="宋体" w:eastAsia="宋体"/>
                <w:sz w:val="24"/>
              </w:rPr>
              <w:t>%）</w:t>
            </w:r>
          </w:p>
        </w:tc>
      </w:tr>
      <w:tr>
        <w:tc>
          <w:tcPr>
            <w:tcW w:type="dxa" w:w="1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w:t>
            </w:r>
          </w:p>
        </w:tc>
        <w:tc>
          <w:tcPr>
            <w:tcW w:type="dxa" w:w="16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≤0.03</w:t>
            </w:r>
          </w:p>
        </w:tc>
        <w:tc>
          <w:tcPr>
            <w:tcW w:type="dxa" w:w="18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≤10</w:t>
            </w:r>
          </w:p>
        </w:tc>
        <w:tc>
          <w:tcPr>
            <w:tcW w:type="dxa" w:w="14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≤0.1</w:t>
            </w:r>
          </w:p>
        </w:tc>
        <w:tc>
          <w:tcPr>
            <w:tcW w:type="dxa" w:w="21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p>
        </w:tc>
      </w:tr>
    </w:tbl>
    <w:p>
      <w:pPr>
        <w:pStyle w:val="null3"/>
        <w:ind w:firstLine="480"/>
        <w:jc w:val="left"/>
      </w:pPr>
      <w:r>
        <w:rPr>
          <w:rFonts w:ascii="宋体" w:hAnsi="宋体" w:cs="宋体" w:eastAsia="宋体"/>
          <w:sz w:val="24"/>
        </w:rPr>
        <w:t>【评标序号</w:t>
      </w:r>
      <w:r>
        <w:rPr>
          <w:rFonts w:ascii="宋体" w:hAnsi="宋体" w:cs="宋体" w:eastAsia="宋体"/>
          <w:sz w:val="24"/>
        </w:rPr>
        <w:t>5】2.3污水处理站污泥处置要求：符合《医疗机构水污染物排放标准》（GB18466-2005）中的污泥控制与处置要求，由中标人定期压滤暂存，由采购人委托具有危险废物经营许可证的第三方单位处置。</w:t>
      </w:r>
    </w:p>
    <w:p>
      <w:pPr>
        <w:pStyle w:val="null3"/>
        <w:ind w:firstLine="480"/>
        <w:jc w:val="left"/>
      </w:pPr>
      <w:r>
        <w:rPr>
          <w:rFonts w:ascii="宋体" w:hAnsi="宋体" w:cs="宋体" w:eastAsia="宋体"/>
          <w:sz w:val="24"/>
        </w:rPr>
        <w:t>2.4进、出水水质监测要求</w:t>
      </w:r>
    </w:p>
    <w:p>
      <w:pPr>
        <w:pStyle w:val="null3"/>
        <w:ind w:firstLine="480"/>
        <w:jc w:val="left"/>
      </w:pPr>
      <w:r>
        <w:rPr>
          <w:rFonts w:ascii="宋体" w:hAnsi="宋体" w:cs="宋体" w:eastAsia="宋体"/>
          <w:sz w:val="24"/>
        </w:rPr>
        <w:t>【评标序号</w:t>
      </w:r>
      <w:r>
        <w:rPr>
          <w:rFonts w:ascii="宋体" w:hAnsi="宋体" w:cs="宋体" w:eastAsia="宋体"/>
          <w:sz w:val="24"/>
        </w:rPr>
        <w:t>6】2.4.1中标人自检：对污水处理站的出水进行取样检测分析，每天对排放口水样进行不得少于2次的总余氯检测（其中贤南分部为紫外消毒），保证污水排放符合相应排放口的排放标准。</w:t>
      </w:r>
    </w:p>
    <w:p>
      <w:pPr>
        <w:pStyle w:val="null3"/>
        <w:ind w:firstLine="480"/>
        <w:jc w:val="left"/>
      </w:pPr>
      <w:r>
        <w:rPr>
          <w:rFonts w:ascii="宋体" w:hAnsi="宋体" w:cs="宋体" w:eastAsia="宋体"/>
          <w:sz w:val="24"/>
        </w:rPr>
        <w:t>【评标序号</w:t>
      </w:r>
      <w:r>
        <w:rPr>
          <w:rFonts w:ascii="宋体" w:hAnsi="宋体" w:cs="宋体" w:eastAsia="宋体"/>
          <w:sz w:val="24"/>
        </w:rPr>
        <w:t>7】2.4.2生态环境部门监测：生态环境部门按国家有关规定进行监测（强制监测）。</w:t>
      </w:r>
    </w:p>
    <w:p>
      <w:pPr>
        <w:pStyle w:val="null3"/>
        <w:ind w:firstLine="480"/>
        <w:jc w:val="left"/>
      </w:pPr>
      <w:r>
        <w:rPr>
          <w:rFonts w:ascii="宋体" w:hAnsi="宋体" w:cs="宋体" w:eastAsia="宋体"/>
          <w:sz w:val="24"/>
        </w:rPr>
        <w:t>3.运营维护具体要求</w:t>
      </w:r>
    </w:p>
    <w:p>
      <w:pPr>
        <w:pStyle w:val="null3"/>
        <w:ind w:firstLine="480"/>
        <w:jc w:val="left"/>
      </w:pPr>
      <w:r>
        <w:rPr>
          <w:rFonts w:ascii="宋体" w:hAnsi="宋体" w:cs="宋体" w:eastAsia="宋体"/>
          <w:sz w:val="24"/>
        </w:rPr>
        <w:t>【评标序号</w:t>
      </w:r>
      <w:r>
        <w:rPr>
          <w:rFonts w:ascii="宋体" w:hAnsi="宋体" w:cs="宋体" w:eastAsia="宋体"/>
          <w:sz w:val="24"/>
        </w:rPr>
        <w:t>8】3.1完善设备、设施资料，制定设备、设施维修保养制度，并严格执行。各种设备要精心保养维护，保持其处于最佳工作状态。中标人负责污水处理设施设备的日常维护和保养，日常修理零备件单价500元以下，由中标人提供，并负责实施</w:t>
      </w:r>
      <w:r>
        <w:rPr>
          <w:rFonts w:ascii="宋体" w:hAnsi="宋体" w:cs="宋体" w:eastAsia="宋体"/>
          <w:sz w:val="24"/>
        </w:rPr>
        <w:t>；其余零备件由采购人提供</w:t>
      </w:r>
      <w:r>
        <w:rPr>
          <w:rFonts w:ascii="宋体" w:hAnsi="宋体" w:cs="宋体" w:eastAsia="宋体"/>
          <w:sz w:val="24"/>
          <w:color w:val="0000FF"/>
          <w:u w:val="single"/>
        </w:rPr>
        <w:t>，</w:t>
      </w:r>
      <w:r>
        <w:rPr>
          <w:rFonts w:ascii="宋体" w:hAnsi="宋体" w:cs="宋体" w:eastAsia="宋体"/>
          <w:sz w:val="24"/>
          <w:color w:val="0000FF"/>
          <w:u w:val="single"/>
        </w:rPr>
        <w:t>由</w:t>
      </w:r>
      <w:r>
        <w:rPr>
          <w:rFonts w:ascii="宋体" w:hAnsi="宋体" w:cs="宋体" w:eastAsia="宋体"/>
          <w:sz w:val="24"/>
          <w:color w:val="0000FF"/>
          <w:u w:val="single"/>
        </w:rPr>
        <w:t>中标人</w:t>
      </w:r>
      <w:r>
        <w:rPr>
          <w:rFonts w:ascii="宋体" w:hAnsi="宋体" w:cs="宋体" w:eastAsia="宋体"/>
          <w:sz w:val="24"/>
          <w:color w:val="0000FF"/>
          <w:u w:val="single"/>
        </w:rPr>
        <w:t>负责</w:t>
      </w:r>
      <w:r>
        <w:rPr>
          <w:rFonts w:ascii="宋体" w:hAnsi="宋体" w:cs="宋体" w:eastAsia="宋体"/>
          <w:sz w:val="24"/>
          <w:color w:val="0000FF"/>
          <w:u w:val="single"/>
        </w:rPr>
        <w:t>实施</w:t>
      </w:r>
      <w:r>
        <w:rPr>
          <w:rFonts w:ascii="宋体" w:hAnsi="宋体" w:cs="宋体" w:eastAsia="宋体"/>
          <w:sz w:val="24"/>
        </w:rPr>
        <w:t>。</w:t>
      </w:r>
    </w:p>
    <w:p>
      <w:pPr>
        <w:pStyle w:val="null3"/>
        <w:ind w:firstLine="480"/>
        <w:jc w:val="left"/>
      </w:pPr>
      <w:r>
        <w:rPr>
          <w:rFonts w:ascii="宋体" w:hAnsi="宋体" w:cs="宋体" w:eastAsia="宋体"/>
          <w:sz w:val="24"/>
        </w:rPr>
        <w:t>【评标序号</w:t>
      </w:r>
      <w:r>
        <w:rPr>
          <w:rFonts w:ascii="宋体" w:hAnsi="宋体" w:cs="宋体" w:eastAsia="宋体"/>
          <w:sz w:val="24"/>
        </w:rPr>
        <w:t>9】3.2污水处理系统运行期间要认真巡回检查，并做记录，发现异常情况及时妥善处理，跟踪处理结果及其对污水处理系统带来的影响。</w:t>
      </w:r>
    </w:p>
    <w:p>
      <w:pPr>
        <w:pStyle w:val="null3"/>
        <w:ind w:firstLine="480"/>
        <w:jc w:val="left"/>
      </w:pPr>
      <w:r>
        <w:rPr>
          <w:rFonts w:ascii="宋体" w:hAnsi="宋体" w:cs="宋体" w:eastAsia="宋体"/>
          <w:sz w:val="24"/>
        </w:rPr>
        <w:t>【评标序号</w:t>
      </w:r>
      <w:r>
        <w:rPr>
          <w:rFonts w:ascii="宋体" w:hAnsi="宋体" w:cs="宋体" w:eastAsia="宋体"/>
          <w:sz w:val="24"/>
        </w:rPr>
        <w:t>10】3.3派维护保养人员对污水处理站运行设备进行维护保养，保存设备维护保养记录，形成设备维护记录档案。</w:t>
      </w:r>
    </w:p>
    <w:p>
      <w:pPr>
        <w:pStyle w:val="null3"/>
        <w:ind w:firstLine="480"/>
        <w:jc w:val="left"/>
      </w:pPr>
      <w:r>
        <w:rPr>
          <w:rFonts w:ascii="宋体" w:hAnsi="宋体" w:cs="宋体" w:eastAsia="宋体"/>
          <w:sz w:val="24"/>
        </w:rPr>
        <w:t>【评标序号</w:t>
      </w:r>
      <w:r>
        <w:rPr>
          <w:rFonts w:ascii="宋体" w:hAnsi="宋体" w:cs="宋体" w:eastAsia="宋体"/>
          <w:sz w:val="24"/>
        </w:rPr>
        <w:t>11】3.4中标人应将运营记录、设备维护记录、检修记录、操作人员交接班记录、加药记录、季度运营报告，按季度汇总报送采购人。</w:t>
      </w:r>
    </w:p>
    <w:p>
      <w:pPr>
        <w:pStyle w:val="null3"/>
        <w:ind w:firstLine="480"/>
        <w:jc w:val="left"/>
      </w:pPr>
      <w:r>
        <w:rPr>
          <w:rFonts w:ascii="宋体" w:hAnsi="宋体" w:cs="宋体" w:eastAsia="宋体"/>
          <w:sz w:val="24"/>
        </w:rPr>
        <w:t>【评标序号</w:t>
      </w:r>
      <w:r>
        <w:rPr>
          <w:rFonts w:ascii="宋体" w:hAnsi="宋体" w:cs="宋体" w:eastAsia="宋体"/>
          <w:sz w:val="24"/>
        </w:rPr>
        <w:t>12】3.5在日常运营工作中，保持地面和设备表面干净、清洁，设备表面无灰尘，同时维护污水处理站区域内的环境整洁、有序。应建立运行管理制度、设备操作规范及危险品管理等相关制度并统一定制上墙。</w:t>
      </w:r>
    </w:p>
    <w:p>
      <w:pPr>
        <w:pStyle w:val="null3"/>
        <w:ind w:firstLine="480"/>
        <w:jc w:val="left"/>
      </w:pPr>
      <w:r>
        <w:rPr>
          <w:rFonts w:ascii="宋体" w:hAnsi="宋体" w:cs="宋体" w:eastAsia="宋体"/>
          <w:sz w:val="24"/>
        </w:rPr>
        <w:t>【评标序号</w:t>
      </w:r>
      <w:r>
        <w:rPr>
          <w:rFonts w:ascii="宋体" w:hAnsi="宋体" w:cs="宋体" w:eastAsia="宋体"/>
          <w:sz w:val="24"/>
        </w:rPr>
        <w:t>13】3.6按照国家相关危废标准和规定，负责格栅渣、污水站压滤后污泥等，并符合《医疗机构水污染物排放标准（GB18466-2005）中的污泥控制与处置要求及费用，危险废物（含污水处理站运行产生的污泥）处置费用由采购人负责；除危险废物（含污水处理站运行产生的污泥））处置费用由采购人负责外，其他费用由中标人承担，其他费用包含在总价中。</w:t>
      </w:r>
    </w:p>
    <w:p>
      <w:pPr>
        <w:pStyle w:val="null3"/>
        <w:ind w:firstLine="480"/>
        <w:jc w:val="left"/>
      </w:pPr>
      <w:r>
        <w:rPr>
          <w:rFonts w:ascii="宋体" w:hAnsi="宋体" w:cs="宋体" w:eastAsia="宋体"/>
          <w:sz w:val="24"/>
        </w:rPr>
        <w:t>【评标序号</w:t>
      </w:r>
      <w:r>
        <w:rPr>
          <w:rFonts w:ascii="宋体" w:hAnsi="宋体" w:cs="宋体" w:eastAsia="宋体"/>
          <w:sz w:val="24"/>
        </w:rPr>
        <w:t>14】3.7负责与主管生态环境部门的业务联系，做好生态环境部门检查时的接待工作，并安排专人参加生态环境部门年度培训。</w:t>
      </w:r>
    </w:p>
    <w:p>
      <w:pPr>
        <w:pStyle w:val="null3"/>
        <w:ind w:firstLine="480"/>
        <w:jc w:val="left"/>
      </w:pPr>
      <w:r>
        <w:rPr>
          <w:rFonts w:ascii="宋体" w:hAnsi="宋体" w:cs="宋体" w:eastAsia="宋体"/>
          <w:sz w:val="24"/>
        </w:rPr>
        <w:t>【评标序号</w:t>
      </w:r>
      <w:r>
        <w:rPr>
          <w:rFonts w:ascii="宋体" w:hAnsi="宋体" w:cs="宋体" w:eastAsia="宋体"/>
          <w:sz w:val="24"/>
        </w:rPr>
        <w:t>15】3.8负责配合医院各项迎检工作，做好相关资料整理、制作和收集，符合各项检查的标准和要求。</w:t>
      </w:r>
    </w:p>
    <w:p>
      <w:pPr>
        <w:pStyle w:val="null3"/>
        <w:ind w:firstLine="480"/>
        <w:jc w:val="left"/>
      </w:pPr>
      <w:r>
        <w:rPr>
          <w:rFonts w:ascii="宋体" w:hAnsi="宋体" w:cs="宋体" w:eastAsia="宋体"/>
          <w:sz w:val="24"/>
        </w:rPr>
        <w:t>【评标序号</w:t>
      </w:r>
      <w:r>
        <w:rPr>
          <w:rFonts w:ascii="宋体" w:hAnsi="宋体" w:cs="宋体" w:eastAsia="宋体"/>
          <w:sz w:val="24"/>
        </w:rPr>
        <w:t>16】3.9负责污水站检修、维修的人员（队伍）调度安排，在设备发生故障，接收到故障通知后30分钟内到达驻点进行应急处置，2小时内检修、维修的人员到达现场，4小时内检修解除故障。在确实没有维修条件的情况下应及时汇报，并采取有效的应急措施，投标人须先投入备用设备，保证污水正常处理，防止出现环境和安全事故。以上情况而产生的所有费用均为投标人负责。</w:t>
      </w:r>
    </w:p>
    <w:p>
      <w:pPr>
        <w:pStyle w:val="null3"/>
        <w:ind w:firstLine="480"/>
        <w:jc w:val="left"/>
      </w:pPr>
      <w:r>
        <w:rPr>
          <w:rFonts w:ascii="宋体" w:hAnsi="宋体" w:cs="宋体" w:eastAsia="宋体"/>
          <w:sz w:val="24"/>
        </w:rPr>
        <w:t>4.服务本项目人员要求</w:t>
      </w:r>
    </w:p>
    <w:p>
      <w:pPr>
        <w:pStyle w:val="null3"/>
        <w:ind w:firstLine="480"/>
        <w:jc w:val="left"/>
      </w:pPr>
      <w:r>
        <w:rPr>
          <w:rFonts w:ascii="宋体" w:hAnsi="宋体" w:cs="宋体" w:eastAsia="宋体"/>
          <w:sz w:val="24"/>
        </w:rPr>
        <w:t>【评标序号</w:t>
      </w:r>
      <w:r>
        <w:rPr>
          <w:rFonts w:ascii="宋体" w:hAnsi="宋体" w:cs="宋体" w:eastAsia="宋体"/>
          <w:sz w:val="24"/>
        </w:rPr>
        <w:t>17】4.1为保障运维工作正常顺利开展，投标人投入本项目的人员不少于6人，其中项目负责人1名，技术负责1名，运维人员4名。</w:t>
      </w:r>
      <w:r>
        <w:rPr>
          <w:rFonts w:ascii="宋体" w:hAnsi="宋体" w:cs="宋体" w:eastAsia="宋体"/>
          <w:sz w:val="24"/>
        </w:rPr>
        <w:t>污水站污水处理</w:t>
      </w:r>
      <w:r>
        <w:rPr>
          <w:rFonts w:ascii="宋体" w:hAnsi="宋体" w:cs="宋体" w:eastAsia="宋体"/>
          <w:sz w:val="24"/>
        </w:rPr>
        <w:t>24小时运行，污水站必须保证有1人值班。</w:t>
      </w:r>
    </w:p>
    <w:p>
      <w:pPr>
        <w:pStyle w:val="null3"/>
        <w:ind w:firstLine="480"/>
        <w:jc w:val="left"/>
      </w:pPr>
      <w:r>
        <w:rPr>
          <w:rFonts w:ascii="宋体" w:hAnsi="宋体" w:cs="宋体" w:eastAsia="宋体"/>
          <w:sz w:val="24"/>
        </w:rPr>
        <w:t>【评标序号</w:t>
      </w:r>
      <w:r>
        <w:rPr>
          <w:rFonts w:ascii="宋体" w:hAnsi="宋体" w:cs="宋体" w:eastAsia="宋体"/>
          <w:sz w:val="24"/>
        </w:rPr>
        <w:t>18】4.2运营管理及操作人员应经过系统的岗前培训，熟悉环保相关法律法规知识及操作章程。对运营管理及操作人员建立定期考核和持续培训制度。</w:t>
      </w:r>
    </w:p>
    <w:p>
      <w:pPr>
        <w:pStyle w:val="null3"/>
        <w:ind w:firstLine="480"/>
        <w:jc w:val="left"/>
      </w:pPr>
      <w:r>
        <w:rPr>
          <w:rFonts w:ascii="宋体" w:hAnsi="宋体" w:cs="宋体" w:eastAsia="宋体"/>
          <w:sz w:val="24"/>
        </w:rPr>
        <w:t>【评标序号</w:t>
      </w:r>
      <w:r>
        <w:rPr>
          <w:rFonts w:ascii="宋体" w:hAnsi="宋体" w:cs="宋体" w:eastAsia="宋体"/>
          <w:sz w:val="24"/>
        </w:rPr>
        <w:t>19】4.3采购人有权撤销中标人不合格的项目负责人及相关工作人员，中标人并须及时更换和补充服务人员。</w:t>
      </w:r>
    </w:p>
    <w:p>
      <w:pPr>
        <w:pStyle w:val="null3"/>
        <w:ind w:firstLine="480"/>
        <w:jc w:val="left"/>
      </w:pPr>
      <w:r>
        <w:rPr>
          <w:rFonts w:ascii="宋体" w:hAnsi="宋体" w:cs="宋体" w:eastAsia="宋体"/>
          <w:sz w:val="24"/>
        </w:rPr>
        <w:t>★5.医院污水治理项目运维单位季度监督抽检明细表</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1128"/>
        <w:gridCol w:w="2437"/>
        <w:gridCol w:w="3505"/>
        <w:gridCol w:w="1233"/>
      </w:tblGrid>
      <w:tr>
        <w:tc>
          <w:tcPr>
            <w:tcW w:type="dxa" w:w="1128"/>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考核内容</w:t>
            </w:r>
          </w:p>
        </w:tc>
        <w:tc>
          <w:tcPr>
            <w:tcW w:type="dxa" w:w="2437"/>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目标要求</w:t>
            </w:r>
          </w:p>
        </w:tc>
        <w:tc>
          <w:tcPr>
            <w:tcW w:type="dxa" w:w="3505"/>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抽检内容</w:t>
            </w:r>
          </w:p>
        </w:tc>
        <w:tc>
          <w:tcPr>
            <w:tcW w:type="dxa" w:w="1233"/>
            <w:tcBorders>
              <w:top w:val="singl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存在问题</w:t>
            </w:r>
          </w:p>
        </w:tc>
      </w:tr>
      <w:tr>
        <w:tc>
          <w:tcPr>
            <w:tcW w:type="dxa" w:w="1128"/>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组织保障</w:t>
            </w: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运维工作站建设规范，具有较强的人员组织力量和完善的内部管理制度。</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人员数量按职责要求配备到位且工作期间统一着装，亮证服务（成交单位工作证），备品备件堆放规范；管理制度完善并上墙。</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vMerge w:val="restart"/>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现场</w:t>
            </w:r>
          </w:p>
          <w:p>
            <w:pPr>
              <w:pStyle w:val="null3"/>
              <w:jc w:val="both"/>
            </w:pPr>
            <w:r>
              <w:rPr>
                <w:rFonts w:ascii="宋体" w:hAnsi="宋体" w:cs="宋体" w:eastAsia="宋体"/>
                <w:sz w:val="24"/>
              </w:rPr>
              <w:t>运维</w:t>
            </w:r>
          </w:p>
          <w:p>
            <w:pPr>
              <w:pStyle w:val="null3"/>
              <w:jc w:val="both"/>
            </w:pPr>
            <w:r>
              <w:rPr>
                <w:rFonts w:ascii="宋体" w:hAnsi="宋体" w:cs="宋体" w:eastAsia="宋体"/>
                <w:sz w:val="24"/>
              </w:rPr>
              <w:t>质量</w:t>
            </w: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定期检查井和污水管道系统是否出现破损堵塞，及时清理保持管道过流通畅。</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检查井淤积物较多污水管道未及时疏通造成污水外溢现象（某些人为因素如有道路、房屋施工等造成管道较严重堵塞的，或不可抗因素造成管道较严重堵塞，无法及时疏通应上报相关部门，根据实际情况处理。）</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vMerge/>
            <w:tcBorders>
              <w:top w:val="none" w:color="000000" w:sz="4"/>
              <w:left w:val="single" w:color="000000" w:sz="4"/>
              <w:bottom w:val="single" w:color="000000" w:sz="4"/>
              <w:right w:val="single" w:color="000000" w:sz="4"/>
            </w:tcBorders>
          </w:tcP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定期清理格栅井及出水井，及时对集水井清淤以防止水泵堵塞。</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格栅井淤积物</w:t>
            </w:r>
            <w:r>
              <w:rPr>
                <w:rFonts w:ascii="宋体" w:hAnsi="宋体" w:cs="宋体" w:eastAsia="宋体"/>
                <w:sz w:val="24"/>
              </w:rPr>
              <w:t>;出水井清理不及时；集水井清淤；池底淤泥堵塞水泵出现故障的。</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vMerge/>
            <w:tcBorders>
              <w:top w:val="none" w:color="000000" w:sz="4"/>
              <w:left w:val="single" w:color="000000" w:sz="4"/>
              <w:bottom w:val="single" w:color="000000" w:sz="4"/>
              <w:right w:val="single" w:color="000000" w:sz="4"/>
            </w:tcBorders>
          </w:tcP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定期检查并确保机电设备运行完好率和运行时间。</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设备外观不整洁，出现腐蚀或渗漏（水下设备除外）；设备润滑油不充分；门锁、皮带等易损品维修更换不及时；电气设备存在安全隐患；仪器仪表准确灵敏度不佳；填料更换不及时或菌种出现死亡；设备运行不正常或未运行的。</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水质达标</w:t>
            </w: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出水水质达到《医疗机构水污染物排放标准》（</w:t>
            </w:r>
            <w:r>
              <w:rPr>
                <w:rFonts w:ascii="宋体" w:hAnsi="宋体" w:cs="宋体" w:eastAsia="宋体"/>
                <w:sz w:val="24"/>
              </w:rPr>
              <w:t>GB18466-2005）预处理标准。</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①设备停止运行或不正常运行</w:t>
            </w:r>
          </w:p>
          <w:p>
            <w:pPr>
              <w:pStyle w:val="null3"/>
              <w:jc w:val="both"/>
            </w:pPr>
            <w:r>
              <w:rPr>
                <w:rFonts w:ascii="宋体" w:hAnsi="宋体" w:cs="宋体" w:eastAsia="宋体"/>
                <w:sz w:val="24"/>
              </w:rPr>
              <w:t>②出水水质不达标</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污泥处理</w:t>
            </w: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由甲方委托有资质单位对污泥规范化处置转运</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对污泥不及时转运，乱堆存；处置单位转运不规范</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异常情况处理及报备</w:t>
            </w: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异常情况及时处理向业主及主管部门报备</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异常情况要求</w:t>
            </w:r>
            <w:r>
              <w:rPr>
                <w:rFonts w:ascii="宋体" w:hAnsi="宋体" w:cs="宋体" w:eastAsia="宋体"/>
                <w:sz w:val="24"/>
              </w:rPr>
              <w:t>3小时内响应并及时安排处置。对一般故障要求12小时内恢复并正常运行，对不易诊断或大型设备维修故障，要求在48小时内抢修恢复并正常运行。</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档案</w:t>
            </w:r>
          </w:p>
          <w:p>
            <w:pPr>
              <w:pStyle w:val="null3"/>
              <w:jc w:val="both"/>
            </w:pPr>
            <w:r>
              <w:rPr>
                <w:rFonts w:ascii="宋体" w:hAnsi="宋体" w:cs="宋体" w:eastAsia="宋体"/>
                <w:sz w:val="24"/>
              </w:rPr>
              <w:t>资料</w:t>
            </w: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按要求收集整理档案资料，做好各类材料报送工作</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资料完整、整理规范、保管科学</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服务态度</w:t>
            </w:r>
          </w:p>
        </w:tc>
        <w:tc>
          <w:tcPr>
            <w:tcW w:type="dxa" w:w="2437"/>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配合业主安排管理</w:t>
            </w:r>
          </w:p>
        </w:tc>
        <w:tc>
          <w:tcPr>
            <w:tcW w:type="dxa" w:w="3505"/>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配合业主管理，即时查看现场</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r>
        <w:tc>
          <w:tcPr>
            <w:tcW w:type="dxa" w:w="1128"/>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否决项</w:t>
            </w:r>
          </w:p>
        </w:tc>
        <w:tc>
          <w:tcPr>
            <w:tcW w:type="dxa" w:w="5942"/>
            <w:gridSpan w:val="2"/>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r>
              <w:rPr>
                <w:rFonts w:ascii="宋体" w:hAnsi="宋体" w:cs="宋体" w:eastAsia="宋体"/>
                <w:sz w:val="24"/>
              </w:rPr>
              <w:t>1、发生群体性环境污染事件（不可抗逆因素除外）；2、发生死亡等安全生产事故。</w:t>
            </w:r>
          </w:p>
        </w:tc>
        <w:tc>
          <w:tcPr>
            <w:tcW w:type="dxa" w:w="1233"/>
            <w:tcBorders>
              <w:top w:val="none" w:color="000000" w:sz="4"/>
              <w:left w:val="single" w:color="000000" w:sz="4"/>
              <w:bottom w:val="single" w:color="000000" w:sz="4"/>
              <w:right w:val="single" w:color="000000" w:sz="4"/>
            </w:tcBorders>
            <w:shd w:fill="FFFFFF"/>
            <w:tcMar>
              <w:top w:type="dxa" w:w="0"/>
              <w:left w:type="dxa" w:w="60"/>
              <w:bottom w:type="dxa" w:w="0"/>
              <w:right w:type="dxa" w:w="60"/>
            </w:tcMar>
            <w:vAlign w:val="top"/>
          </w:tcPr>
          <w:p>
            <w:pPr>
              <w:pStyle w:val="null3"/>
              <w:jc w:val="both"/>
            </w:pPr>
          </w:p>
        </w:tc>
      </w:tr>
    </w:tbl>
    <w:p>
      <w:pPr>
        <w:pStyle w:val="null3"/>
        <w:jc w:val="both"/>
      </w:pPr>
      <w:r>
        <w:rPr>
          <w:rFonts w:ascii="宋体" w:hAnsi="宋体" w:cs="宋体" w:eastAsia="宋体"/>
          <w:sz w:val="24"/>
          <w:b/>
        </w:rPr>
        <w:t>（二）在线设备部分</w:t>
      </w:r>
    </w:p>
    <w:p>
      <w:pPr>
        <w:pStyle w:val="null3"/>
        <w:ind w:firstLine="480"/>
        <w:jc w:val="left"/>
      </w:pPr>
      <w:r>
        <w:rPr>
          <w:rFonts w:ascii="宋体" w:hAnsi="宋体" w:cs="宋体" w:eastAsia="宋体"/>
          <w:sz w:val="24"/>
        </w:rPr>
        <w:t>★1.技术标准：</w:t>
      </w:r>
    </w:p>
    <w:p>
      <w:pPr>
        <w:pStyle w:val="null3"/>
        <w:ind w:firstLine="480"/>
        <w:jc w:val="left"/>
      </w:pPr>
      <w:r>
        <w:rPr>
          <w:rFonts w:ascii="宋体" w:hAnsi="宋体" w:cs="宋体" w:eastAsia="宋体"/>
          <w:sz w:val="24"/>
        </w:rPr>
        <w:t>1.1《污染源在线自动监控（监测）系统数据传输标准》HJ/T 212-2005。</w:t>
      </w:r>
    </w:p>
    <w:p>
      <w:pPr>
        <w:pStyle w:val="null3"/>
        <w:ind w:firstLine="480"/>
        <w:jc w:val="left"/>
      </w:pPr>
      <w:r>
        <w:rPr>
          <w:rFonts w:ascii="宋体" w:hAnsi="宋体" w:cs="宋体" w:eastAsia="宋体"/>
          <w:sz w:val="24"/>
        </w:rPr>
        <w:t>1.2《环境污染源自动监控信息传输交换技术规范》HJ/T 352-2007。</w:t>
      </w:r>
    </w:p>
    <w:p>
      <w:pPr>
        <w:pStyle w:val="null3"/>
        <w:ind w:firstLine="480"/>
        <w:jc w:val="left"/>
      </w:pPr>
      <w:r>
        <w:rPr>
          <w:rFonts w:ascii="宋体" w:hAnsi="宋体" w:cs="宋体" w:eastAsia="宋体"/>
          <w:sz w:val="24"/>
        </w:rPr>
        <w:t>1.3《水污染源在线监测系统(CODCr、NH3-N 等)运行技术规范》HJ/T 355-2019。</w:t>
      </w:r>
    </w:p>
    <w:p>
      <w:pPr>
        <w:pStyle w:val="null3"/>
        <w:ind w:firstLine="480"/>
        <w:jc w:val="left"/>
      </w:pPr>
      <w:r>
        <w:rPr>
          <w:rFonts w:ascii="宋体" w:hAnsi="宋体" w:cs="宋体" w:eastAsia="宋体"/>
          <w:sz w:val="24"/>
        </w:rPr>
        <w:t>1.4 《水污染源在线监测系统(CODCr、NH3-N等)数据有效性判别技术规范》HJ/T 356-2019。</w:t>
      </w:r>
    </w:p>
    <w:p>
      <w:pPr>
        <w:pStyle w:val="null3"/>
        <w:ind w:firstLine="480"/>
        <w:jc w:val="left"/>
      </w:pPr>
      <w:r>
        <w:rPr>
          <w:rFonts w:ascii="宋体" w:hAnsi="宋体" w:cs="宋体" w:eastAsia="宋体"/>
          <w:sz w:val="24"/>
        </w:rPr>
        <w:t>1.5《化学需氧量(CODCr)水质在线自动监测仪技术要求及检测方法》HJ/T 377-2019。</w:t>
      </w:r>
    </w:p>
    <w:p>
      <w:pPr>
        <w:pStyle w:val="null3"/>
        <w:ind w:firstLine="480"/>
        <w:jc w:val="left"/>
      </w:pPr>
      <w:r>
        <w:rPr>
          <w:rFonts w:ascii="宋体" w:hAnsi="宋体" w:cs="宋体" w:eastAsia="宋体"/>
          <w:sz w:val="24"/>
        </w:rPr>
        <w:t>1.6《污染源在线监控（监测）数据采集传输技术要求》HJ477-2009。</w:t>
      </w:r>
    </w:p>
    <w:p>
      <w:pPr>
        <w:pStyle w:val="null3"/>
        <w:ind w:firstLine="480"/>
        <w:jc w:val="left"/>
      </w:pPr>
      <w:r>
        <w:rPr>
          <w:rFonts w:ascii="宋体" w:hAnsi="宋体" w:cs="宋体" w:eastAsia="宋体"/>
          <w:sz w:val="24"/>
        </w:rPr>
        <w:t>上述规程规范如有更换修编以国家及相关部门最新规程规范及标准为准。</w:t>
      </w:r>
    </w:p>
    <w:p>
      <w:pPr>
        <w:pStyle w:val="null3"/>
        <w:ind w:firstLine="480"/>
        <w:jc w:val="left"/>
      </w:pPr>
      <w:r>
        <w:rPr>
          <w:rFonts w:ascii="宋体" w:hAnsi="宋体" w:cs="宋体" w:eastAsia="宋体"/>
          <w:sz w:val="24"/>
        </w:rPr>
        <w:t>2.主要服务内容及服务要求：</w:t>
      </w:r>
    </w:p>
    <w:p>
      <w:pPr>
        <w:pStyle w:val="null3"/>
        <w:ind w:firstLine="480"/>
        <w:jc w:val="left"/>
      </w:pPr>
      <w:r>
        <w:rPr>
          <w:rFonts w:ascii="宋体" w:hAnsi="宋体" w:cs="宋体" w:eastAsia="宋体"/>
          <w:sz w:val="24"/>
        </w:rPr>
        <w:t>【评标序号</w:t>
      </w:r>
      <w:r>
        <w:rPr>
          <w:rFonts w:ascii="宋体" w:hAnsi="宋体" w:cs="宋体" w:eastAsia="宋体"/>
          <w:sz w:val="24"/>
        </w:rPr>
        <w:t>20】2.1按系统及各设备操作规范进行自动监控设施运维、操作、维护，确保自动监控设施正常运转率、数据联网率、传输有效率达到生态环境部门提出的要求。</w:t>
      </w:r>
    </w:p>
    <w:p>
      <w:pPr>
        <w:pStyle w:val="null3"/>
        <w:ind w:firstLine="480"/>
        <w:jc w:val="left"/>
      </w:pPr>
      <w:r>
        <w:rPr>
          <w:rFonts w:ascii="宋体" w:hAnsi="宋体" w:cs="宋体" w:eastAsia="宋体"/>
          <w:sz w:val="24"/>
        </w:rPr>
        <w:t>2.2按照生态环境部门要求开展运行维护各项工作，包括但不限于以下要求：</w:t>
      </w:r>
    </w:p>
    <w:p>
      <w:pPr>
        <w:pStyle w:val="null3"/>
        <w:ind w:firstLine="480"/>
        <w:jc w:val="left"/>
      </w:pPr>
      <w:r>
        <w:rPr>
          <w:rFonts w:ascii="宋体" w:hAnsi="宋体" w:cs="宋体" w:eastAsia="宋体"/>
          <w:sz w:val="24"/>
        </w:rPr>
        <w:t>【评标序号</w:t>
      </w:r>
      <w:r>
        <w:rPr>
          <w:rFonts w:ascii="宋体" w:hAnsi="宋体" w:cs="宋体" w:eastAsia="宋体"/>
          <w:sz w:val="24"/>
        </w:rPr>
        <w:t>21】2.2.1远程监控诊断服务（1次/日)，每日由运维管理平台自动轮巡监控数据及设备运行状态，每天应通过远程查看数据或现场察看的方式检查仪器运行状态、数据传输系统以及视频监控系统是否正常，并判断水污染源在线监测系统运行是否正常。如发现数据有持续异常等情况，应前往站点检查。</w:t>
      </w:r>
    </w:p>
    <w:p>
      <w:pPr>
        <w:pStyle w:val="null3"/>
        <w:ind w:firstLine="480"/>
        <w:jc w:val="left"/>
      </w:pPr>
      <w:r>
        <w:rPr>
          <w:rFonts w:ascii="宋体" w:hAnsi="宋体" w:cs="宋体" w:eastAsia="宋体"/>
          <w:sz w:val="24"/>
        </w:rPr>
        <w:t>【评标序号</w:t>
      </w:r>
      <w:r>
        <w:rPr>
          <w:rFonts w:ascii="宋体" w:hAnsi="宋体" w:cs="宋体" w:eastAsia="宋体"/>
          <w:sz w:val="24"/>
        </w:rPr>
        <w:t>22】2.2.2定期巡检服务（1次/周）：检查各台自动分析仪及辅助设备的运行状态和主要技术参数，判断运行是否正常；检查自来水供应、采样泵情况，检查内部管路是否通畅，仪器自动清洗装置是否运行正常，检查各自动分析仪的进水管和排水管是否清洁，清洗水泵和过滤网；检查站房内的电路系统、通讯系统是否正常；检查各仪器标准溶液和试剂是否在有效期内，按相关要求定期更换标准溶液和分析试剂；检查数据采集仪运行情况，对数据进行抽样检查，对比自动分析仪、数据采集仪及上位机接受到的数据是否一致；进行一次人工零点和量程校正，用质控样或标准溶液（标样浓度应与被测废水浓度相匹配）进行一次标样溶液核查；对超标留样装置运行情况进行检查校对，清理过期水样并填写记录；检查站房外部管线完整性、测流装置安装运行情况、明渠排污口标尺及堰板安装情况，检查堰板下游是否存在高于堰板最低点水痕。</w:t>
      </w:r>
    </w:p>
    <w:p>
      <w:pPr>
        <w:pStyle w:val="null3"/>
        <w:ind w:firstLine="480"/>
        <w:jc w:val="left"/>
      </w:pPr>
      <w:r>
        <w:rPr>
          <w:rFonts w:ascii="宋体" w:hAnsi="宋体" w:cs="宋体" w:eastAsia="宋体"/>
          <w:sz w:val="24"/>
        </w:rPr>
        <w:t>【评标序号</w:t>
      </w:r>
      <w:r>
        <w:rPr>
          <w:rFonts w:ascii="宋体" w:hAnsi="宋体" w:cs="宋体" w:eastAsia="宋体"/>
          <w:sz w:val="24"/>
        </w:rPr>
        <w:t>23】2.2.3定期维护服务（1次/月）：对pH水质分析仪用酸液清洗一次电极，检查pH电极是否钝化；检查水质分析仪内部试管是否污染，必要时进行清洗；对仪器管路进行保养、清洁；对监控设施进行保养，对水泵和取水管路、配水和进水系统、仪器分析系统进行维护；检查仪器接地情况，检查站房防雷措施；至少进行一次实际水样比对试验和质控样试验（月校验）。</w:t>
      </w:r>
    </w:p>
    <w:p>
      <w:pPr>
        <w:pStyle w:val="null3"/>
        <w:ind w:firstLine="480"/>
        <w:jc w:val="left"/>
      </w:pPr>
      <w:r>
        <w:rPr>
          <w:rFonts w:ascii="宋体" w:hAnsi="宋体" w:cs="宋体" w:eastAsia="宋体"/>
          <w:sz w:val="24"/>
        </w:rPr>
        <w:t>【评标序号</w:t>
      </w:r>
      <w:r>
        <w:rPr>
          <w:rFonts w:ascii="宋体" w:hAnsi="宋体" w:cs="宋体" w:eastAsia="宋体"/>
          <w:sz w:val="24"/>
        </w:rPr>
        <w:t>24】2.2.4定期维护服务（1次/季）：至少检查一次水质分析仪水样导管、排水导管、活塞和密闭圈，必要时进行更换。</w:t>
      </w:r>
    </w:p>
    <w:p>
      <w:pPr>
        <w:pStyle w:val="null3"/>
        <w:ind w:firstLine="480"/>
        <w:jc w:val="left"/>
      </w:pPr>
      <w:r>
        <w:rPr>
          <w:rFonts w:ascii="宋体" w:hAnsi="宋体" w:cs="宋体" w:eastAsia="宋体"/>
          <w:sz w:val="24"/>
        </w:rPr>
        <w:t>【评标序号</w:t>
      </w:r>
      <w:r>
        <w:rPr>
          <w:rFonts w:ascii="宋体" w:hAnsi="宋体" w:cs="宋体" w:eastAsia="宋体"/>
          <w:sz w:val="24"/>
        </w:rPr>
        <w:t>25】2.2.5整体维护：</w:t>
      </w:r>
    </w:p>
    <w:p>
      <w:pPr>
        <w:pStyle w:val="null3"/>
        <w:ind w:firstLine="480"/>
        <w:jc w:val="left"/>
      </w:pPr>
      <w:r>
        <w:rPr>
          <w:rFonts w:ascii="宋体" w:hAnsi="宋体" w:cs="宋体" w:eastAsia="宋体"/>
          <w:sz w:val="24"/>
        </w:rPr>
        <w:t>a.仪器废液、废酸等危险废弃物应按规范集中收集储存并委托有资质的单位按规定处置（处置费用由采购人负责）；</w:t>
      </w:r>
    </w:p>
    <w:p>
      <w:pPr>
        <w:pStyle w:val="null3"/>
        <w:ind w:firstLine="480"/>
        <w:jc w:val="left"/>
      </w:pPr>
      <w:r>
        <w:rPr>
          <w:rFonts w:ascii="宋体" w:hAnsi="宋体" w:cs="宋体" w:eastAsia="宋体"/>
          <w:sz w:val="24"/>
        </w:rPr>
        <w:t>b.通过设备巡检维护，降低故障几率，平均运转率达到95%以上</w:t>
      </w:r>
      <w:r>
        <w:rPr>
          <w:rFonts w:ascii="宋体" w:hAnsi="宋体" w:cs="宋体" w:eastAsia="宋体"/>
          <w:sz w:val="24"/>
        </w:rPr>
        <w:t>。</w:t>
      </w:r>
    </w:p>
    <w:p>
      <w:pPr>
        <w:pStyle w:val="null3"/>
        <w:ind w:firstLine="480"/>
        <w:jc w:val="left"/>
      </w:pPr>
      <w:r>
        <w:rPr>
          <w:rFonts w:ascii="宋体" w:hAnsi="宋体" w:cs="宋体" w:eastAsia="宋体"/>
          <w:sz w:val="24"/>
        </w:rPr>
        <w:t>【评标序号</w:t>
      </w:r>
      <w:r>
        <w:rPr>
          <w:rFonts w:ascii="宋体" w:hAnsi="宋体" w:cs="宋体" w:eastAsia="宋体"/>
          <w:sz w:val="24"/>
        </w:rPr>
        <w:t>26】2.2.6设备故障维护服务：</w:t>
      </w:r>
    </w:p>
    <w:p>
      <w:pPr>
        <w:pStyle w:val="null3"/>
        <w:ind w:firstLine="480"/>
        <w:jc w:val="left"/>
      </w:pPr>
      <w:r>
        <w:rPr>
          <w:rFonts w:ascii="宋体" w:hAnsi="宋体" w:cs="宋体" w:eastAsia="宋体"/>
          <w:sz w:val="24"/>
        </w:rPr>
        <w:t>a.安排人员进行数据调阅，发现数据异常和设备报警情况应立即启动诊断程序，确定设备故障应通知技术人员启动设备应急处置机制，设备正常应保存完整的佐证材料，并配合生态环境部门对排污单位提起的异常数据异议进行复核。</w:t>
      </w:r>
    </w:p>
    <w:p>
      <w:pPr>
        <w:pStyle w:val="null3"/>
        <w:ind w:firstLine="480"/>
        <w:jc w:val="left"/>
      </w:pPr>
      <w:r>
        <w:rPr>
          <w:rFonts w:ascii="宋体" w:hAnsi="宋体" w:cs="宋体" w:eastAsia="宋体"/>
          <w:sz w:val="24"/>
        </w:rPr>
        <w:t>b.加强与排污单位的联系，提前做好设施停用、启用、拆除等情况的前期准备工作，并及时向生态环境部门进行报告；</w:t>
      </w:r>
    </w:p>
    <w:p>
      <w:pPr>
        <w:pStyle w:val="null3"/>
        <w:ind w:firstLine="480"/>
        <w:jc w:val="left"/>
      </w:pPr>
      <w:r>
        <w:rPr>
          <w:rFonts w:ascii="宋体" w:hAnsi="宋体" w:cs="宋体" w:eastAsia="宋体"/>
          <w:sz w:val="24"/>
        </w:rPr>
        <w:t>c.在规定时限完成数据处理、报备事项凭证上传，配合生态环境部门进行数据审核，平均数据传输有效率达到95%以上。</w:t>
      </w:r>
    </w:p>
    <w:p>
      <w:pPr>
        <w:pStyle w:val="null3"/>
        <w:ind w:firstLine="480"/>
        <w:jc w:val="left"/>
      </w:pPr>
      <w:r>
        <w:rPr>
          <w:rFonts w:ascii="宋体" w:hAnsi="宋体" w:cs="宋体" w:eastAsia="宋体"/>
          <w:sz w:val="24"/>
        </w:rPr>
        <w:t>【评标序号</w:t>
      </w:r>
      <w:r>
        <w:rPr>
          <w:rFonts w:ascii="宋体" w:hAnsi="宋体" w:cs="宋体" w:eastAsia="宋体"/>
          <w:sz w:val="24"/>
        </w:rPr>
        <w:t>27】2.2.7数据传输：</w:t>
      </w:r>
    </w:p>
    <w:p>
      <w:pPr>
        <w:pStyle w:val="null3"/>
        <w:ind w:firstLine="480"/>
        <w:jc w:val="left"/>
      </w:pPr>
      <w:r>
        <w:rPr>
          <w:rFonts w:ascii="宋体" w:hAnsi="宋体" w:cs="宋体" w:eastAsia="宋体"/>
          <w:sz w:val="24"/>
        </w:rPr>
        <w:t>a.数据采集传输必须与国家、省污染源自动监控平台兼容，能够满足设备反控及相关运维管理信息传输的要求。</w:t>
      </w:r>
    </w:p>
    <w:p>
      <w:pPr>
        <w:pStyle w:val="null3"/>
        <w:ind w:firstLine="480"/>
        <w:jc w:val="left"/>
      </w:pPr>
      <w:r>
        <w:rPr>
          <w:rFonts w:ascii="宋体" w:hAnsi="宋体" w:cs="宋体" w:eastAsia="宋体"/>
          <w:sz w:val="24"/>
        </w:rPr>
        <w:t>b.当数据采集传输因通讯中断造成漏发时，能够以自动及人工请求等方式补发特定时段数据。</w:t>
      </w:r>
    </w:p>
    <w:p>
      <w:pPr>
        <w:pStyle w:val="null3"/>
        <w:ind w:firstLine="480"/>
        <w:jc w:val="left"/>
      </w:pPr>
      <w:r>
        <w:rPr>
          <w:rFonts w:ascii="宋体" w:hAnsi="宋体" w:cs="宋体" w:eastAsia="宋体"/>
          <w:sz w:val="24"/>
        </w:rPr>
        <w:t>c.对数采仪、传输线路进行维护，故障时按规定及时维修或进行整机（配件）更换。</w:t>
      </w:r>
    </w:p>
    <w:p>
      <w:pPr>
        <w:pStyle w:val="null3"/>
        <w:ind w:firstLine="480"/>
        <w:jc w:val="left"/>
      </w:pPr>
      <w:r>
        <w:rPr>
          <w:rFonts w:ascii="宋体" w:hAnsi="宋体" w:cs="宋体" w:eastAsia="宋体"/>
          <w:sz w:val="24"/>
        </w:rPr>
        <w:t>【评标序号</w:t>
      </w:r>
      <w:r>
        <w:rPr>
          <w:rFonts w:ascii="宋体" w:hAnsi="宋体" w:cs="宋体" w:eastAsia="宋体"/>
          <w:sz w:val="24"/>
        </w:rPr>
        <w:t>28】2.2.8提交相关技术档案：</w:t>
      </w:r>
    </w:p>
    <w:p>
      <w:pPr>
        <w:pStyle w:val="null3"/>
        <w:ind w:firstLine="480"/>
        <w:jc w:val="left"/>
      </w:pPr>
      <w:r>
        <w:rPr>
          <w:rFonts w:ascii="宋体" w:hAnsi="宋体" w:cs="宋体" w:eastAsia="宋体"/>
          <w:sz w:val="24"/>
        </w:rPr>
        <w:t>a.建立完整的运维台账并报排污单位指定人员（公示于自动监控站房）签字确认，包括：自动监控仪器运行维护日常巡检表、自动监控仪器校准记录表、自动监控仪器校验记录表、自动监控仪器状况表、自动监控仪器维修记录表、标准溶液核查结果记录表、零点漂移/量程漂移/重现性记录、废液转移联单记录、易耗品更换记录、超标留样清理记录等；</w:t>
      </w:r>
    </w:p>
    <w:p>
      <w:pPr>
        <w:pStyle w:val="null3"/>
        <w:ind w:firstLine="480"/>
        <w:jc w:val="left"/>
      </w:pPr>
      <w:r>
        <w:rPr>
          <w:rFonts w:ascii="宋体" w:hAnsi="宋体" w:cs="宋体" w:eastAsia="宋体"/>
          <w:sz w:val="24"/>
        </w:rPr>
        <w:t>b.接收由采购人提供的的验收台账及当年运维记录，进一步按规范或招标方的要求补充完善，运维结束后完整移交设备接收单位；</w:t>
      </w:r>
    </w:p>
    <w:p>
      <w:pPr>
        <w:pStyle w:val="null3"/>
        <w:ind w:firstLine="480"/>
        <w:jc w:val="left"/>
      </w:pPr>
      <w:r>
        <w:rPr>
          <w:rFonts w:ascii="宋体" w:hAnsi="宋体" w:cs="宋体" w:eastAsia="宋体"/>
          <w:sz w:val="24"/>
        </w:rPr>
        <w:t>c.每月前5日向生态环境主管部门报送上个月设备运转月度情况报告（含设备异常情况及故障期间监测数据）、各排污单位排污报表（含小时数据报表、超标数据标识、运维点位故障小时数、故障次数）；</w:t>
      </w:r>
    </w:p>
    <w:p>
      <w:pPr>
        <w:pStyle w:val="null3"/>
        <w:ind w:firstLine="480"/>
        <w:jc w:val="left"/>
      </w:pPr>
      <w:r>
        <w:rPr>
          <w:rFonts w:ascii="宋体" w:hAnsi="宋体" w:cs="宋体" w:eastAsia="宋体"/>
          <w:sz w:val="24"/>
        </w:rPr>
        <w:t>d.巡检维护记录应包括检查项目、检查日期、被检项目的运行状态等，每次巡检应记录、归档、备查，同时进行电子化管理。</w:t>
      </w:r>
    </w:p>
    <w:p>
      <w:pPr>
        <w:pStyle w:val="null3"/>
        <w:ind w:firstLine="480"/>
        <w:jc w:val="left"/>
      </w:pPr>
      <w:r>
        <w:rPr>
          <w:rFonts w:ascii="宋体" w:hAnsi="宋体" w:cs="宋体" w:eastAsia="宋体"/>
          <w:sz w:val="24"/>
        </w:rPr>
        <w:t>3.其他补充说明</w:t>
      </w:r>
    </w:p>
    <w:p>
      <w:pPr>
        <w:pStyle w:val="null3"/>
        <w:ind w:firstLine="480"/>
        <w:jc w:val="left"/>
      </w:pPr>
      <w:r>
        <w:rPr>
          <w:rFonts w:ascii="宋体" w:hAnsi="宋体" w:cs="宋体" w:eastAsia="宋体"/>
          <w:sz w:val="24"/>
        </w:rPr>
        <w:t>【评标序号</w:t>
      </w:r>
      <w:r>
        <w:rPr>
          <w:rFonts w:ascii="宋体" w:hAnsi="宋体" w:cs="宋体" w:eastAsia="宋体"/>
          <w:sz w:val="24"/>
        </w:rPr>
        <w:t>29】3.1保密制度</w:t>
      </w:r>
    </w:p>
    <w:p>
      <w:pPr>
        <w:pStyle w:val="null3"/>
        <w:ind w:firstLine="480"/>
        <w:jc w:val="left"/>
      </w:pPr>
      <w:r>
        <w:rPr>
          <w:rFonts w:ascii="宋体" w:hAnsi="宋体" w:cs="宋体" w:eastAsia="宋体"/>
          <w:sz w:val="24"/>
        </w:rPr>
        <w:t>中标人要制定严格的保密措施，避免出现企业相关信息的泄漏，防止侵权事件发生。不论何时，中标人都应承担监测数据的保密责任。中标人按照采购人的要求，进行报告和传输有关的监测数据，均不得向外界传递任何监测数据。</w:t>
      </w:r>
    </w:p>
    <w:p>
      <w:pPr>
        <w:pStyle w:val="null3"/>
        <w:ind w:firstLine="480"/>
        <w:jc w:val="left"/>
      </w:pPr>
      <w:r>
        <w:rPr>
          <w:rFonts w:ascii="宋体" w:hAnsi="宋体" w:cs="宋体" w:eastAsia="宋体"/>
          <w:sz w:val="24"/>
        </w:rPr>
        <w:t>【评标序号</w:t>
      </w:r>
      <w:r>
        <w:rPr>
          <w:rFonts w:ascii="宋体" w:hAnsi="宋体" w:cs="宋体" w:eastAsia="宋体"/>
          <w:sz w:val="24"/>
        </w:rPr>
        <w:t>30】3.2管理要求</w:t>
      </w:r>
    </w:p>
    <w:p>
      <w:pPr>
        <w:pStyle w:val="null3"/>
        <w:ind w:firstLine="480"/>
        <w:jc w:val="left"/>
      </w:pPr>
      <w:r>
        <w:rPr>
          <w:rFonts w:ascii="宋体" w:hAnsi="宋体" w:cs="宋体" w:eastAsia="宋体"/>
          <w:sz w:val="24"/>
        </w:rPr>
        <w:t>①在委托管理期间，中标人拥有管理自主权，但没有对外经营权。未经采购人同意，中标人不得利用本项目的所有资料对外开展技术交流、业务联系、数据交换等。</w:t>
      </w:r>
    </w:p>
    <w:p>
      <w:pPr>
        <w:pStyle w:val="null3"/>
        <w:ind w:firstLine="480"/>
        <w:jc w:val="left"/>
      </w:pPr>
      <w:r>
        <w:rPr>
          <w:rFonts w:ascii="宋体" w:hAnsi="宋体" w:cs="宋体" w:eastAsia="宋体"/>
          <w:sz w:val="24"/>
        </w:rPr>
        <w:t>②在委托管理期间，中标人应承担安全、消防等所有生产责任（不可抗力因素除外）。中标人应按安全生产有关规定，建立安全生产制度，切实消除安全隐患。</w:t>
      </w:r>
    </w:p>
    <w:p>
      <w:pPr>
        <w:pStyle w:val="null3"/>
        <w:ind w:firstLine="480"/>
        <w:jc w:val="left"/>
      </w:pPr>
      <w:r>
        <w:rPr>
          <w:rFonts w:ascii="宋体" w:hAnsi="宋体" w:cs="宋体" w:eastAsia="宋体"/>
          <w:sz w:val="24"/>
        </w:rPr>
        <w:t>③在委托管理期间，影响系统运行的故障，中标人应在发现故障或收到故障报告之时起0.5小时内响应，2小时内到达现场，并在到达现场后4小时能维修完成。未在2小时内派人到达现场修理，采购人可委托其它单位或人员修理，所发生的费用从合同总价款中扣除。中标人连续2次未能履行维修责任，采购人可单方面中止协议，并扣除未支付合同价款及履约保证金，且中标人须赔偿由此给采购人造成的损失。</w:t>
      </w:r>
    </w:p>
    <w:p>
      <w:pPr>
        <w:pStyle w:val="null3"/>
        <w:ind w:firstLine="480"/>
        <w:jc w:val="left"/>
      </w:pPr>
      <w:r>
        <w:rPr>
          <w:rFonts w:ascii="宋体" w:hAnsi="宋体" w:cs="宋体" w:eastAsia="宋体"/>
          <w:sz w:val="24"/>
        </w:rPr>
        <w:t>【评标序号</w:t>
      </w:r>
      <w:r>
        <w:rPr>
          <w:rFonts w:ascii="宋体" w:hAnsi="宋体" w:cs="宋体" w:eastAsia="宋体"/>
          <w:sz w:val="24"/>
        </w:rPr>
        <w:t>31】3.3交接要求</w:t>
      </w:r>
    </w:p>
    <w:p>
      <w:pPr>
        <w:pStyle w:val="null3"/>
        <w:ind w:firstLine="480"/>
        <w:jc w:val="left"/>
      </w:pPr>
      <w:r>
        <w:rPr>
          <w:rFonts w:ascii="宋体" w:hAnsi="宋体" w:cs="宋体" w:eastAsia="宋体"/>
          <w:sz w:val="24"/>
        </w:rPr>
        <w:t>①制作设备移交清单并办理交接手续，中标人应确保正式交接前设备的正常运行和维护。</w:t>
      </w:r>
    </w:p>
    <w:p>
      <w:pPr>
        <w:pStyle w:val="null3"/>
        <w:ind w:firstLine="480"/>
        <w:jc w:val="left"/>
      </w:pPr>
      <w:r>
        <w:rPr>
          <w:rFonts w:ascii="宋体" w:hAnsi="宋体" w:cs="宋体" w:eastAsia="宋体"/>
          <w:sz w:val="24"/>
        </w:rPr>
        <w:t>②在办理设备交接手续后，统一编制交接报告报送采购人，并根据监控运营合同及承诺提供相应服务。</w:t>
      </w:r>
    </w:p>
    <w:p>
      <w:pPr>
        <w:pStyle w:val="null3"/>
        <w:ind w:firstLine="480"/>
        <w:jc w:val="left"/>
      </w:pPr>
      <w:r>
        <w:rPr>
          <w:rFonts w:ascii="宋体" w:hAnsi="宋体" w:cs="宋体" w:eastAsia="宋体"/>
          <w:sz w:val="24"/>
        </w:rPr>
        <w:t>③监控运营服务期结束后，中标人保证自动监控设备及配套设施运转良好，并做好与新的运维服务中标人设备交接工作。</w:t>
      </w:r>
    </w:p>
    <w:p>
      <w:pPr>
        <w:pStyle w:val="null3"/>
        <w:ind w:firstLine="480"/>
        <w:jc w:val="left"/>
      </w:pPr>
      <w:r>
        <w:rPr>
          <w:rFonts w:ascii="宋体" w:hAnsi="宋体" w:cs="宋体" w:eastAsia="宋体"/>
          <w:sz w:val="24"/>
        </w:rPr>
        <w:t>3.4保障措施</w:t>
      </w:r>
    </w:p>
    <w:p>
      <w:pPr>
        <w:pStyle w:val="null3"/>
        <w:ind w:firstLine="480"/>
        <w:jc w:val="left"/>
      </w:pPr>
      <w:r>
        <w:rPr>
          <w:rFonts w:ascii="宋体" w:hAnsi="宋体" w:cs="宋体" w:eastAsia="宋体"/>
          <w:sz w:val="24"/>
        </w:rPr>
        <w:t>【评标序号</w:t>
      </w:r>
      <w:r>
        <w:rPr>
          <w:rFonts w:ascii="宋体" w:hAnsi="宋体" w:cs="宋体" w:eastAsia="宋体"/>
          <w:sz w:val="24"/>
        </w:rPr>
        <w:t>32】3.4.1为保障运维项目顺利实施，供应商拟投入本项目技术支撑团队人员不少于5人，其中1人为本项目的项目负责人。</w:t>
      </w:r>
    </w:p>
    <w:p>
      <w:pPr>
        <w:pStyle w:val="null3"/>
        <w:ind w:firstLine="480"/>
        <w:jc w:val="left"/>
      </w:pPr>
      <w:r>
        <w:rPr>
          <w:rFonts w:ascii="宋体" w:hAnsi="宋体" w:cs="宋体" w:eastAsia="宋体"/>
          <w:sz w:val="24"/>
        </w:rPr>
        <w:t>【评标序号</w:t>
      </w:r>
      <w:r>
        <w:rPr>
          <w:rFonts w:ascii="宋体" w:hAnsi="宋体" w:cs="宋体" w:eastAsia="宋体"/>
          <w:sz w:val="24"/>
        </w:rPr>
        <w:t>33】3.4.2成交后应根据本项目需求配备足够车辆，以保证项目正常运行。</w:t>
      </w:r>
    </w:p>
    <w:p>
      <w:pPr>
        <w:pStyle w:val="null3"/>
        <w:ind w:firstLine="480"/>
        <w:jc w:val="left"/>
      </w:pPr>
      <w:r>
        <w:rPr>
          <w:rFonts w:ascii="宋体" w:hAnsi="宋体" w:cs="宋体" w:eastAsia="宋体"/>
          <w:sz w:val="24"/>
        </w:rPr>
        <w:t>★4.采购人在线监测设备清单。</w:t>
      </w:r>
    </w:p>
    <w:tbl>
      <w:tblPr>
        <w:tblW w:w="0" w:type="auto"/>
        <w:tblBorders>
          <w:top w:val="none" w:color="000000" w:sz="4"/>
          <w:left w:val="none" w:color="000000" w:sz="4"/>
          <w:bottom w:val="none" w:color="000000" w:sz="4"/>
          <w:right w:val="none" w:color="000000" w:sz="4"/>
          <w:insideH w:val="none"/>
          <w:insideV w:val="none"/>
        </w:tblBorders>
      </w:tblPr>
      <w:tblGrid>
        <w:gridCol w:w="811"/>
        <w:gridCol w:w="2350"/>
        <w:gridCol w:w="3677"/>
        <w:gridCol w:w="1463"/>
      </w:tblGrid>
      <w:tr>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序号</w:t>
            </w:r>
          </w:p>
        </w:tc>
        <w:tc>
          <w:tcPr>
            <w:tcW w:type="dxa" w:w="2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类别</w:t>
            </w:r>
          </w:p>
        </w:tc>
        <w:tc>
          <w:tcPr>
            <w:tcW w:type="dxa" w:w="3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设备</w:t>
            </w:r>
            <w:r>
              <w:rPr>
                <w:rFonts w:ascii="宋体" w:hAnsi="宋体" w:cs="宋体" w:eastAsia="宋体"/>
                <w:sz w:val="24"/>
                <w:b/>
              </w:rPr>
              <w:t>名称</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数量</w:t>
            </w:r>
          </w:p>
        </w:tc>
      </w:tr>
      <w:tr>
        <w:tc>
          <w:tcPr>
            <w:tcW w:type="dxa" w:w="830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福州市中医院</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23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水质在线监测设备</w:t>
            </w:r>
          </w:p>
        </w:tc>
        <w:tc>
          <w:tcPr>
            <w:tcW w:type="dxa" w:w="3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在线</w:t>
            </w:r>
            <w:r>
              <w:rPr>
                <w:rFonts w:ascii="宋体" w:hAnsi="宋体" w:cs="宋体" w:eastAsia="宋体"/>
                <w:sz w:val="24"/>
              </w:rPr>
              <w:t>PH仪</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2</w:t>
            </w:r>
          </w:p>
        </w:tc>
        <w:tc>
          <w:tcPr>
            <w:tcW w:type="dxa" w:w="2350"/>
            <w:vMerge/>
            <w:tcBorders>
              <w:top w:val="single" w:color="000000" w:sz="4"/>
              <w:left w:val="none" w:color="000000" w:sz="4"/>
              <w:bottom w:val="single" w:color="000000" w:sz="4"/>
              <w:right w:val="single" w:color="000000" w:sz="4"/>
            </w:tcBorders>
          </w:tcP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超声波明渠流量计</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3</w:t>
            </w:r>
          </w:p>
        </w:tc>
        <w:tc>
          <w:tcPr>
            <w:tcW w:type="dxa" w:w="2350"/>
            <w:vMerge/>
            <w:tcBorders>
              <w:top w:val="single" w:color="000000" w:sz="4"/>
              <w:left w:val="none" w:color="000000" w:sz="4"/>
              <w:bottom w:val="single" w:color="000000" w:sz="4"/>
              <w:right w:val="single" w:color="000000" w:sz="4"/>
            </w:tcBorders>
          </w:tcP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数采仪</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r>
        <w:tc>
          <w:tcPr>
            <w:tcW w:type="dxa" w:w="830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福州市中医院五四北院区</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4</w:t>
            </w:r>
          </w:p>
        </w:tc>
        <w:tc>
          <w:tcPr>
            <w:tcW w:type="dxa" w:w="235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水质在线监测设备</w:t>
            </w:r>
          </w:p>
        </w:tc>
        <w:tc>
          <w:tcPr>
            <w:tcW w:type="dxa" w:w="36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COD在线分析仪</w:t>
            </w:r>
          </w:p>
        </w:tc>
        <w:tc>
          <w:tcPr>
            <w:tcW w:type="dxa" w:w="14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5</w:t>
            </w:r>
          </w:p>
        </w:tc>
        <w:tc>
          <w:tcPr>
            <w:tcW w:type="dxa" w:w="2350"/>
            <w:vMerge/>
            <w:tcBorders>
              <w:top w:val="single" w:color="000000" w:sz="4"/>
              <w:left w:val="none" w:color="000000" w:sz="4"/>
              <w:bottom w:val="single" w:color="000000" w:sz="4"/>
              <w:right w:val="single" w:color="000000" w:sz="4"/>
            </w:tcBorders>
          </w:tcP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氨氮在线分析仪</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6</w:t>
            </w:r>
          </w:p>
        </w:tc>
        <w:tc>
          <w:tcPr>
            <w:tcW w:type="dxa" w:w="2350"/>
            <w:vMerge/>
            <w:tcBorders>
              <w:top w:val="single" w:color="000000" w:sz="4"/>
              <w:left w:val="none" w:color="000000" w:sz="4"/>
              <w:bottom w:val="single" w:color="000000" w:sz="4"/>
              <w:right w:val="single" w:color="000000" w:sz="4"/>
            </w:tcBorders>
          </w:tcP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在线</w:t>
            </w:r>
            <w:r>
              <w:rPr>
                <w:rFonts w:ascii="宋体" w:hAnsi="宋体" w:cs="宋体" w:eastAsia="宋体"/>
                <w:sz w:val="24"/>
              </w:rPr>
              <w:t>PH仪</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7</w:t>
            </w:r>
          </w:p>
        </w:tc>
        <w:tc>
          <w:tcPr>
            <w:tcW w:type="dxa" w:w="2350"/>
            <w:vMerge/>
            <w:tcBorders>
              <w:top w:val="single" w:color="000000" w:sz="4"/>
              <w:left w:val="none" w:color="000000" w:sz="4"/>
              <w:bottom w:val="single" w:color="000000" w:sz="4"/>
              <w:right w:val="single" w:color="000000" w:sz="4"/>
            </w:tcBorders>
          </w:tcP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超声波明渠流量计</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8</w:t>
            </w:r>
          </w:p>
        </w:tc>
        <w:tc>
          <w:tcPr>
            <w:tcW w:type="dxa" w:w="2350"/>
            <w:vMerge/>
            <w:tcBorders>
              <w:top w:val="single" w:color="000000" w:sz="4"/>
              <w:left w:val="none" w:color="000000" w:sz="4"/>
              <w:bottom w:val="single" w:color="000000" w:sz="4"/>
              <w:right w:val="single" w:color="000000" w:sz="4"/>
            </w:tcBorders>
          </w:tcPr>
          <w:p/>
        </w:tc>
        <w:tc>
          <w:tcPr>
            <w:tcW w:type="dxa" w:w="36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数采仪</w:t>
            </w:r>
          </w:p>
        </w:tc>
        <w:tc>
          <w:tcPr>
            <w:tcW w:type="dxa" w:w="14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1台</w:t>
            </w:r>
          </w:p>
        </w:tc>
      </w:tr>
    </w:tbl>
    <w:p>
      <w:pPr>
        <w:pStyle w:val="null3"/>
        <w:jc w:val="both"/>
        <w:outlineLvl w:val="2"/>
      </w:pPr>
      <w:r>
        <w:rPr>
          <w:sz w:val="28"/>
          <w:b/>
        </w:rPr>
        <w:t>三、商务要求（以“★”标示的内容为不允许负偏离的实质性要求）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福州市中医院鼓楼院区及福州市中医院贤南分部污水运维服务合同签订之日起24个月，福州市中医院五四北院区污水运维服务合同签订之日起20个月。</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验收合格后交付采购人</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1、期次1，说明：按招标文件、投标文件、国家相关规定进行验收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1、验收合格后，达到付款条件起14日内，支付合同总金额的100.00%</w:t>
            </w:r>
          </w:p>
        </w:tc>
      </w:tr>
      <w:tr>
        <w:tc>
          <w:tcPr>
            <w:tcW w:type="dxa" w:w="2076"/>
          </w:tcPr>
          <w:p>
            <w:pPr>
              <w:pStyle w:val="null3"/>
              <w:jc w:val="left"/>
            </w:pPr>
            <w:r>
              <w:rPr/>
              <w:t>7</w:t>
            </w:r>
          </w:p>
        </w:tc>
        <w:tc>
          <w:tcPr>
            <w:tcW w:type="dxa" w:w="2076"/>
          </w:tcPr>
          <w:p>
            <w:pPr>
              <w:pStyle w:val="null3"/>
              <w:jc w:val="left"/>
            </w:pPr>
            <w:r>
              <w:rPr/>
              <w:t>★</w:t>
            </w:r>
          </w:p>
        </w:tc>
        <w:tc>
          <w:tcPr>
            <w:tcW w:type="dxa" w:w="2076"/>
          </w:tcPr>
          <w:p>
            <w:pPr>
              <w:pStyle w:val="null3"/>
              <w:jc w:val="left"/>
            </w:pPr>
            <w:r>
              <w:rPr/>
              <w:t>履约保证金</w:t>
            </w:r>
          </w:p>
        </w:tc>
        <w:tc>
          <w:tcPr>
            <w:tcW w:type="dxa" w:w="2076"/>
          </w:tcPr>
          <w:p>
            <w:pPr>
              <w:pStyle w:val="null3"/>
              <w:jc w:val="left"/>
            </w:pPr>
            <w:r>
              <w:rPr/>
              <w:t>不缴纳</w:t>
            </w:r>
          </w:p>
        </w:tc>
      </w:tr>
      <w:tr>
        <w:tc>
          <w:tcPr>
            <w:tcW w:type="dxa" w:w="2076"/>
          </w:tcPr>
          <w:p>
            <w:pPr>
              <w:pStyle w:val="null3"/>
              <w:jc w:val="left"/>
            </w:pPr>
            <w:r>
              <w:rPr/>
              <w:t>8</w:t>
            </w:r>
          </w:p>
        </w:tc>
        <w:tc>
          <w:tcPr>
            <w:tcW w:type="dxa" w:w="2076"/>
          </w:tcPr>
          <w:p>
            <w:pPr>
              <w:pStyle w:val="null3"/>
              <w:jc w:val="left"/>
            </w:pPr>
            <w:r>
              <w:rPr/>
              <w:t>★</w:t>
            </w:r>
          </w:p>
        </w:tc>
        <w:tc>
          <w:tcPr>
            <w:tcW w:type="dxa" w:w="2076"/>
          </w:tcPr>
          <w:p>
            <w:pPr>
              <w:pStyle w:val="null3"/>
              <w:jc w:val="left"/>
            </w:pPr>
            <w:r>
              <w:rPr/>
              <w:t>其他</w:t>
            </w:r>
          </w:p>
        </w:tc>
        <w:tc>
          <w:tcPr>
            <w:tcW w:type="dxa" w:w="2076"/>
          </w:tcPr>
          <w:p>
            <w:pPr>
              <w:pStyle w:val="null3"/>
              <w:jc w:val="left"/>
            </w:pPr>
            <w:r>
              <w:rPr/>
              <w:t>“合同支付方式”补充说明（如招标文件中存在不一致，以本条款为准）：1.福州市中医院鼓楼院区及福州市中医院贤南分部污水运维服务按月支付服务费，每完成一个月的运营维护服务，中标人向采购人提交有效发票，采购人支付鼓楼院区及贤南分部当月污水运维服务费用； 2.福州市中医院五四北院区污水运维服务按月支付服务费，每完成一个月的运营维护服务，中标人向采购人提交有效发票，采购人支付五四北院区当月污水运维服务费用。</w:t>
            </w:r>
          </w:p>
        </w:tc>
      </w:tr>
    </w:tbl>
    <w:p>
      <w:pPr>
        <w:pStyle w:val="null3"/>
        <w:jc w:val="left"/>
      </w:pPr>
      <w:r>
        <w:rPr/>
        <w:t>其他商务要求</w:t>
      </w:r>
    </w:p>
    <w:p>
      <w:pPr>
        <w:pStyle w:val="null3"/>
        <w:ind w:firstLine="480"/>
        <w:jc w:val="left"/>
      </w:pPr>
      <w:r>
        <w:rPr>
          <w:rFonts w:ascii="宋体" w:hAnsi="宋体" w:cs="宋体" w:eastAsia="宋体"/>
          <w:sz w:val="24"/>
          <w:b/>
        </w:rPr>
        <w:t>8.违约责任</w:t>
      </w:r>
    </w:p>
    <w:p>
      <w:pPr>
        <w:pStyle w:val="null3"/>
        <w:ind w:firstLine="480"/>
        <w:jc w:val="left"/>
      </w:pPr>
      <w:r>
        <w:rPr>
          <w:rFonts w:ascii="宋体" w:hAnsi="宋体" w:cs="宋体" w:eastAsia="宋体"/>
          <w:sz w:val="24"/>
        </w:rPr>
        <w:t>8.1因中标人原因造成合同无法按时签订，视为中标人违约，应向中标人承担违约责任，中标人违约对采购人造成的损失的，中标人须赔偿给采购人造成的损失。</w:t>
      </w:r>
    </w:p>
    <w:p>
      <w:pPr>
        <w:pStyle w:val="null3"/>
        <w:ind w:firstLine="480"/>
        <w:jc w:val="left"/>
      </w:pPr>
      <w:r>
        <w:rPr>
          <w:rFonts w:ascii="宋体" w:hAnsi="宋体" w:cs="宋体" w:eastAsia="宋体"/>
          <w:sz w:val="24"/>
        </w:rPr>
        <w:t>8.2在签订合同之后，中标人要求解除合同的，视为中标人违约，应向中标人承担违约责任，对采购人造成的损失的，中标人须赔偿给采购人造成的损失。</w:t>
      </w:r>
    </w:p>
    <w:p>
      <w:pPr>
        <w:pStyle w:val="null3"/>
        <w:ind w:firstLine="480"/>
        <w:jc w:val="left"/>
      </w:pPr>
      <w:r>
        <w:rPr>
          <w:rFonts w:ascii="宋体" w:hAnsi="宋体" w:cs="宋体" w:eastAsia="宋体"/>
          <w:sz w:val="24"/>
        </w:rPr>
        <w:t>8.3中标人具有下列行为均视为违约：</w:t>
      </w:r>
    </w:p>
    <w:p>
      <w:pPr>
        <w:pStyle w:val="null3"/>
        <w:ind w:firstLine="480"/>
        <w:jc w:val="left"/>
      </w:pPr>
      <w:r>
        <w:rPr>
          <w:rFonts w:ascii="宋体" w:hAnsi="宋体" w:cs="宋体" w:eastAsia="宋体"/>
          <w:sz w:val="24"/>
        </w:rPr>
        <w:t>（</w:t>
      </w:r>
      <w:r>
        <w:rPr>
          <w:rFonts w:ascii="宋体" w:hAnsi="宋体" w:cs="宋体" w:eastAsia="宋体"/>
          <w:sz w:val="24"/>
        </w:rPr>
        <w:t>1）未经采购人同意，单方终止合同的；</w:t>
      </w:r>
    </w:p>
    <w:p>
      <w:pPr>
        <w:pStyle w:val="null3"/>
        <w:ind w:firstLine="480"/>
        <w:jc w:val="left"/>
      </w:pPr>
      <w:r>
        <w:rPr>
          <w:rFonts w:ascii="宋体" w:hAnsi="宋体" w:cs="宋体" w:eastAsia="宋体"/>
          <w:sz w:val="24"/>
        </w:rPr>
        <w:t>（</w:t>
      </w:r>
      <w:r>
        <w:rPr>
          <w:rFonts w:ascii="宋体" w:hAnsi="宋体" w:cs="宋体" w:eastAsia="宋体"/>
          <w:sz w:val="24"/>
        </w:rPr>
        <w:t>2）未按约定期限或要求履行合同项下以及招标文件要求的所有条款及义务的；</w:t>
      </w:r>
    </w:p>
    <w:p>
      <w:pPr>
        <w:pStyle w:val="null3"/>
        <w:ind w:firstLine="480"/>
        <w:jc w:val="left"/>
      </w:pPr>
      <w:r>
        <w:rPr>
          <w:rFonts w:ascii="宋体" w:hAnsi="宋体" w:cs="宋体" w:eastAsia="宋体"/>
          <w:sz w:val="24"/>
        </w:rPr>
        <w:t>（</w:t>
      </w:r>
      <w:r>
        <w:rPr>
          <w:rFonts w:ascii="宋体" w:hAnsi="宋体" w:cs="宋体" w:eastAsia="宋体"/>
          <w:sz w:val="24"/>
        </w:rPr>
        <w:t>3）中标人委托服务期间拖欠农民工工资的；</w:t>
      </w:r>
    </w:p>
    <w:p>
      <w:pPr>
        <w:pStyle w:val="null3"/>
        <w:ind w:firstLine="480"/>
        <w:jc w:val="left"/>
      </w:pPr>
      <w:r>
        <w:rPr>
          <w:rFonts w:ascii="宋体" w:hAnsi="宋体" w:cs="宋体" w:eastAsia="宋体"/>
          <w:sz w:val="24"/>
        </w:rPr>
        <w:t>（</w:t>
      </w:r>
      <w:r>
        <w:rPr>
          <w:rFonts w:ascii="宋体" w:hAnsi="宋体" w:cs="宋体" w:eastAsia="宋体"/>
          <w:sz w:val="24"/>
        </w:rPr>
        <w:t>4）事后经查证，中标人通过伪造、贿赂等非法手段取得本招标标的的；</w:t>
      </w:r>
    </w:p>
    <w:p>
      <w:pPr>
        <w:pStyle w:val="null3"/>
        <w:ind w:firstLine="480"/>
        <w:jc w:val="left"/>
      </w:pPr>
      <w:r>
        <w:rPr>
          <w:rFonts w:ascii="宋体" w:hAnsi="宋体" w:cs="宋体" w:eastAsia="宋体"/>
          <w:sz w:val="24"/>
        </w:rPr>
        <w:t>（</w:t>
      </w:r>
      <w:r>
        <w:rPr>
          <w:rFonts w:ascii="宋体" w:hAnsi="宋体" w:cs="宋体" w:eastAsia="宋体"/>
          <w:sz w:val="24"/>
        </w:rPr>
        <w:t>5）经查证，中标人不符合符合招标文件、响应文件等文件关于资质的要求的；</w:t>
      </w:r>
    </w:p>
    <w:p>
      <w:pPr>
        <w:pStyle w:val="null3"/>
        <w:ind w:firstLine="480"/>
        <w:jc w:val="left"/>
      </w:pPr>
      <w:r>
        <w:rPr>
          <w:rFonts w:ascii="宋体" w:hAnsi="宋体" w:cs="宋体" w:eastAsia="宋体"/>
          <w:sz w:val="24"/>
        </w:rPr>
        <w:t>（</w:t>
      </w:r>
      <w:r>
        <w:rPr>
          <w:rFonts w:ascii="宋体" w:hAnsi="宋体" w:cs="宋体" w:eastAsia="宋体"/>
          <w:sz w:val="24"/>
        </w:rPr>
        <w:t>6）违反招标文件或本合同其他约定的行为。</w:t>
      </w:r>
    </w:p>
    <w:p>
      <w:pPr>
        <w:pStyle w:val="null3"/>
        <w:ind w:firstLine="480"/>
        <w:jc w:val="left"/>
      </w:pPr>
      <w:r>
        <w:rPr>
          <w:rFonts w:ascii="宋体" w:hAnsi="宋体" w:cs="宋体" w:eastAsia="宋体"/>
          <w:sz w:val="24"/>
        </w:rPr>
        <w:t>8.4中标人出现上述8.3款违约情形，采购人有权视情况要求中标人承担下列任一、部分或全部违约责任：</w:t>
      </w:r>
    </w:p>
    <w:p>
      <w:pPr>
        <w:pStyle w:val="null3"/>
        <w:ind w:firstLine="480"/>
        <w:jc w:val="left"/>
      </w:pPr>
      <w:r>
        <w:rPr>
          <w:rFonts w:ascii="宋体" w:hAnsi="宋体" w:cs="宋体" w:eastAsia="宋体"/>
          <w:sz w:val="24"/>
        </w:rPr>
        <w:t>①中标人未按约定期限或要求履行条款或义务，每经发现一次，采购人有权视违约情况要求中标人支付当年度合同总价款的5%-30%作为违约金。经采购人催告拒不改正超过【3次】或前述情况超过【3次】的，采购人有权行使单方解除权，中标人除应赔偿采购人因此蒙受的损失外，还应向采购人承担合同总价款【30%】的违约金</w:t>
      </w:r>
    </w:p>
    <w:p>
      <w:pPr>
        <w:pStyle w:val="null3"/>
        <w:ind w:firstLine="480"/>
        <w:jc w:val="left"/>
      </w:pPr>
      <w:r>
        <w:rPr>
          <w:rFonts w:ascii="宋体" w:hAnsi="宋体" w:cs="宋体" w:eastAsia="宋体"/>
          <w:sz w:val="24"/>
        </w:rPr>
        <w:t>②要求中标人支付相当于合同总价款的【30%】的违约金；</w:t>
      </w:r>
    </w:p>
    <w:p>
      <w:pPr>
        <w:pStyle w:val="null3"/>
        <w:ind w:firstLine="480"/>
        <w:jc w:val="left"/>
      </w:pPr>
      <w:r>
        <w:rPr>
          <w:rFonts w:ascii="宋体" w:hAnsi="宋体" w:cs="宋体" w:eastAsia="宋体"/>
          <w:sz w:val="24"/>
        </w:rPr>
        <w:t>③有权要求中标人继续履行合同约定义务；</w:t>
      </w:r>
    </w:p>
    <w:p>
      <w:pPr>
        <w:pStyle w:val="null3"/>
        <w:ind w:firstLine="480"/>
        <w:jc w:val="left"/>
      </w:pPr>
      <w:r>
        <w:rPr>
          <w:rFonts w:ascii="宋体" w:hAnsi="宋体" w:cs="宋体" w:eastAsia="宋体"/>
          <w:sz w:val="24"/>
        </w:rPr>
        <w:t>④视情况有权单方解除合同；</w:t>
      </w:r>
    </w:p>
    <w:p>
      <w:pPr>
        <w:pStyle w:val="null3"/>
        <w:ind w:firstLine="480"/>
        <w:jc w:val="left"/>
      </w:pPr>
      <w:r>
        <w:rPr>
          <w:rFonts w:ascii="宋体" w:hAnsi="宋体" w:cs="宋体" w:eastAsia="宋体"/>
          <w:sz w:val="24"/>
        </w:rPr>
        <w:t>⑤要求中标人承担赔偿责任；</w:t>
      </w:r>
    </w:p>
    <w:p>
      <w:pPr>
        <w:pStyle w:val="null3"/>
        <w:ind w:firstLine="480"/>
        <w:jc w:val="left"/>
      </w:pPr>
      <w:r>
        <w:rPr>
          <w:rFonts w:ascii="宋体" w:hAnsi="宋体" w:cs="宋体" w:eastAsia="宋体"/>
          <w:sz w:val="24"/>
        </w:rPr>
        <w:t>⑥其他采购人认为应由中标人履行的行为。</w:t>
      </w:r>
    </w:p>
    <w:p>
      <w:pPr>
        <w:pStyle w:val="null3"/>
        <w:ind w:firstLine="480"/>
        <w:jc w:val="left"/>
      </w:pPr>
      <w:r>
        <w:rPr>
          <w:rFonts w:ascii="宋体" w:hAnsi="宋体" w:cs="宋体" w:eastAsia="宋体"/>
          <w:sz w:val="24"/>
        </w:rPr>
        <w:t>8.5因中标人原因发生重大质量事故，除依约向采购人支付合同总价款【20】%违约金承担损害赔偿责任外，还将按有关质量管理办法规定执行。同时，采购人有权保留更换中标人的权利，并报相关行政主管部门处罚。</w:t>
      </w:r>
    </w:p>
    <w:p>
      <w:pPr>
        <w:pStyle w:val="null3"/>
        <w:ind w:firstLine="480"/>
        <w:jc w:val="left"/>
      </w:pPr>
      <w:r>
        <w:rPr>
          <w:rFonts w:ascii="宋体" w:hAnsi="宋体" w:cs="宋体" w:eastAsia="宋体"/>
          <w:sz w:val="24"/>
        </w:rPr>
        <w:t>8.6若发生安全事故，除按国家有关安全管理规定及采购人有关安全管理办法执行外，并报相关行政主管部门处罚；发生重大安全事故或特大安全事故，除按国家有关安全管理规定及采购人有关安全管理办法执行外，采购人有权终止合同，中标人还应向采购人支付相当于合同总金额【20%】的违约金并承担损害赔偿责任，全额赔偿给采购人造成的损失，承担对相关人员的一切损害赔偿责任。</w:t>
      </w:r>
    </w:p>
    <w:p>
      <w:pPr>
        <w:pStyle w:val="null3"/>
        <w:ind w:firstLine="480"/>
        <w:jc w:val="left"/>
      </w:pPr>
      <w:r>
        <w:rPr>
          <w:rFonts w:ascii="宋体" w:hAnsi="宋体" w:cs="宋体" w:eastAsia="宋体"/>
          <w:sz w:val="24"/>
        </w:rPr>
        <w:t>8.7针对中标人的维护服务考核，除按采购人所提出的要求及其他相关法律的规定执行外，针对中标人可能出现的徇私舞弊、偷工减料、虚报工作量等严重不良行为，一经采购人发现，视为中标人违约，采购人有权终止合同，中标人还应向采购人支付相当于合同总金额【20%】的违约金并承担损害赔偿责任，全额赔偿给采购人造成的损失，承担对相关人员的一切损害赔偿责任。</w:t>
      </w:r>
    </w:p>
    <w:p>
      <w:pPr>
        <w:pStyle w:val="null3"/>
        <w:ind w:firstLine="480"/>
        <w:jc w:val="left"/>
      </w:pPr>
      <w:r>
        <w:rPr>
          <w:rFonts w:ascii="宋体" w:hAnsi="宋体" w:cs="宋体" w:eastAsia="宋体"/>
          <w:sz w:val="24"/>
        </w:rPr>
        <w:t>8.8 政府采购合同履行期间，较之投标资质承诺内容，中标人丧失或降低资质的，视为中标人违约，采购人有权视情况无条件解除采购合同并要求中标人承担违约责任。</w:t>
      </w:r>
    </w:p>
    <w:p>
      <w:pPr>
        <w:pStyle w:val="null3"/>
        <w:ind w:firstLine="480"/>
        <w:jc w:val="left"/>
      </w:pPr>
      <w:r>
        <w:rPr>
          <w:rFonts w:ascii="宋体" w:hAnsi="宋体" w:cs="宋体" w:eastAsia="宋体"/>
          <w:sz w:val="24"/>
        </w:rPr>
        <w:t>8.9若中标人及其工作人员在合同履行过程中（包括但不限于差旅过程或采购人工作场地等）发生任何安全事故或其他责任事故导致中标人、采购人或其他第三方人身伤亡或财产损失的，由中标人承担全部经济赔偿责任及其他相关法律责任，采购人不承担任何责任。若任何第三方因安全事故发生而向采购人提出指控，中标人应与第三方交涉，并根据上述条款承担全部责任。相关指控均与采购人无关，中标人应积极维护采购人名誉。</w:t>
      </w:r>
    </w:p>
    <w:p>
      <w:pPr>
        <w:pStyle w:val="null3"/>
        <w:ind w:firstLine="480"/>
        <w:jc w:val="left"/>
      </w:pPr>
      <w:r>
        <w:rPr>
          <w:rFonts w:ascii="宋体" w:hAnsi="宋体" w:cs="宋体" w:eastAsia="宋体"/>
          <w:sz w:val="24"/>
        </w:rPr>
        <w:t>8.10中标人不得分包、转包他人或随意变更企业法人，如有发现采购人有权单方终止合同，视为中标人违约，中标人应按照违约责任约定承担违约责任，中标人违约对采购人造成的损失的，需另行支付相应的赔偿，并追究相关法律责任。投标人须对此作出单独承诺。</w:t>
      </w:r>
    </w:p>
    <w:p>
      <w:pPr>
        <w:pStyle w:val="null3"/>
        <w:ind w:firstLine="480"/>
        <w:jc w:val="left"/>
      </w:pPr>
      <w:r>
        <w:rPr>
          <w:rFonts w:ascii="宋体" w:hAnsi="宋体" w:cs="宋体" w:eastAsia="宋体"/>
          <w:sz w:val="24"/>
        </w:rPr>
        <w:t>8.11因可归咎于中标人原因致使采购人遭受损失的(包括但不限于直接损失、间接损失、商誉损失、诉讼费用、律师费、可预期利益、赔偿或补偿费用)，中标人均应予以全额赔偿。违约金不足以弥补采购人损失的，中标人还应当在赔偿违约金之后，按照本协议规定的损失范围赔偿采购人的所有损失。</w:t>
      </w:r>
    </w:p>
    <w:p>
      <w:pPr>
        <w:pStyle w:val="null3"/>
        <w:ind w:firstLine="480"/>
        <w:jc w:val="left"/>
      </w:pPr>
      <w:r>
        <w:rPr>
          <w:rFonts w:ascii="宋体" w:hAnsi="宋体" w:cs="宋体" w:eastAsia="宋体"/>
          <w:sz w:val="24"/>
        </w:rPr>
        <w:t>8.11按照合同约定应由中标人支付的违约金、补偿费、赔偿费等费用，采购人有权自应付但未付给中标人的合同余期价款中优先扣除，应付但未付价款不足以抵扣中标人应支付的违约金、补偿费、赔偿费等费用的，不足部分采购人有权另行向中标人主张。</w:t>
      </w:r>
    </w:p>
    <w:p>
      <w:pPr>
        <w:pStyle w:val="null3"/>
        <w:ind w:firstLine="480"/>
        <w:jc w:val="left"/>
      </w:pPr>
      <w:r>
        <w:rPr>
          <w:rFonts w:ascii="宋体" w:hAnsi="宋体" w:cs="宋体" w:eastAsia="宋体"/>
          <w:sz w:val="24"/>
        </w:rPr>
        <w:t>8.12在明确违约责任后，中标人应在接到书面通知书起七天内支付违约金、赔偿金等。</w:t>
      </w:r>
    </w:p>
    <w:p>
      <w:pPr>
        <w:pStyle w:val="null3"/>
        <w:ind w:firstLine="482"/>
        <w:jc w:val="left"/>
      </w:pPr>
      <w:r>
        <w:rPr>
          <w:rFonts w:ascii="宋体" w:hAnsi="宋体" w:cs="宋体" w:eastAsia="宋体"/>
          <w:sz w:val="24"/>
          <w:b/>
        </w:rPr>
        <w:t>9.合同价款及范围说明</w:t>
      </w:r>
    </w:p>
    <w:p>
      <w:pPr>
        <w:pStyle w:val="null3"/>
        <w:ind w:firstLine="480"/>
        <w:jc w:val="left"/>
      </w:pPr>
      <w:r>
        <w:rPr>
          <w:rFonts w:ascii="宋体" w:hAnsi="宋体" w:cs="宋体" w:eastAsia="宋体"/>
          <w:sz w:val="24"/>
        </w:rPr>
        <w:t>采购人付款前，中标人应提供相应款项的有效增值税发票，否则采购人有权顺延付款期限，且不承担任何违约责任。上述款项若因政府财政拨款迟延等原因造成延期支付的，中标人承诺不予追究采购人逾期付款的相关责任，付款时间相应顺延。采购人向合同中中标人指定收款账户转账完毕即视为已履行完毕付款义务，中标人应对提供的账号信息的真实性及准确性负责。如发现错误或者账号变动应在</w:t>
      </w:r>
      <w:r>
        <w:rPr>
          <w:rFonts w:ascii="宋体" w:hAnsi="宋体" w:cs="宋体" w:eastAsia="宋体"/>
          <w:sz w:val="24"/>
        </w:rPr>
        <w:t>24小时内书面通知采购人。中标人未及时履行通知义务造成损失的由中标人自负，采购人不承担责任。</w:t>
      </w:r>
    </w:p>
    <w:p>
      <w:pPr>
        <w:pStyle w:val="null3"/>
        <w:ind w:firstLine="482"/>
        <w:jc w:val="left"/>
      </w:pPr>
      <w:r>
        <w:rPr>
          <w:rFonts w:ascii="宋体" w:hAnsi="宋体" w:cs="宋体" w:eastAsia="宋体"/>
          <w:sz w:val="24"/>
          <w:b/>
        </w:rPr>
        <w:t>10.知识产权方面说明</w:t>
      </w:r>
    </w:p>
    <w:p>
      <w:pPr>
        <w:pStyle w:val="null3"/>
        <w:ind w:firstLine="480"/>
        <w:jc w:val="left"/>
      </w:pPr>
      <w:r>
        <w:rPr>
          <w:rFonts w:ascii="宋体" w:hAnsi="宋体" w:cs="宋体" w:eastAsia="宋体"/>
          <w:sz w:val="24"/>
        </w:rPr>
        <w:t>10.1中标人提供的服务或使用的产品、软件等应符合国家知识产权法律、法规的规定；中标人还应保证采购人不受到第三方关于侵犯知识产权及专利权、商标权或工业设计权等知识产权方面的指控，任何第三方如果提出此方面指控均与采购人无关，中标人应与第三方交涉，并承担可能发生的一切法律责任、费用和后果；若采购人因此而遭致损失，则中标人应赔偿该损失。</w:t>
      </w:r>
    </w:p>
    <w:p>
      <w:pPr>
        <w:pStyle w:val="null3"/>
        <w:ind w:firstLine="480"/>
        <w:jc w:val="left"/>
      </w:pPr>
      <w:r>
        <w:rPr>
          <w:rFonts w:ascii="宋体" w:hAnsi="宋体" w:cs="宋体" w:eastAsia="宋体"/>
          <w:sz w:val="24"/>
        </w:rPr>
        <w:t>10.2若中标人提供的服务或使用的产品、软件等不符合国家知识产权法律、法规的规定或被有关主管机关认定为侵权或假冒伪劣品，则中标人中标或成交资格将被取消；采购人还将按照有关法律、法规和规章的规定进行处理，具体如下：中标人应承担可能发生的一切法律责任、费用和后果，采购人有权解除本合同并要求中标人按照合同总价款的15%赔偿采购人违约金，若造成采购人其他损失或额外支出的，采购人还可就损失或额外的支出向中标人完全追偿。</w:t>
      </w:r>
    </w:p>
    <w:p>
      <w:pPr>
        <w:pStyle w:val="null3"/>
        <w:ind w:firstLine="480"/>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2.1除招标文件另有规定外，若出现有关法律、法规和规章有强制性规定但招标文件未列明的情形，则投标人应按照有关法律、法规和规章强制性规定执行。 2.2本文件未明确的其它约定事项或条款，待采购人与中标人签订合同时，由双方协商订立。</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pPr>
      <w:r>
        <w:rPr/>
        <w:t>合同编号：</w:t>
      </w:r>
    </w:p>
    <w:p>
      <w:pPr>
        <w:pStyle w:val="null3"/>
        <w:jc w:val="center"/>
        <w:outlineLvl w:val="1"/>
      </w:pPr>
      <w:r>
        <w:rPr>
          <w:sz w:val="36"/>
          <w:b/>
        </w:rPr>
        <w:t xml:space="preserve"> 福建省政府采购合同（服务类）</w:t>
      </w:r>
    </w:p>
    <w:p>
      <w:pPr>
        <w:pStyle w:val="null3"/>
        <w:jc w:val="center"/>
        <w:outlineLvl w:val="3"/>
      </w:pPr>
      <w:r>
        <w:rPr>
          <w:sz w:val="24"/>
          <w:b/>
        </w:rPr>
        <w:t>编制说明</w:t>
      </w:r>
      <w:r>
        <w:br/>
      </w:r>
    </w:p>
    <w:p>
      <w:pPr>
        <w:pStyle w:val="null3"/>
        <w:jc w:val="left"/>
        <w:outlineLvl w:val="3"/>
      </w:pPr>
      <w:r>
        <w:rPr>
          <w:sz w:val="24"/>
          <w:b/>
        </w:rPr>
        <w:t xml:space="preserve"> 1.签订合同应遵守《中华人民共和国政府采购法》及其实施条例、《中华人民共和国民法典》等法律法规及其他有关规定。</w:t>
      </w:r>
    </w:p>
    <w:p>
      <w:pPr>
        <w:pStyle w:val="null3"/>
        <w:jc w:val="left"/>
        <w:outlineLvl w:val="3"/>
      </w:pPr>
      <w:r>
        <w:rPr>
          <w:sz w:val="24"/>
          <w:b/>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sz w:val="24"/>
          <w:b/>
        </w:rPr>
        <w:t xml:space="preserve"> 3.政府有关主管部门对若干合同有规范文本的，可使用相应合同文本。</w:t>
      </w:r>
    </w:p>
    <w:p>
      <w:pPr>
        <w:pStyle w:val="null3"/>
        <w:jc w:val="left"/>
        <w:outlineLvl w:val="3"/>
      </w:pPr>
      <w:r>
        <w:rPr>
          <w:sz w:val="24"/>
          <w:b/>
        </w:rPr>
        <w:t xml:space="preserve"> 4.本合同范本仅供参考，采购人应当根据采购项目的实际需求对合同条款进行修改、补充。</w:t>
      </w:r>
    </w:p>
    <w:p>
      <w:pPr>
        <w:pStyle w:val="null3"/>
        <w:ind w:left="0"/>
        <w:jc w:val="left"/>
      </w:pPr>
      <w:r>
        <w:rPr/>
        <w:t>甲方：</w:t>
      </w:r>
    </w:p>
    <w:p>
      <w:pPr>
        <w:pStyle w:val="null3"/>
        <w:jc w:val="left"/>
      </w:pPr>
      <w:r>
        <w:rPr/>
        <w:t>住所地：________________</w:t>
      </w:r>
    </w:p>
    <w:p>
      <w:pPr>
        <w:pStyle w:val="null3"/>
        <w:jc w:val="left"/>
      </w:pPr>
      <w:r>
        <w:rPr/>
        <w:t>联系人：________________</w:t>
      </w:r>
    </w:p>
    <w:p>
      <w:pPr>
        <w:pStyle w:val="null3"/>
        <w:jc w:val="left"/>
      </w:pPr>
      <w:r>
        <w:rPr/>
        <w:t>联系电话：______________</w:t>
      </w:r>
    </w:p>
    <w:p>
      <w:pPr>
        <w:pStyle w:val="null3"/>
        <w:jc w:val="left"/>
      </w:pPr>
      <w:r>
        <w:rPr/>
        <w:t>传真：</w:t>
      </w:r>
      <w:r>
        <w:rPr/>
        <w:t>________________</w:t>
      </w:r>
    </w:p>
    <w:p>
      <w:pPr>
        <w:pStyle w:val="null3"/>
        <w:jc w:val="left"/>
      </w:pPr>
      <w:r>
        <w:rPr/>
        <w:t>电子邮箱：</w:t>
      </w:r>
      <w:r>
        <w:rPr/>
        <w:t>________________</w:t>
      </w:r>
      <w:r>
        <w:br/>
      </w:r>
    </w:p>
    <w:p>
      <w:pPr>
        <w:pStyle w:val="null3"/>
        <w:ind w:left="0"/>
        <w:jc w:val="left"/>
      </w:pPr>
      <w:r>
        <w:rPr/>
        <w:t xml:space="preserve"> 乙方： </w:t>
      </w:r>
      <w:r>
        <w:rPr/>
        <w:t>________________</w:t>
      </w:r>
    </w:p>
    <w:p>
      <w:pPr>
        <w:pStyle w:val="null3"/>
        <w:jc w:val="left"/>
      </w:pPr>
      <w:r>
        <w:rPr/>
        <w:t xml:space="preserve"> 住所地： </w:t>
      </w:r>
      <w:r>
        <w:rPr/>
        <w:t>________________</w:t>
      </w:r>
    </w:p>
    <w:p>
      <w:pPr>
        <w:pStyle w:val="null3"/>
        <w:jc w:val="left"/>
      </w:pPr>
      <w:r>
        <w:rPr/>
        <w:t xml:space="preserve"> 联系人：</w:t>
      </w:r>
      <w:r>
        <w:rPr/>
        <w:t>______________</w:t>
      </w:r>
    </w:p>
    <w:p>
      <w:pPr>
        <w:pStyle w:val="null3"/>
        <w:jc w:val="left"/>
      </w:pPr>
      <w:r>
        <w:rPr/>
        <w:t xml:space="preserve"> 联系电话：</w:t>
      </w:r>
      <w:r>
        <w:rPr/>
        <w:t>______________</w:t>
      </w:r>
    </w:p>
    <w:p>
      <w:pPr>
        <w:pStyle w:val="null3"/>
        <w:jc w:val="left"/>
      </w:pPr>
      <w:r>
        <w:rPr/>
        <w:t xml:space="preserve"> 传真：</w:t>
      </w:r>
      <w:r>
        <w:rPr/>
        <w:t>________________</w:t>
      </w:r>
    </w:p>
    <w:p>
      <w:pPr>
        <w:pStyle w:val="null3"/>
        <w:jc w:val="left"/>
      </w:pPr>
      <w:r>
        <w:rPr/>
        <w:t xml:space="preserve"> 电子邮箱：</w:t>
      </w:r>
      <w:r>
        <w:rPr/>
        <w:t>________________</w:t>
      </w:r>
    </w:p>
    <w:p>
      <w:pPr>
        <w:pStyle w:val="null3"/>
        <w:jc w:val="left"/>
      </w:pPr>
      <w:r>
        <w:rPr/>
        <w:t>根据项目编号为</w:t>
      </w:r>
      <w:r>
        <w:rPr/>
        <w:t>___________</w:t>
      </w:r>
      <w:r>
        <w:rPr/>
        <w:t xml:space="preserve"> 的 </w:t>
      </w:r>
      <w:r>
        <w:rPr/>
        <w:t>__________</w:t>
      </w:r>
      <w:r>
        <w:rPr/>
        <w:t>项目（以下简称：“本项目”）的采购结果，遵循平等、自愿、公平和诚实信用的原则，双方签署本合同，具体内容如下：</w:t>
      </w:r>
    </w:p>
    <w:p>
      <w:pPr>
        <w:pStyle w:val="null3"/>
        <w:jc w:val="left"/>
        <w:outlineLvl w:val="3"/>
      </w:pPr>
      <w:r>
        <w:rPr>
          <w:sz w:val="24"/>
          <w:b/>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sz w:val="24"/>
          <w:b/>
        </w:rPr>
        <w:t xml:space="preserve"> 二、合同标的</w:t>
      </w:r>
      <w:r>
        <w:br/>
      </w:r>
    </w:p>
    <w:p>
      <w:pPr>
        <w:pStyle w:val="null3"/>
        <w:jc w:val="left"/>
        <w:outlineLvl w:val="3"/>
      </w:pPr>
      <w:r>
        <w:rPr>
          <w:sz w:val="24"/>
          <w:b/>
        </w:rPr>
        <w:t xml:space="preserve"> 三、价格形式及合同价款</w:t>
      </w:r>
    </w:p>
    <w:p>
      <w:pPr>
        <w:pStyle w:val="null3"/>
        <w:jc w:val="left"/>
        <w:outlineLvl w:val="4"/>
      </w:pPr>
      <w:r>
        <w:rPr>
          <w:sz w:val="20"/>
          <w:b/>
        </w:rPr>
        <w:t xml:space="preserve"> 3.1价格形式</w:t>
      </w:r>
    </w:p>
    <w:p>
      <w:pPr>
        <w:pStyle w:val="null3"/>
        <w:jc w:val="left"/>
      </w:pPr>
      <w:r>
        <w:rPr/>
        <w:t xml:space="preserve"> 固定单价合同。完成约定服务事项的含税合同单价为：人民币（大写）元（￥</w:t>
      </w:r>
      <w:r>
        <w:rPr/>
        <w:t xml:space="preserve"> _____________</w:t>
      </w:r>
      <w:r>
        <w:rPr/>
        <w:t>元）。</w:t>
      </w:r>
    </w:p>
    <w:p>
      <w:pPr>
        <w:pStyle w:val="null3"/>
        <w:spacing w:lineRule="auto" w:line="300"/>
        <w:jc w:val="left"/>
      </w:pPr>
      <w:r>
        <w:rPr/>
        <w:t xml:space="preserve"> 固定总价合同。完成约定服务事项的含税服务费用为：人民币（大写）元（￥</w:t>
      </w:r>
      <w:r>
        <w:rPr/>
        <w:t xml:space="preserve">_____________ </w:t>
      </w:r>
      <w:r>
        <w:rPr/>
        <w:t>元）。</w:t>
      </w:r>
    </w:p>
    <w:p>
      <w:pPr>
        <w:pStyle w:val="null3"/>
        <w:spacing w:lineRule="auto" w:line="300"/>
        <w:jc w:val="left"/>
      </w:pPr>
      <w:r>
        <w:rPr/>
        <w:t xml:space="preserve"> 其他方式。</w:t>
      </w:r>
    </w:p>
    <w:p>
      <w:pPr>
        <w:pStyle w:val="null3"/>
        <w:spacing w:lineRule="auto" w:line="300"/>
        <w:jc w:val="left"/>
        <w:outlineLvl w:val="4"/>
      </w:pPr>
      <w:r>
        <w:rPr>
          <w:sz w:val="20"/>
          <w:b/>
        </w:rPr>
        <w:t xml:space="preserve"> 3.2合同价款包含范围</w:t>
      </w:r>
    </w:p>
    <w:p>
      <w:pPr>
        <w:pStyle w:val="null3"/>
        <w:jc w:val="left"/>
        <w:outlineLvl w:val="4"/>
      </w:pPr>
      <w:r>
        <w:rPr>
          <w:sz w:val="20"/>
          <w:b/>
        </w:rPr>
        <w:t xml:space="preserve"> 3.3其他需说明的事项：</w:t>
      </w:r>
    </w:p>
    <w:p>
      <w:pPr>
        <w:pStyle w:val="null3"/>
        <w:jc w:val="left"/>
        <w:outlineLvl w:val="3"/>
      </w:pPr>
      <w:r>
        <w:rPr>
          <w:sz w:val="24"/>
          <w:b/>
        </w:rPr>
        <w:t xml:space="preserve"> 四、合同标的及服务范围、地点和时间</w:t>
      </w:r>
    </w:p>
    <w:p>
      <w:pPr>
        <w:pStyle w:val="null3"/>
        <w:jc w:val="left"/>
      </w:pPr>
      <w:r>
        <w:rPr/>
        <w:t xml:space="preserve"> 4.1项目名称： </w:t>
      </w:r>
      <w:r>
        <w:rPr/>
        <w:t>_____________</w:t>
      </w:r>
    </w:p>
    <w:p>
      <w:pPr>
        <w:pStyle w:val="null3"/>
        <w:jc w:val="left"/>
      </w:pPr>
      <w:r>
        <w:rPr/>
        <w:t xml:space="preserve"> 4.2服务范围：</w:t>
      </w:r>
      <w:r>
        <w:rPr/>
        <w:t>_____________</w:t>
      </w:r>
    </w:p>
    <w:p>
      <w:pPr>
        <w:pStyle w:val="null3"/>
        <w:jc w:val="left"/>
      </w:pPr>
      <w:r>
        <w:rPr/>
        <w:t xml:space="preserve"> 4.3服务地点：</w:t>
      </w:r>
      <w:r>
        <w:rPr/>
        <w:t>_____________</w:t>
      </w:r>
    </w:p>
    <w:p>
      <w:pPr>
        <w:pStyle w:val="null3"/>
        <w:jc w:val="left"/>
      </w:pPr>
      <w:r>
        <w:rPr/>
        <w:t xml:space="preserve"> 4.4服务完成时间：</w:t>
      </w:r>
      <w:r>
        <w:rPr/>
        <w:t>_____________</w:t>
      </w:r>
    </w:p>
    <w:p>
      <w:pPr>
        <w:pStyle w:val="null3"/>
        <w:jc w:val="left"/>
        <w:outlineLvl w:val="3"/>
      </w:pPr>
      <w:r>
        <w:rPr>
          <w:sz w:val="24"/>
          <w:b/>
        </w:rPr>
        <w:t xml:space="preserve"> 五、服务内容、质量标准和要求</w:t>
      </w:r>
    </w:p>
    <w:p>
      <w:pPr>
        <w:pStyle w:val="null3"/>
        <w:jc w:val="left"/>
      </w:pPr>
      <w:r>
        <w:rPr/>
        <w:t xml:space="preserve"> 5.1服务工作量的计量方式：</w:t>
      </w:r>
      <w:r>
        <w:rPr/>
        <w:t>_____________</w:t>
      </w:r>
    </w:p>
    <w:p>
      <w:pPr>
        <w:pStyle w:val="null3"/>
        <w:jc w:val="left"/>
      </w:pPr>
      <w:r>
        <w:rPr/>
        <w:t xml:space="preserve"> 5.2服务内容：_____________</w:t>
      </w:r>
    </w:p>
    <w:p>
      <w:pPr>
        <w:pStyle w:val="null3"/>
        <w:jc w:val="left"/>
      </w:pPr>
      <w:r>
        <w:rPr/>
        <w:t xml:space="preserve"> 5.3技术保障、服务人员组成、所涉及的货物的质量标准：</w:t>
      </w:r>
    </w:p>
    <w:p>
      <w:pPr>
        <w:pStyle w:val="null3"/>
        <w:jc w:val="left"/>
      </w:pPr>
      <w:r>
        <w:rPr/>
        <w:t xml:space="preserve"> （1）服务技术保障：_____________</w:t>
      </w:r>
    </w:p>
    <w:p>
      <w:pPr>
        <w:pStyle w:val="null3"/>
        <w:jc w:val="left"/>
      </w:pPr>
      <w:r>
        <w:rPr/>
        <w:t xml:space="preserve"> （2）服务人员组成：_____________</w:t>
      </w:r>
    </w:p>
    <w:p>
      <w:pPr>
        <w:pStyle w:val="null3"/>
        <w:jc w:val="left"/>
      </w:pPr>
      <w:r>
        <w:rPr/>
        <w:t xml:space="preserve"> （3）服务设备及物资投入及质量标准：_____________</w:t>
      </w:r>
    </w:p>
    <w:p>
      <w:pPr>
        <w:pStyle w:val="null3"/>
        <w:jc w:val="left"/>
      </w:pPr>
      <w:r>
        <w:rPr/>
        <w:t xml:space="preserve"> 5.4服务质量标准及要求：</w:t>
      </w:r>
    </w:p>
    <w:p>
      <w:pPr>
        <w:pStyle w:val="null3"/>
        <w:jc w:val="left"/>
      </w:pPr>
      <w:r>
        <w:rPr/>
        <w:t xml:space="preserve"> 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t xml:space="preserve"> 5.4.3其他要求：</w:t>
      </w:r>
    </w:p>
    <w:p>
      <w:pPr>
        <w:pStyle w:val="null3"/>
        <w:jc w:val="left"/>
        <w:outlineLvl w:val="3"/>
      </w:pPr>
      <w:r>
        <w:rPr>
          <w:sz w:val="24"/>
          <w:b/>
        </w:rPr>
        <w:t xml:space="preserve"> 六、服务履约验收或考核</w:t>
      </w:r>
    </w:p>
    <w:p>
      <w:pPr>
        <w:pStyle w:val="null3"/>
        <w:jc w:val="left"/>
      </w:pPr>
      <w:r>
        <w:rPr/>
        <w:t xml:space="preserve"> 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sz w:val="24"/>
          <w:b/>
        </w:rPr>
        <w:t xml:space="preserve"> 七、甲方的权利与义务</w:t>
      </w:r>
    </w:p>
    <w:p>
      <w:pPr>
        <w:pStyle w:val="null3"/>
        <w:jc w:val="left"/>
      </w:pPr>
      <w:r>
        <w:rPr/>
        <w:t xml:space="preserve"> 7.1甲方委派</w:t>
      </w:r>
      <w:r>
        <w:rPr/>
        <w:t>___________</w:t>
      </w:r>
      <w:r>
        <w:rPr/>
        <w:t xml:space="preserve">为联系人，联系方式 </w:t>
      </w:r>
      <w:r>
        <w:rPr/>
        <w:t>___________</w:t>
      </w:r>
      <w:r>
        <w:rPr/>
        <w:t>，负责与乙方联系。如甲方联系人发生变更，甲方应书面告知乙方。</w:t>
      </w:r>
    </w:p>
    <w:p>
      <w:pPr>
        <w:pStyle w:val="null3"/>
        <w:jc w:val="left"/>
      </w:pPr>
      <w:r>
        <w:rPr/>
        <w:t xml:space="preserve"> 7.2甲方应为乙方开展服务工作提供必要的工作条件，以及对内对外沟通和配合协助。</w:t>
      </w:r>
    </w:p>
    <w:p>
      <w:pPr>
        <w:pStyle w:val="null3"/>
        <w:jc w:val="left"/>
      </w:pPr>
      <w:r>
        <w:rPr/>
        <w:t xml:space="preserve"> 7.3甲方应于</w:t>
      </w:r>
      <w:r>
        <w:rPr/>
        <w:t>___________</w:t>
      </w:r>
      <w:r>
        <w:rPr/>
        <w:t>之前提供服务所需的全部资料，并对所提供材料真实性、完整性、合法性负责。</w:t>
      </w:r>
    </w:p>
    <w:p>
      <w:pPr>
        <w:pStyle w:val="null3"/>
        <w:jc w:val="left"/>
      </w:pPr>
      <w:r>
        <w:rPr/>
        <w:t xml:space="preserve"> 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t xml:space="preserve"> 7.5甲方应按本合同约定及时足额支付服务费用及相关费用。</w:t>
      </w:r>
    </w:p>
    <w:p>
      <w:pPr>
        <w:pStyle w:val="null3"/>
        <w:jc w:val="left"/>
      </w:pPr>
      <w:r>
        <w:rPr/>
        <w:t xml:space="preserve"> 7.6其他</w:t>
      </w:r>
    </w:p>
    <w:p>
      <w:pPr>
        <w:pStyle w:val="null3"/>
        <w:jc w:val="left"/>
        <w:outlineLvl w:val="3"/>
      </w:pPr>
      <w:r>
        <w:rPr>
          <w:sz w:val="24"/>
          <w:b/>
        </w:rPr>
        <w:t xml:space="preserve"> 八、乙方的权利与义务</w:t>
      </w:r>
    </w:p>
    <w:p>
      <w:pPr>
        <w:pStyle w:val="null3"/>
        <w:jc w:val="left"/>
      </w:pPr>
      <w:r>
        <w:rPr/>
        <w:t>8.1乙方委派</w:t>
      </w:r>
      <w:r>
        <w:rPr/>
        <w:t>___________</w:t>
      </w:r>
      <w:r>
        <w:rPr/>
        <w:t xml:space="preserve">为联系人，联系方式 </w:t>
      </w:r>
      <w:r>
        <w:rPr/>
        <w:t>___________</w:t>
      </w:r>
      <w:r>
        <w:rPr/>
        <w:t>，负责与甲方联系。如乙方联系人发生变更，乙方应书面告知甲方</w:t>
      </w:r>
    </w:p>
    <w:p>
      <w:pPr>
        <w:pStyle w:val="null3"/>
        <w:jc w:val="left"/>
      </w:pPr>
      <w:r>
        <w:rPr/>
        <w:t>8.2乙方应国家法律法规和{{乙方的权利与义务-响应要求-福建}}等要求开展{{乙方的权利与义务-开展服务-福建}}服务；</w:t>
      </w:r>
    </w:p>
    <w:p>
      <w:pPr>
        <w:pStyle w:val="null3"/>
        <w:jc w:val="left"/>
      </w:pPr>
      <w:r>
        <w:rPr/>
        <w:t>8.3乙方及其所委派服务人员应按标准或协议约定方式出具服务成果，并对其真实性和合法性负法律责任；</w:t>
      </w:r>
    </w:p>
    <w:p>
      <w:pPr>
        <w:pStyle w:val="null3"/>
        <w:jc w:val="left"/>
      </w:pPr>
      <w:r>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t>8.5乙方对服务业务应当单独建档，保存完整的工作记录，并对服务过程使用和暂存甲方的文件、材料和财物应当妥善保管。</w:t>
      </w:r>
    </w:p>
    <w:p>
      <w:pPr>
        <w:pStyle w:val="null3"/>
        <w:jc w:val="left"/>
      </w:pPr>
      <w:r>
        <w:rPr/>
        <w:t>8.6服务工作结束后,乙方将根据情况对甲方服务相关的管理制度及其他事项等提出改进意见。</w:t>
      </w:r>
    </w:p>
    <w:p>
      <w:pPr>
        <w:pStyle w:val="null3"/>
        <w:jc w:val="left"/>
      </w:pPr>
      <w:r>
        <w:rPr/>
        <w:t>8.7乙方完全遵守《中华人民共和国劳动合同法》有关规定和《中华人民共和国妇女权益保障法》中关于“劳动和社会保障权益”的有关要求。</w:t>
      </w:r>
    </w:p>
    <w:p>
      <w:pPr>
        <w:pStyle w:val="null3"/>
        <w:jc w:val="left"/>
      </w:pPr>
      <w:r>
        <w:rPr/>
        <w:t>8.8其他</w:t>
      </w:r>
    </w:p>
    <w:p>
      <w:pPr>
        <w:pStyle w:val="null3"/>
        <w:jc w:val="left"/>
        <w:outlineLvl w:val="3"/>
      </w:pPr>
      <w:r>
        <w:rPr>
          <w:sz w:val="24"/>
          <w:b/>
        </w:rPr>
        <w:t xml:space="preserve"> 九、资金支付方式、时间和条件</w:t>
      </w:r>
      <w:r>
        <w:br/>
      </w:r>
    </w:p>
    <w:p>
      <w:pPr>
        <w:pStyle w:val="null3"/>
        <w:jc w:val="left"/>
        <w:outlineLvl w:val="3"/>
      </w:pPr>
      <w:r>
        <w:rPr>
          <w:sz w:val="24"/>
          <w:b/>
        </w:rPr>
        <w:t xml:space="preserve"> 十、履约保证金</w:t>
      </w:r>
    </w:p>
    <w:p>
      <w:pPr>
        <w:pStyle w:val="null3"/>
        <w:jc w:val="left"/>
      </w:pPr>
      <w:r>
        <w:rPr/>
        <w:t xml:space="preserve"> □有，□无。具体如下：（按照采购文件规定填写）。</w:t>
      </w:r>
    </w:p>
    <w:p>
      <w:pPr>
        <w:pStyle w:val="null3"/>
        <w:jc w:val="left"/>
      </w:pPr>
      <w:r>
        <w:rPr/>
        <w:t>10.1乙方向甲方缴纳人民币 / 元作为本合同的履约保证金。</w:t>
      </w:r>
    </w:p>
    <w:p>
      <w:pPr>
        <w:pStyle w:val="null3"/>
        <w:jc w:val="left"/>
      </w:pPr>
      <w:r>
        <w:rPr/>
        <w:t>10.2履约保证金缴纳形式：支票/汇票/电汇/保函等非现金形式。</w:t>
      </w:r>
    </w:p>
    <w:p>
      <w:pPr>
        <w:pStyle w:val="null3"/>
        <w:jc w:val="left"/>
      </w:pPr>
      <w:r>
        <w:rPr/>
        <w:t>10.3履约保证金合同履行完毕前有效，合同履行完毕后一次性结清退还。</w:t>
      </w:r>
    </w:p>
    <w:p>
      <w:pPr>
        <w:pStyle w:val="null3"/>
        <w:jc w:val="left"/>
        <w:outlineLvl w:val="3"/>
      </w:pPr>
      <w:r>
        <w:rPr>
          <w:sz w:val="24"/>
          <w:b/>
        </w:rPr>
        <w:t xml:space="preserve"> 十一、合同期限</w:t>
      </w:r>
      <w:r>
        <w:br/>
      </w:r>
    </w:p>
    <w:p>
      <w:pPr>
        <w:pStyle w:val="null3"/>
        <w:jc w:val="left"/>
        <w:outlineLvl w:val="3"/>
      </w:pPr>
      <w:r>
        <w:rPr>
          <w:sz w:val="24"/>
          <w:b/>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sz w:val="24"/>
          <w:b/>
        </w:rPr>
        <w:t xml:space="preserve"> 十三、违约责任</w:t>
      </w:r>
    </w:p>
    <w:p>
      <w:pPr>
        <w:pStyle w:val="null3"/>
        <w:jc w:val="left"/>
      </w:pPr>
      <w:r>
        <w:rPr/>
        <w:t>13.1甲方违约责任</w:t>
      </w:r>
    </w:p>
    <w:p>
      <w:pPr>
        <w:pStyle w:val="null3"/>
        <w:jc w:val="left"/>
      </w:pPr>
      <w:r>
        <w:rPr/>
        <w:t>（1）甲方无正当理由拒绝乙方提供合格服务的，甲方应向乙方偿付所拒收合同总价</w:t>
      </w:r>
      <w:r>
        <w:rPr/>
        <w:t>________</w:t>
      </w:r>
      <w:r>
        <w:rPr/>
        <w:t>的违约金</w:t>
      </w:r>
    </w:p>
    <w:p>
      <w:pPr>
        <w:pStyle w:val="null3"/>
        <w:jc w:val="left"/>
      </w:pPr>
      <w:r>
        <w:rPr/>
        <w:t>（2）甲方无故逾期验收和办理合同款项支付手续的,甲方应按逾期付款总额每日</w:t>
      </w:r>
      <w:r>
        <w:rPr/>
        <w:t>________</w:t>
      </w:r>
      <w:r>
        <w:rPr/>
        <w:t>向乙方支付违约金。</w:t>
      </w:r>
    </w:p>
    <w:p>
      <w:pPr>
        <w:pStyle w:val="null3"/>
        <w:jc w:val="left"/>
      </w:pPr>
      <w:r>
        <w:rPr/>
        <w:t>（3）其他违约情形</w:t>
      </w:r>
    </w:p>
    <w:p>
      <w:pPr>
        <w:pStyle w:val="null3"/>
        <w:jc w:val="left"/>
      </w:pPr>
      <w:r>
        <w:rPr/>
        <w:t>13.2乙方违约责任</w:t>
      </w:r>
    </w:p>
    <w:p>
      <w:pPr>
        <w:pStyle w:val="null3"/>
        <w:jc w:val="left"/>
      </w:pPr>
      <w:r>
        <w:rPr/>
        <w:t>（1）乙方逾期履行服务的，乙方应按逾期交付总额每日</w:t>
      </w:r>
      <w:r>
        <w:rPr/>
        <w:t>________</w:t>
      </w:r>
      <w:r>
        <w:rPr/>
        <w:t>向甲方支付违约金，由甲方从待付货款中扣除。乙方无正当理由逾期超过约定日期</w:t>
      </w:r>
      <w:r>
        <w:rPr/>
        <w:t>________</w:t>
      </w:r>
      <w:r>
        <w:rPr/>
        <w:t>仍不能交付的，视为“乙方不按合同约定履约”；</w:t>
      </w:r>
    </w:p>
    <w:p>
      <w:pPr>
        <w:pStyle w:val="null3"/>
        <w:jc w:val="left"/>
      </w:pPr>
      <w:r>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t>（3）乙方不按合同约定履约的，甲方可以解除采购合同，并对乙方已缴纳的履约保证金作“不予退还”处理。同时，乙方须按以下约定向甲方支付违约金：</w:t>
      </w:r>
    </w:p>
    <w:p>
      <w:pPr>
        <w:pStyle w:val="null3"/>
        <w:jc w:val="left"/>
      </w:pPr>
      <w:r>
        <w:rPr/>
        <w:t>（4）其他违约情形</w:t>
      </w:r>
    </w:p>
    <w:p>
      <w:pPr>
        <w:pStyle w:val="null3"/>
        <w:jc w:val="left"/>
        <w:outlineLvl w:val="3"/>
      </w:pPr>
      <w:r>
        <w:rPr>
          <w:sz w:val="24"/>
          <w:b/>
        </w:rPr>
        <w:t xml:space="preserve"> 十四、不可抗力事件处理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sz w:val="24"/>
          <w:b/>
        </w:rPr>
        <w:t xml:space="preserve"> 十五、解决争议的方法</w:t>
      </w:r>
    </w:p>
    <w:p>
      <w:pPr>
        <w:pStyle w:val="null3"/>
        <w:jc w:val="left"/>
      </w:pPr>
      <w:r>
        <w:rPr/>
        <w:t>15.1甲、乙双方协商解决。</w:t>
      </w:r>
    </w:p>
    <w:p>
      <w:pPr>
        <w:pStyle w:val="null3"/>
        <w:jc w:val="left"/>
      </w:pPr>
      <w:r>
        <w:rPr/>
        <w:t>15.2若协商解决不成，双方明确按以下第_种方式解决：</w:t>
      </w:r>
    </w:p>
    <w:p>
      <w:pPr>
        <w:pStyle w:val="null3"/>
        <w:jc w:val="left"/>
      </w:pPr>
      <w:r>
        <w:rPr/>
        <w:t xml:space="preserve"> 1、提交仲裁委员会仲裁，具体如下：</w:t>
      </w:r>
    </w:p>
    <w:p>
      <w:pPr>
        <w:pStyle w:val="null3"/>
        <w:spacing w:lineRule="auto" w:line="300"/>
        <w:jc w:val="left"/>
      </w:pPr>
      <w:r>
        <w:rPr/>
        <w:t xml:space="preserve"> 2、向人民法院提起诉讼。</w:t>
      </w:r>
    </w:p>
    <w:p>
      <w:pPr>
        <w:pStyle w:val="null3"/>
        <w:jc w:val="left"/>
        <w:outlineLvl w:val="3"/>
      </w:pPr>
      <w:r>
        <w:rPr>
          <w:sz w:val="24"/>
          <w:b/>
        </w:rPr>
        <w:t xml:space="preserve"> 十六、合同其他条款</w:t>
      </w:r>
      <w:r>
        <w:br/>
      </w:r>
    </w:p>
    <w:p>
      <w:pPr>
        <w:pStyle w:val="null3"/>
        <w:jc w:val="left"/>
        <w:outlineLvl w:val="3"/>
      </w:pPr>
      <w:r>
        <w:rPr>
          <w:sz w:val="24"/>
          <w:b/>
        </w:rPr>
        <w:t xml:space="preserve"> 十七、其他约定</w:t>
      </w:r>
    </w:p>
    <w:p>
      <w:pPr>
        <w:pStyle w:val="null3"/>
        <w:jc w:val="left"/>
      </w:pPr>
      <w:r>
        <w:rPr/>
        <w:t>17.1合同文件与本合同具有同等法律效力。</w:t>
      </w:r>
    </w:p>
    <w:p>
      <w:pPr>
        <w:pStyle w:val="null3"/>
        <w:jc w:val="left"/>
      </w:pPr>
      <w:r>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17.3本合同未尽事宜，遵照《中华人民共和国民法典》有关条文执行。</w:t>
      </w:r>
    </w:p>
    <w:p>
      <w:pPr>
        <w:pStyle w:val="null3"/>
        <w:jc w:val="left"/>
      </w:pPr>
      <w:r>
        <w:rPr/>
        <w:t>17.4本合同正本一式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17.5本合同已用于政府采购合同融资，为本项目提供合同融资的金融机构为：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17.6其他</w:t>
      </w:r>
    </w:p>
    <w:p>
      <w:pPr>
        <w:pStyle w:val="null3"/>
        <w:jc w:val="left"/>
        <w:outlineLvl w:val="3"/>
      </w:pPr>
      <w:r>
        <w:rPr>
          <w:sz w:val="24"/>
          <w:b/>
        </w:rPr>
        <w:t xml:space="preserve"> 十八、合同附件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_____________</w:t>
      </w:r>
    </w:p>
    <w:p>
      <w:pPr>
        <w:pStyle w:val="null3"/>
        <w:jc w:val="left"/>
      </w:pPr>
      <w:r>
        <w:rPr/>
        <w:t>签订日期：</w:t>
      </w:r>
      <w:r>
        <w:rPr/>
        <w:t>____年___月___日</w:t>
      </w:r>
    </w:p>
    <w:p>
      <w:pPr>
        <w:pStyle w:val="null3"/>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 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ind w:firstLine="960"/>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ind w:firstLine="960"/>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ind w:firstLine="960"/>
        <w:jc w:val="left"/>
      </w:pPr>
      <w:r>
        <w:rPr/>
        <w:t xml:space="preserve"> </w:t>
        <w:br/>
        <w:br w:type="page"/>
      </w:r>
    </w:p>
    <w:p>
      <w:pPr>
        <w:pStyle w:val="null3"/>
        <w:ind w:firstLine="960"/>
        <w:jc w:val="center"/>
        <w:outlineLvl w:val="3"/>
      </w:pPr>
      <w:r>
        <w:rPr>
          <w:sz w:val="24"/>
          <w:b/>
        </w:rPr>
        <w:t>二-2 证明材料</w:t>
      </w:r>
    </w:p>
    <w:p>
      <w:pPr>
        <w:pStyle w:val="null3"/>
        <w:ind w:firstLine="480"/>
        <w:jc w:val="left"/>
      </w:pPr>
      <w:r>
        <w:rPr/>
        <w:t>注：根据招标文件第四章第一资格审查的1.3的“④其他资格证明文件”要求，允许供应商采用资格承诺制的，可提供符合要求的二-2-1资格承诺函，视为满足招标文件的资格要求，投标人根据投标文件格式二-2-1、二-2-2提供其中一种证明材料，若重复提供导致的不利后果，由投标人自行负责。</w:t>
      </w:r>
    </w:p>
    <w:p>
      <w:pPr>
        <w:pStyle w:val="null3"/>
        <w:ind w:firstLine="960"/>
        <w:jc w:val="center"/>
        <w:outlineLvl w:val="3"/>
      </w:pPr>
      <w:r>
        <w:rPr>
          <w:sz w:val="24"/>
          <w:b/>
        </w:rPr>
        <w:t>二-2-1 福建省政府采购供应商资格承诺函</w:t>
      </w:r>
    </w:p>
    <w:p>
      <w:pPr>
        <w:pStyle w:val="null3"/>
        <w:ind w:firstLine="480"/>
        <w:jc w:val="left"/>
      </w:pPr>
      <w:r>
        <w:rPr/>
        <w:t>致：</w:t>
      </w:r>
      <w:r>
        <w:rPr>
          <w:u w:val="single"/>
        </w:rPr>
        <w:t>（采购人或采购代理机构）</w:t>
      </w:r>
    </w:p>
    <w:p>
      <w:pPr>
        <w:pStyle w:val="null3"/>
        <w:ind w:firstLine="960"/>
        <w:jc w:val="left"/>
      </w:pPr>
      <w:r>
        <w:rPr/>
        <w:t>单位名称(自然人姓名):</w:t>
      </w:r>
    </w:p>
    <w:p>
      <w:pPr>
        <w:pStyle w:val="null3"/>
        <w:ind w:firstLine="960"/>
        <w:jc w:val="left"/>
      </w:pPr>
      <w:r>
        <w:rPr/>
        <w:t>统一社会信用代码(自然人身份证号码):</w:t>
      </w:r>
    </w:p>
    <w:p>
      <w:pPr>
        <w:pStyle w:val="null3"/>
        <w:ind w:firstLine="960"/>
        <w:jc w:val="left"/>
      </w:pPr>
      <w:r>
        <w:rPr/>
        <w:t>法定代表人(负责人):</w:t>
      </w:r>
    </w:p>
    <w:p>
      <w:pPr>
        <w:pStyle w:val="null3"/>
        <w:ind w:firstLine="960"/>
        <w:jc w:val="left"/>
      </w:pPr>
      <w:r>
        <w:rPr/>
        <w:t>联系地址和电话:</w:t>
      </w:r>
    </w:p>
    <w:p>
      <w:pPr>
        <w:pStyle w:val="null3"/>
        <w:ind w:firstLine="480"/>
        <w:jc w:val="left"/>
      </w:pPr>
      <w:r>
        <w:rPr/>
        <w:t>我单位(本人)自愿参加本次政府采购活动，严格遵守《中华人民共和国政府采购法》及相关法律法规，坚守公开、公平公正和诚实信用等原则，依法诚信经营，并郑重承诺:</w:t>
      </w:r>
    </w:p>
    <w:p>
      <w:pPr>
        <w:pStyle w:val="null3"/>
        <w:ind w:firstLine="480"/>
        <w:jc w:val="left"/>
      </w:pPr>
      <w:r>
        <w:rPr/>
        <w:t>一、我单位(本人)具备采购文件要求以及《中华人民共和国政府采购法》第二十二条规定的条件:</w:t>
      </w:r>
    </w:p>
    <w:p>
      <w:pPr>
        <w:pStyle w:val="null3"/>
        <w:ind w:firstLine="960"/>
        <w:jc w:val="left"/>
      </w:pPr>
      <w:r>
        <w:rPr/>
        <w:t>1.具有独立承担民事责任的能力;</w:t>
      </w:r>
    </w:p>
    <w:p>
      <w:pPr>
        <w:pStyle w:val="null3"/>
        <w:ind w:firstLine="960"/>
        <w:jc w:val="left"/>
      </w:pPr>
      <w:r>
        <w:rPr/>
        <w:t>2.具有良好的商业信誉和健全的财务会计制度;</w:t>
      </w:r>
    </w:p>
    <w:p>
      <w:pPr>
        <w:pStyle w:val="null3"/>
        <w:ind w:firstLine="960"/>
        <w:jc w:val="left"/>
      </w:pPr>
      <w:r>
        <w:rPr/>
        <w:t>3.具有履行合同所必需的设备和专业技术能力;</w:t>
      </w:r>
    </w:p>
    <w:p>
      <w:pPr>
        <w:pStyle w:val="null3"/>
        <w:ind w:firstLine="960"/>
        <w:jc w:val="left"/>
      </w:pPr>
      <w:r>
        <w:rPr/>
        <w:t>4.有依法缴纳税收和社会保障资金的良好记录;</w:t>
      </w:r>
    </w:p>
    <w:p>
      <w:pPr>
        <w:pStyle w:val="null3"/>
        <w:ind w:firstLine="960"/>
        <w:jc w:val="left"/>
      </w:pPr>
      <w:r>
        <w:rPr/>
        <w:t>5.参加政府采购活动前三年内，在经营活动中没有重大违法记录；</w:t>
      </w:r>
    </w:p>
    <w:p>
      <w:pPr>
        <w:pStyle w:val="null3"/>
        <w:ind w:firstLine="960"/>
        <w:jc w:val="left"/>
      </w:pPr>
      <w:r>
        <w:rPr/>
        <w:t>6.法律、行政法规规定的其他条件。</w:t>
      </w:r>
    </w:p>
    <w:p>
      <w:pPr>
        <w:pStyle w:val="null3"/>
        <w:ind w:firstLine="480"/>
        <w:jc w:val="left"/>
      </w:pPr>
      <w:r>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pPr>
        <w:pStyle w:val="null3"/>
        <w:ind w:firstLine="480"/>
        <w:jc w:val="left"/>
      </w:pPr>
      <w:r>
        <w:rPr/>
        <w:t>我单位(本人)对本承诺函及所承诺事项的真实性、合法性及有效性负责，并已知晓如提供资格承诺函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和政府采购法律法规有关规定处理。</w:t>
      </w:r>
    </w:p>
    <w:p>
      <w:pPr>
        <w:pStyle w:val="null3"/>
        <w:ind w:firstLine="480"/>
        <w:jc w:val="right"/>
      </w:pPr>
      <w:r>
        <w:rPr/>
        <w:t>供应商：</w:t>
      </w:r>
      <w:r>
        <w:rPr>
          <w:u w:val="single"/>
        </w:rPr>
        <w:t>名称(单位公章):</w:t>
      </w:r>
    </w:p>
    <w:p>
      <w:pPr>
        <w:pStyle w:val="null3"/>
        <w:ind w:firstLine="480"/>
        <w:jc w:val="right"/>
      </w:pPr>
      <w:r>
        <w:rPr/>
        <w:t>日期：</w:t>
      </w:r>
      <w:r>
        <w:rPr>
          <w:u w:val="single"/>
        </w:rPr>
        <w:t>　　年　　月　　日</w:t>
      </w:r>
    </w:p>
    <w:p>
      <w:pPr>
        <w:pStyle w:val="null3"/>
        <w:ind w:firstLine="480"/>
        <w:jc w:val="left"/>
      </w:pPr>
      <w:r>
        <w:rPr/>
        <w:t>注：</w:t>
      </w:r>
    </w:p>
    <w:p>
      <w:pPr>
        <w:pStyle w:val="null3"/>
        <w:ind w:firstLine="960"/>
        <w:jc w:val="left"/>
      </w:pPr>
      <w:r>
        <w:rPr/>
        <w:t>1.我单位(本人)专指参加政府采购活动的供应商(含自然人)；</w:t>
      </w:r>
    </w:p>
    <w:p>
      <w:pPr>
        <w:pStyle w:val="null3"/>
        <w:ind w:firstLine="960"/>
        <w:jc w:val="left"/>
      </w:pPr>
      <w:r>
        <w:rPr/>
        <w:t>2.资格承诺的供应商应在投标(响应)文件中按此模板提供承诺函，否则，视为未按照招标文件规定提交投标人的资格及资信文件，按资格审查不通过处理。</w:t>
      </w:r>
    </w:p>
    <w:p>
      <w:pPr>
        <w:pStyle w:val="null3"/>
        <w:ind w:firstLine="960"/>
        <w:jc w:val="left"/>
      </w:pPr>
      <w:r>
        <w:rPr/>
        <w:t xml:space="preserve"> </w:t>
        <w:br/>
        <w:br w:type="page"/>
      </w:r>
    </w:p>
    <w:p>
      <w:pPr>
        <w:pStyle w:val="null3"/>
        <w:ind w:firstLine="960"/>
        <w:jc w:val="center"/>
        <w:outlineLvl w:val="3"/>
      </w:pPr>
      <w:r>
        <w:rPr>
          <w:sz w:val="24"/>
          <w:b/>
        </w:rPr>
        <w:t>二-2-2 资格证明材料</w:t>
      </w:r>
    </w:p>
    <w:p>
      <w:pPr>
        <w:pStyle w:val="null3"/>
        <w:ind w:firstLine="960"/>
        <w:jc w:val="center"/>
        <w:outlineLvl w:val="3"/>
      </w:pPr>
      <w:r>
        <w:rPr>
          <w:sz w:val="24"/>
          <w:b/>
        </w:rPr>
        <w:t>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960"/>
        <w:jc w:val="left"/>
      </w:pPr>
      <w:r>
        <w:rPr/>
        <w:t xml:space="preserve"> </w:t>
        <w:br/>
        <w:br w:type="page"/>
      </w:r>
    </w:p>
    <w:p>
      <w:pPr>
        <w:pStyle w:val="null3"/>
        <w:ind w:firstLine="960"/>
        <w:jc w:val="center"/>
        <w:outlineLvl w:val="3"/>
      </w:pPr>
      <w:r>
        <w:rPr>
          <w:sz w:val="24"/>
          <w:b/>
        </w:rPr>
        <w:t>二-3信用记录查询提示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ind w:firstLine="960"/>
        <w:jc w:val="left"/>
      </w:pPr>
      <w:r>
        <w:rPr/>
        <w:t xml:space="preserve"> </w:t>
        <w:br/>
        <w:br w:type="page"/>
      </w:r>
    </w:p>
    <w:p>
      <w:pPr>
        <w:pStyle w:val="null3"/>
        <w:ind w:firstLine="960"/>
        <w:jc w:val="center"/>
        <w:outlineLvl w:val="3"/>
      </w:pPr>
      <w:r>
        <w:rPr>
          <w:sz w:val="24"/>
          <w:b/>
        </w:rPr>
        <w:t>二-4中小企业声明函</w:t>
      </w:r>
    </w:p>
    <w:p>
      <w:pPr>
        <w:pStyle w:val="null3"/>
        <w:ind w:firstLine="960"/>
        <w:jc w:val="center"/>
        <w:outlineLvl w:val="3"/>
      </w:pPr>
      <w:r>
        <w:rPr>
          <w:sz w:val="24"/>
          <w:b/>
        </w:rPr>
        <w:t>（以资格条件落实中小企业扶持政策时适用，若有）</w:t>
      </w:r>
    </w:p>
    <w:p>
      <w:pPr>
        <w:pStyle w:val="null3"/>
        <w:ind w:firstLine="960"/>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960"/>
        <w:jc w:val="left"/>
      </w:pPr>
      <w:r>
        <w:rPr/>
        <w:t xml:space="preserve"> </w:t>
        <w:br/>
        <w:br w:type="page"/>
      </w:r>
    </w:p>
    <w:p>
      <w:pPr>
        <w:pStyle w:val="null3"/>
        <w:ind w:firstLine="960"/>
        <w:jc w:val="center"/>
        <w:outlineLvl w:val="3"/>
      </w:pPr>
      <w:r>
        <w:rPr>
          <w:sz w:val="24"/>
          <w:b/>
        </w:rPr>
        <w:t>残疾人福利性单位声明函</w:t>
      </w:r>
    </w:p>
    <w:p>
      <w:pPr>
        <w:pStyle w:val="null3"/>
        <w:ind w:firstLine="960"/>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ind w:firstLine="960"/>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ind w:firstLine="960"/>
        <w:jc w:val="left"/>
      </w:pPr>
      <w:r>
        <w:rPr/>
        <w:t xml:space="preserve"> </w:t>
        <w:br/>
        <w:br w:type="page"/>
      </w:r>
    </w:p>
    <w:p>
      <w:pPr>
        <w:pStyle w:val="null3"/>
        <w:ind w:firstLine="960"/>
        <w:jc w:val="center"/>
        <w:outlineLvl w:val="3"/>
      </w:pPr>
      <w:r>
        <w:rPr>
          <w:sz w:val="24"/>
          <w:b/>
        </w:rPr>
        <w:t>二-5联合体协议（若有）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二-6分包意向协议（若有）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ind w:firstLine="960"/>
              <w:jc w:val="right"/>
            </w:pPr>
            <w:r>
              <w:rPr/>
              <w:t>签订地点：</w:t>
            </w:r>
            <w:r>
              <w:rPr>
                <w:u w:val="single"/>
              </w:rPr>
              <w:t>　　　　　　　　　　</w:t>
            </w:r>
          </w:p>
          <w:p>
            <w:pPr>
              <w:pStyle w:val="null3"/>
              <w:ind w:firstLine="960"/>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ind w:firstLine="960"/>
        <w:jc w:val="left"/>
      </w:pPr>
      <w:r>
        <w:rPr/>
        <w:t xml:space="preserve"> </w:t>
        <w:br/>
        <w:br w:type="page"/>
      </w:r>
    </w:p>
    <w:p>
      <w:pPr>
        <w:pStyle w:val="null3"/>
        <w:ind w:firstLine="960"/>
        <w:jc w:val="center"/>
        <w:outlineLvl w:val="3"/>
      </w:pPr>
      <w:r>
        <w:rPr>
          <w:sz w:val="24"/>
          <w:b/>
        </w:rPr>
        <w:t>二-7其他资格证明文件（若有）</w:t>
      </w:r>
    </w:p>
    <w:p>
      <w:pPr>
        <w:pStyle w:val="null3"/>
        <w:ind w:firstLine="960"/>
        <w:jc w:val="center"/>
        <w:outlineLvl w:val="3"/>
      </w:pPr>
      <w:r>
        <w:rPr>
          <w:sz w:val="24"/>
          <w:b/>
        </w:rPr>
        <w:t>二-7-①招标文件规定的其他资格证明文件（若有）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[350101]XC[GK]2024008</w:t>
      </w:r>
    </w:p>
    <w:p>
      <w:pPr>
        <w:pStyle w:val="null3"/>
        <w:jc w:val="left"/>
      </w:pPr>
      <w:r>
        <w:rPr/>
        <w:t>项目名称：</w:t>
      </w:r>
      <w:r>
        <w:rPr/>
        <w:t>福州市中医院污水运维服务</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福州市中医院污水运维服务</w:t>
            </w:r>
          </w:p>
        </w:tc>
        <w:tc>
          <w:tcPr>
            <w:tcW w:type="dxa" w:w="1661"/>
          </w:tcPr>
          <w:p>
            <w:pPr>
              <w:pStyle w:val="null3"/>
              <w:jc w:val="left"/>
            </w:pPr>
            <w:r>
              <w:rPr/>
              <w:t xml:space="preserve"> 898000.0000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[350101]XC[GK]2024008</w:t>
      </w:r>
    </w:p>
    <w:p>
      <w:pPr>
        <w:pStyle w:val="null3"/>
        <w:jc w:val="left"/>
      </w:pPr>
      <w:r>
        <w:rPr/>
        <w:t>项目名称：</w:t>
      </w:r>
      <w:r>
        <w:rPr/>
        <w:t>福州市中医院污水运维服务</w:t>
      </w:r>
    </w:p>
    <w:p>
      <w:pPr>
        <w:pStyle w:val="null3"/>
        <w:jc w:val="left"/>
      </w:pPr>
      <w:r>
        <w:rPr/>
        <w:t xml:space="preserve"> 福州市中医院鼓楼院区及福州市中医院贤南分部污水运维服务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福州市中医院鼓楼院区及福州市中医院贤南分部污水运维服务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480000.0000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24.0000</w:t>
            </w:r>
          </w:p>
        </w:tc>
        <w:tc>
          <w:tcPr>
            <w:tcW w:type="dxa" w:w="755"/>
          </w:tcPr>
          <w:p>
            <w:pPr>
              <w:pStyle w:val="null3"/>
              <w:jc w:val="left"/>
            </w:pPr>
            <w:r>
              <w:rPr/>
              <w:t xml:space="preserve"> 月</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 xml:space="preserve"> 福州市中医院五四北院区污水运维服务</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t xml:space="preserve"> 序号</w:t>
            </w:r>
          </w:p>
        </w:tc>
        <w:tc>
          <w:tcPr>
            <w:tcW w:type="dxa" w:w="755"/>
          </w:tcPr>
          <w:p>
            <w:pPr>
              <w:pStyle w:val="null3"/>
              <w:jc w:val="left"/>
            </w:pPr>
            <w:r>
              <w:rPr/>
              <w:t xml:space="preserve"> 服务名称</w:t>
            </w:r>
          </w:p>
        </w:tc>
        <w:tc>
          <w:tcPr>
            <w:tcW w:type="dxa" w:w="755"/>
          </w:tcPr>
          <w:p>
            <w:pPr>
              <w:pStyle w:val="null3"/>
              <w:jc w:val="left"/>
            </w:pPr>
            <w:r>
              <w:rPr/>
              <w:t xml:space="preserve"> 服务范围</w:t>
            </w:r>
          </w:p>
        </w:tc>
        <w:tc>
          <w:tcPr>
            <w:tcW w:type="dxa" w:w="755"/>
          </w:tcPr>
          <w:p>
            <w:pPr>
              <w:pStyle w:val="null3"/>
              <w:jc w:val="left"/>
            </w:pPr>
            <w:r>
              <w:rPr/>
              <w:t xml:space="preserve"> 服务要求</w:t>
            </w:r>
          </w:p>
        </w:tc>
        <w:tc>
          <w:tcPr>
            <w:tcW w:type="dxa" w:w="755"/>
          </w:tcPr>
          <w:p>
            <w:pPr>
              <w:pStyle w:val="null3"/>
              <w:jc w:val="left"/>
            </w:pPr>
            <w:r>
              <w:rPr/>
              <w:t xml:space="preserve"> 服务时间</w:t>
            </w:r>
          </w:p>
        </w:tc>
        <w:tc>
          <w:tcPr>
            <w:tcW w:type="dxa" w:w="755"/>
          </w:tcPr>
          <w:p>
            <w:pPr>
              <w:pStyle w:val="null3"/>
              <w:jc w:val="left"/>
            </w:pPr>
            <w:r>
              <w:rPr/>
              <w:t xml:space="preserve"> 服务标准</w:t>
            </w:r>
          </w:p>
        </w:tc>
        <w:tc>
          <w:tcPr>
            <w:tcW w:type="dxa" w:w="755"/>
          </w:tcPr>
          <w:p>
            <w:pPr>
              <w:pStyle w:val="null3"/>
              <w:jc w:val="left"/>
            </w:pPr>
            <w:r>
              <w:rPr/>
              <w:t xml:space="preserve"> 最高限价</w:t>
            </w:r>
          </w:p>
        </w:tc>
        <w:tc>
          <w:tcPr>
            <w:tcW w:type="dxa" w:w="755"/>
          </w:tcPr>
          <w:p>
            <w:pPr>
              <w:pStyle w:val="null3"/>
              <w:jc w:val="left"/>
            </w:pPr>
            <w:r>
              <w:rPr/>
              <w:t xml:space="preserve"> 单价</w:t>
            </w:r>
          </w:p>
        </w:tc>
        <w:tc>
          <w:tcPr>
            <w:tcW w:type="dxa" w:w="755"/>
          </w:tcPr>
          <w:p>
            <w:pPr>
              <w:pStyle w:val="null3"/>
              <w:jc w:val="left"/>
            </w:pPr>
            <w:r>
              <w:rPr/>
              <w:t xml:space="preserve"> 数量</w:t>
            </w:r>
          </w:p>
        </w:tc>
        <w:tc>
          <w:tcPr>
            <w:tcW w:type="dxa" w:w="755"/>
          </w:tcPr>
          <w:p>
            <w:pPr>
              <w:pStyle w:val="null3"/>
              <w:jc w:val="left"/>
            </w:pPr>
            <w:r>
              <w:rPr/>
              <w:t xml:space="preserve"> 计量单位</w:t>
            </w:r>
          </w:p>
        </w:tc>
        <w:tc>
          <w:tcPr>
            <w:tcW w:type="dxa" w:w="755"/>
          </w:tcPr>
          <w:p>
            <w:pPr>
              <w:pStyle w:val="null3"/>
              <w:jc w:val="left"/>
            </w:pPr>
            <w:r>
              <w:rPr/>
              <w:t xml:space="preserve"> 总价</w:t>
            </w:r>
          </w:p>
        </w:tc>
      </w:tr>
      <w:tr>
        <w:tc>
          <w:tcPr>
            <w:tcW w:type="dxa" w:w="755"/>
          </w:tcPr>
          <w:p>
            <w:pPr>
              <w:pStyle w:val="null3"/>
              <w:jc w:val="left"/>
            </w:pPr>
            <w:r>
              <w:rPr/>
              <w:t xml:space="preserve"> 1</w:t>
            </w:r>
          </w:p>
        </w:tc>
        <w:tc>
          <w:tcPr>
            <w:tcW w:type="dxa" w:w="755"/>
          </w:tcPr>
          <w:p>
            <w:pPr>
              <w:pStyle w:val="null3"/>
              <w:jc w:val="left"/>
            </w:pPr>
            <w:r>
              <w:rPr/>
              <w:t xml:space="preserve"> 福州市中医院五四北院区污水运维服务</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{供应商响应}</w:t>
            </w:r>
          </w:p>
        </w:tc>
        <w:tc>
          <w:tcPr>
            <w:tcW w:type="dxa" w:w="755"/>
          </w:tcPr>
          <w:p>
            <w:pPr>
              <w:pStyle w:val="null3"/>
              <w:jc w:val="left"/>
            </w:pPr>
            <w:r>
              <w:rPr/>
              <w:t xml:space="preserve"> 418000.0000 </w:t>
            </w:r>
            <w:r>
              <w:rPr/>
              <w:t xml:space="preserve"> 元</w:t>
            </w:r>
          </w:p>
        </w:tc>
        <w:tc>
          <w:tcPr>
            <w:tcW w:type="dxa" w:w="755"/>
          </w:tcPr>
          <w:p>
            <w:pPr>
              <w:pStyle w:val="null3"/>
              <w:jc w:val="left"/>
            </w:pPr>
            <w:r>
              <w:rPr/>
              <w:t xml:space="preserve"> {=总价/数量} </w:t>
            </w:r>
            <w:r>
              <w:rPr/>
              <w:t xml:space="preserve"> 元</w:t>
            </w:r>
          </w:p>
        </w:tc>
        <w:tc>
          <w:tcPr>
            <w:tcW w:type="dxa" w:w="755"/>
          </w:tcPr>
          <w:p>
            <w:pPr>
              <w:pStyle w:val="null3"/>
              <w:jc w:val="left"/>
            </w:pPr>
            <w:r>
              <w:rPr/>
              <w:t xml:space="preserve"> 20.0000</w:t>
            </w:r>
          </w:p>
        </w:tc>
        <w:tc>
          <w:tcPr>
            <w:tcW w:type="dxa" w:w="755"/>
          </w:tcPr>
          <w:p>
            <w:pPr>
              <w:pStyle w:val="null3"/>
              <w:jc w:val="left"/>
            </w:pPr>
            <w:r>
              <w:rPr/>
              <w:t xml:space="preserve"> 月</w:t>
            </w:r>
          </w:p>
        </w:tc>
        <w:tc>
          <w:tcPr>
            <w:tcW w:type="dxa" w:w="755"/>
          </w:tcPr>
          <w:p>
            <w:pPr>
              <w:pStyle w:val="null3"/>
              <w:jc w:val="left"/>
            </w:pPr>
            <w:r>
              <w:rPr/>
              <w:t xml:space="preserve"> {供应商响应} </w:t>
            </w:r>
            <w:r>
              <w:rPr/>
              <w:t xml:space="preserve"> 元</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2、投标人为残疾人福利性单位的，根据其提供的《残疾人福利性单位声明函》（格式附后）进行认定，残疾人福利性单位视同小型、微型企业。残疾人福利性单位属于小型、微型企业的，不重复享受政策。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