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版本号：241128001</w:t>
      </w:r>
    </w:p>
    <w:p>
      <w:pPr>
        <w:pStyle w:val="null3"/>
        <w:jc w:val="left"/>
        <w:outlineLvl w:val="0"/>
      </w:pPr>
      <w:r>
        <w:rPr>
          <w:b/>
          <w:sz w:val="48"/>
        </w:rPr>
        <w:t>询 价 通 知 书</w:t>
      </w:r>
    </w:p>
    <w:p>
      <w:pPr>
        <w:pStyle w:val="null3"/>
        <w:jc w:val="center"/>
        <w:outlineLvl w:val="0"/>
      </w:pPr>
      <w:r>
        <w:rPr>
          <w:b/>
          <w:sz w:val="48"/>
        </w:rPr>
        <w:t>（货物类）</w:t>
      </w:r>
    </w:p>
    <w:p>
      <w:pPr>
        <w:pStyle w:val="null3"/>
        <w:jc w:val="left"/>
        <w:outlineLvl w:val="2"/>
      </w:pPr>
      <w:r>
        <w:rPr>
          <w:b/>
          <w:sz w:val="28"/>
        </w:rPr>
        <w:t>采购项目名称：</w:t>
      </w:r>
      <w:r>
        <w:rPr>
          <w:b/>
          <w:sz w:val="28"/>
        </w:rPr>
        <w:t>2024年执勤执法车辆采购项目(二次)</w:t>
      </w:r>
    </w:p>
    <w:p>
      <w:pPr>
        <w:pStyle w:val="null3"/>
        <w:jc w:val="center"/>
        <w:outlineLvl w:val="2"/>
      </w:pPr>
      <w:r>
        <w:rPr>
          <w:b/>
          <w:sz w:val="28"/>
        </w:rPr>
        <w:t>采购项目编号：</w:t>
      </w:r>
      <w:r>
        <w:rPr>
          <w:b/>
          <w:sz w:val="28"/>
        </w:rPr>
        <w:t>N5113012024000327</w:t>
      </w:r>
    </w:p>
    <w:p>
      <w:pPr>
        <w:pStyle w:val="null3"/>
        <w:jc w:val="left"/>
        <w:outlineLvl w:val="2"/>
      </w:pPr>
      <w:r>
        <w:rPr>
          <w:b/>
          <w:sz w:val="28"/>
        </w:rPr>
        <w:t>南充市公安局交通警察支队</w:t>
      </w:r>
    </w:p>
    <w:p>
      <w:pPr>
        <w:pStyle w:val="null3"/>
        <w:jc w:val="center"/>
        <w:outlineLvl w:val="2"/>
      </w:pPr>
      <w:r>
        <w:rPr>
          <w:b/>
          <w:sz w:val="28"/>
        </w:rPr>
        <w:t>南充市政府采购中心</w:t>
      </w:r>
      <w:r>
        <w:rPr>
          <w:b/>
          <w:sz w:val="28"/>
        </w:rPr>
        <w:t>共同编制</w:t>
      </w:r>
    </w:p>
    <w:p>
      <w:pPr>
        <w:pStyle w:val="null3"/>
        <w:jc w:val="center"/>
      </w:pPr>
      <w:r>
        <w:rPr/>
        <w:t>2024年11月28日</w:t>
      </w:r>
    </w:p>
    <w:p>
      <w:pPr>
        <w:pStyle w:val="null3"/>
      </w:pPr>
      <w:r>
        <w:rPr/>
        <w:t xml:space="preserve"> </w:t>
        <w:br/>
        <w:br w:type="page"/>
      </w:r>
    </w:p>
    <w:p>
      <w:pPr>
        <w:pStyle w:val="null3"/>
        <w:jc w:val="center"/>
        <w:outlineLvl w:val="1"/>
      </w:pPr>
      <w:r>
        <w:rPr>
          <w:b/>
          <w:sz w:val="36"/>
        </w:rPr>
        <w:t>第一章 询价邀请</w:t>
      </w:r>
    </w:p>
    <w:p>
      <w:pPr>
        <w:pStyle w:val="null3"/>
        <w:ind w:firstLine="480"/>
        <w:jc w:val="left"/>
      </w:pPr>
      <w:r>
        <w:rPr/>
        <w:t>南充市政府采购中心</w:t>
      </w:r>
      <w:r>
        <w:rPr/>
        <w:t xml:space="preserve"> （以下简称“代理机构”）受 </w:t>
      </w:r>
      <w:r>
        <w:rPr/>
        <w:t>南充市公安局交通警察支队</w:t>
      </w:r>
      <w:r>
        <w:rPr/>
        <w:t xml:space="preserve"> 委托，拟对 </w:t>
      </w:r>
      <w:r>
        <w:rPr/>
        <w:t>2024年执勤执法车辆采购项目(二次)</w:t>
      </w:r>
      <w:r>
        <w:rPr/>
        <w:t xml:space="preserve"> 采用询价方式进行采购，兹邀请符合资格条件的供应商参加询价。本项目为四川省</w:t>
      </w:r>
      <w:r>
        <w:rPr/>
        <w:t>南充市市本级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N5113012024000327</w:t>
      </w:r>
    </w:p>
    <w:p>
      <w:pPr>
        <w:pStyle w:val="null3"/>
        <w:jc w:val="left"/>
        <w:outlineLvl w:val="2"/>
      </w:pPr>
      <w:r>
        <w:rPr>
          <w:b/>
          <w:sz w:val="28"/>
        </w:rPr>
        <w:t>1.2.采购项目名称</w:t>
      </w:r>
      <w:r>
        <w:rPr>
          <w:b/>
          <w:sz w:val="28"/>
        </w:rPr>
        <w:t xml:space="preserve">： </w:t>
      </w:r>
      <w:r>
        <w:rPr>
          <w:b/>
          <w:sz w:val="28"/>
        </w:rPr>
        <w:t>2024年执勤执法车辆采购项目(二次)</w:t>
      </w:r>
    </w:p>
    <w:p>
      <w:pPr>
        <w:pStyle w:val="null3"/>
        <w:jc w:val="left"/>
        <w:outlineLvl w:val="2"/>
      </w:pPr>
      <w:r>
        <w:rPr>
          <w:b/>
          <w:sz w:val="28"/>
        </w:rPr>
        <w:t>1.3.采购项目简介</w:t>
      </w:r>
    </w:p>
    <w:p>
      <w:pPr>
        <w:pStyle w:val="null3"/>
        <w:ind w:firstLine="480"/>
        <w:jc w:val="left"/>
      </w:pPr>
      <w:r>
        <w:rPr/>
        <w:t>为提升执勤执法车辆服务保障工作，结合实际需要，实施本采购项目。本采购项目包括产品、运输、售后服务等一切费用。执勤执法车（皮卡）3辆，执勤执法车（新能源轿车）4辆。</w:t>
      </w:r>
    </w:p>
    <w:p>
      <w:pPr>
        <w:pStyle w:val="null3"/>
        <w:jc w:val="left"/>
        <w:outlineLvl w:val="2"/>
      </w:pPr>
      <w:r>
        <w:rPr>
          <w:b/>
          <w:sz w:val="28"/>
        </w:rPr>
        <w:t>1.4.邀请供应商方式</w:t>
      </w:r>
    </w:p>
    <w:p>
      <w:pPr>
        <w:pStyle w:val="null3"/>
        <w:ind w:firstLine="480"/>
        <w:jc w:val="left"/>
      </w:pPr>
      <w:r>
        <w:rPr/>
        <w:t xml:space="preserve"> 本项目以发布公告的方式邀请供应商参加询价。公告在四川政府采购网（www.ccgp-sichuan.gov.cn）发布。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1.7.询价通知书获取时间、方式及地址</w:t>
      </w:r>
    </w:p>
    <w:p>
      <w:pPr>
        <w:pStyle w:val="null3"/>
        <w:ind w:firstLine="480"/>
        <w:jc w:val="left"/>
      </w:pPr>
      <w:r>
        <w:rPr/>
        <w:t xml:space="preserve">一、询价通知书获取时间： </w:t>
      </w:r>
      <w:r>
        <w:rPr/>
        <w:t>详见采购公告</w:t>
      </w:r>
    </w:p>
    <w:p>
      <w:pPr>
        <w:pStyle w:val="null3"/>
        <w:ind w:firstLine="480"/>
        <w:jc w:val="left"/>
      </w:pPr>
      <w:r>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t>注：获取的询价通知书由正文和附件组成，正文部分包括pdf、word两种格式版本，如内容有不一致的，以pdf格式内容为准。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一、响应文件提交截止时间及开启时间： </w:t>
      </w:r>
      <w:r>
        <w:rPr/>
        <w:t>详见采购公告</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南充市公安局交通警察支队</w:t>
      </w:r>
    </w:p>
    <w:p>
      <w:pPr>
        <w:pStyle w:val="null3"/>
        <w:ind w:firstLine="480"/>
        <w:jc w:val="left"/>
      </w:pPr>
      <w:r>
        <w:rPr/>
        <w:t xml:space="preserve"> 地址： </w:t>
      </w:r>
      <w:r>
        <w:rPr/>
        <w:t>四川省南充市顺庆区马市铺路139号</w:t>
      </w:r>
    </w:p>
    <w:p>
      <w:pPr>
        <w:pStyle w:val="null3"/>
        <w:jc w:val="left"/>
      </w:pPr>
      <w:r>
        <w:rPr/>
        <w:t xml:space="preserve"> 邮编： </w:t>
      </w:r>
      <w:r>
        <w:rPr/>
        <w:t>637000</w:t>
      </w:r>
    </w:p>
    <w:p>
      <w:pPr>
        <w:pStyle w:val="null3"/>
        <w:jc w:val="left"/>
      </w:pPr>
      <w:r>
        <w:rPr/>
        <w:t xml:space="preserve"> 联系人： </w:t>
      </w:r>
      <w:r>
        <w:rPr/>
        <w:t>邱阳</w:t>
      </w:r>
    </w:p>
    <w:p>
      <w:pPr>
        <w:pStyle w:val="null3"/>
        <w:jc w:val="left"/>
      </w:pPr>
      <w:r>
        <w:rPr/>
        <w:t xml:space="preserve"> 联系电话： </w:t>
      </w:r>
      <w:r>
        <w:rPr/>
        <w:t>18582118233</w:t>
      </w:r>
    </w:p>
    <w:p>
      <w:pPr>
        <w:pStyle w:val="null3"/>
        <w:ind w:firstLine="480"/>
        <w:jc w:val="left"/>
      </w:pPr>
      <w:r>
        <w:rPr>
          <w:b/>
        </w:rPr>
        <w:t>代理机构</w:t>
      </w:r>
      <w:r>
        <w:rPr>
          <w:b/>
        </w:rPr>
        <w:t xml:space="preserve">： </w:t>
      </w:r>
      <w:r>
        <w:rPr>
          <w:b/>
        </w:rPr>
        <w:t>南充市政府采购中心</w:t>
      </w:r>
    </w:p>
    <w:p>
      <w:pPr>
        <w:pStyle w:val="null3"/>
        <w:ind w:firstLine="480"/>
        <w:jc w:val="left"/>
      </w:pPr>
      <w:r>
        <w:rPr/>
        <w:t xml:space="preserve"> 地址： </w:t>
      </w:r>
      <w:r>
        <w:rPr/>
        <w:t>四川省南充市市辖区南充市顺庆区涪江路19号</w:t>
      </w:r>
    </w:p>
    <w:p>
      <w:pPr>
        <w:pStyle w:val="null3"/>
        <w:jc w:val="left"/>
      </w:pPr>
      <w:r>
        <w:rPr/>
        <w:t xml:space="preserve"> 邮编： </w:t>
      </w:r>
      <w:r>
        <w:rPr/>
        <w:t>637000</w:t>
      </w:r>
    </w:p>
    <w:p>
      <w:pPr>
        <w:pStyle w:val="null3"/>
        <w:jc w:val="left"/>
      </w:pPr>
      <w:r>
        <w:rPr/>
        <w:t xml:space="preserve"> 联系人： </w:t>
      </w:r>
      <w:r>
        <w:rPr/>
        <w:t>邱棵</w:t>
      </w:r>
    </w:p>
    <w:p>
      <w:pPr>
        <w:pStyle w:val="null3"/>
        <w:jc w:val="left"/>
      </w:pPr>
      <w:r>
        <w:rPr/>
        <w:t xml:space="preserve"> 联系电话： </w:t>
      </w:r>
      <w:r>
        <w:rPr/>
        <w:t>0817-2395683</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采购包1：1,260,000.00元</w:t>
            </w:r>
          </w:p>
          <w:p>
            <w:pPr>
              <w:pStyle w:val="null3"/>
              <w:jc w:val="left"/>
            </w:pPr>
            <w:r>
              <w:rPr/>
              <w:t>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最低评标价法（具体规则详见第四章）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8</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本询价通知书所称的“以上”、“以下”、“内”、“以内”、“不少于”包括本数；所称的“不足”、“低于”、“超过”不包括本数。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一、本询价通知书仅适用于本次询价采购项目。</w:t>
      </w:r>
    </w:p>
    <w:p>
      <w:pPr>
        <w:pStyle w:val="null3"/>
        <w:ind w:firstLine="480"/>
        <w:jc w:val="left"/>
      </w:pPr>
      <w:r>
        <w:rPr/>
        <w:t xml:space="preserve">二、本询价通知书由 </w:t>
      </w:r>
      <w:r>
        <w:rPr/>
        <w:t>南充市公安局交通警察支队</w:t>
      </w:r>
      <w:r>
        <w:rPr/>
        <w:t xml:space="preserve"> 和 </w:t>
      </w:r>
      <w:r>
        <w:rPr/>
        <w:t>南充市政府采购中心</w:t>
      </w:r>
      <w:r>
        <w:rPr/>
        <w:t xml:space="preserve"> 负责解释。</w:t>
      </w:r>
    </w:p>
    <w:p>
      <w:pPr>
        <w:pStyle w:val="null3"/>
        <w:jc w:val="left"/>
        <w:outlineLvl w:val="3"/>
      </w:pPr>
      <w:r>
        <w:rPr>
          <w:b/>
          <w:sz w:val="24"/>
        </w:rPr>
        <w:t>2.2.2.有关定义</w:t>
      </w:r>
    </w:p>
    <w:p>
      <w:pPr>
        <w:pStyle w:val="null3"/>
        <w:ind w:firstLine="480"/>
        <w:jc w:val="left"/>
      </w:pPr>
      <w:r>
        <w:rPr/>
        <w:t xml:space="preserve">一、 “采购人”是指依法进行政府采购的国家机关、事业单位、团体组织。本次询价采购项目的采购人是 </w:t>
      </w:r>
      <w:r>
        <w:rPr/>
        <w:t>南充市公安局交通警察支队</w:t>
      </w:r>
      <w:r>
        <w:rPr/>
        <w:t xml:space="preserve"> 。</w:t>
      </w:r>
    </w:p>
    <w:p>
      <w:pPr>
        <w:pStyle w:val="null3"/>
        <w:ind w:firstLine="480"/>
        <w:jc w:val="left"/>
      </w:pPr>
      <w:r>
        <w:rPr/>
        <w:t xml:space="preserve">二、“供应商”是指按照 </w:t>
      </w:r>
      <w:r>
        <w:rPr/>
        <w:t>采购公告</w:t>
      </w:r>
      <w:r>
        <w:rPr/>
        <w:t xml:space="preserve"> 规定获取询价通知书，参加采购活动的法人、其他组织或者自然人。</w:t>
      </w:r>
    </w:p>
    <w:p>
      <w:pPr>
        <w:pStyle w:val="null3"/>
        <w:ind w:firstLine="480"/>
        <w:jc w:val="left"/>
      </w:pPr>
      <w:r>
        <w:rPr/>
        <w:t xml:space="preserve">三、 “代理机构”是指集中采购机构和从事采购代理业务的社会中介机构。本项目的代理机构是 </w:t>
      </w:r>
      <w:r>
        <w:rPr/>
        <w:t>南充市政府采购中心</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五、“电子评审”是指询价小组开展资格审查、符合性审查、一次性报价、推荐成交候选供应商、出具询价报告等活动。</w:t>
      </w:r>
    </w:p>
    <w:p>
      <w:pPr>
        <w:pStyle w:val="null3"/>
        <w:jc w:val="left"/>
        <w:outlineLvl w:val="2"/>
      </w:pPr>
      <w:r>
        <w:rPr>
          <w:b/>
          <w:sz w:val="28"/>
        </w:rPr>
        <w:t>2.3.询价通知书</w:t>
      </w:r>
    </w:p>
    <w:p>
      <w:pPr>
        <w:pStyle w:val="null3"/>
        <w:jc w:val="left"/>
        <w:outlineLvl w:val="3"/>
      </w:pPr>
      <w:r>
        <w:rPr>
          <w:b/>
          <w:sz w:val="24"/>
        </w:rPr>
        <w:t>2.3.1.询价通知书的构成</w:t>
      </w:r>
    </w:p>
    <w:p>
      <w:pPr>
        <w:pStyle w:val="null3"/>
        <w:ind w:firstLine="480"/>
        <w:jc w:val="left"/>
      </w:pPr>
      <w:r>
        <w:rPr/>
        <w:t>询价通知书由采购人、代理机构编制，是项目采购活动开展的基本依据，主要包括以下内容：</w:t>
      </w:r>
    </w:p>
    <w:p>
      <w:pPr>
        <w:pStyle w:val="null3"/>
        <w:ind w:firstLine="480"/>
        <w:jc w:val="left"/>
      </w:pPr>
      <w:r>
        <w:rPr/>
        <w:t>一、询价邀请；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四、评审办法；</w:t>
      </w:r>
    </w:p>
    <w:p>
      <w:pPr>
        <w:pStyle w:val="null3"/>
        <w:ind w:firstLine="480"/>
        <w:jc w:val="left"/>
      </w:pPr>
      <w:r>
        <w:rPr/>
        <w:t>五、响应文件格式；</w:t>
      </w:r>
    </w:p>
    <w:p>
      <w:pPr>
        <w:pStyle w:val="null3"/>
        <w:ind w:firstLine="480"/>
        <w:jc w:val="left"/>
      </w:pPr>
      <w:r>
        <w:rPr/>
        <w:t>六、拟签订采购合同文本。</w:t>
      </w:r>
    </w:p>
    <w:p>
      <w:pPr>
        <w:pStyle w:val="null3"/>
        <w:jc w:val="left"/>
        <w:outlineLvl w:val="3"/>
      </w:pPr>
      <w:r>
        <w:rPr>
          <w:b/>
          <w:sz w:val="24"/>
        </w:rPr>
        <w:t>2.3.2.询价通知书的澄清和修改</w:t>
      </w:r>
    </w:p>
    <w:p>
      <w:pPr>
        <w:pStyle w:val="null3"/>
        <w:ind w:firstLine="480"/>
        <w:jc w:val="left"/>
      </w:pPr>
      <w:r>
        <w:rPr/>
        <w:t>一、提交响应文件截止之日前，采购人或者代理机构可以对已发出的询价通知书进行必要的澄清或者修改。</w:t>
      </w:r>
    </w:p>
    <w:p>
      <w:pPr>
        <w:pStyle w:val="null3"/>
        <w:ind w:firstLine="480"/>
        <w:jc w:val="left"/>
      </w:pPr>
      <w:r>
        <w:rPr/>
        <w:t>二、澄清或者修改的内容为询价通知书的组成部分，采购人或者代理机构将在四川政府采购网发布更正公告，并将更正后的询价通知书上传至交易系统。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t>三、供应商根据更正公告、更正信息要求下载更正后的询价文件通知书，进行响应文件编制。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除询价通知书中另有规定外，本项目均采用国家法定的计量单位。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t>供应商报价低于采购预算50% 或者低于其他有效供应商报价算术平均价40%，有可能影响产品质量或者不能诚信履约的，询价小组应当要求其在合理的时间内通过交易系统进行书面说明、提交相关证明材料，并加盖电子印章。供应商拒绝或者变相拒绝提供有效书面说明或者书面说明不能证明其报价合理性的，询价小组应当将其响应文件作为无效响应处理。</w:t>
      </w:r>
    </w:p>
    <w:p>
      <w:pPr>
        <w:pStyle w:val="null3"/>
        <w:jc w:val="left"/>
        <w:outlineLvl w:val="3"/>
      </w:pPr>
      <w:r>
        <w:rPr>
          <w:b/>
          <w:sz w:val="24"/>
        </w:rPr>
        <w:t>2.4.6.响应文件的编制、签章和加密★</w:t>
      </w:r>
    </w:p>
    <w:p>
      <w:pPr>
        <w:pStyle w:val="null3"/>
        <w:ind w:firstLine="480"/>
        <w:jc w:val="left"/>
      </w:pPr>
      <w:r>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未按询价通知书和采购平台操作规范编制、确认、加密、盖章和提交的响应文件，将被拒绝接收。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pPr>
      <w:r>
        <w:rPr>
          <w:b/>
        </w:rPr>
        <w:t>2.5.1.1开启程序</w:t>
      </w:r>
    </w:p>
    <w:p>
      <w:pPr>
        <w:pStyle w:val="null3"/>
        <w:ind w:firstLine="480"/>
        <w:jc w:val="left"/>
      </w:pPr>
      <w:r>
        <w:rPr/>
        <w:t>提交响应文件截止时间后，通过交易系统“开标/开启大厅”网上开启解密响应文件。</w:t>
      </w:r>
    </w:p>
    <w:p>
      <w:pPr>
        <w:pStyle w:val="null3"/>
        <w:jc w:val="left"/>
      </w:pPr>
      <w:r>
        <w:rPr>
          <w:b/>
        </w:rPr>
        <w:t>2.5.1.2.解密响应文件★</w:t>
      </w:r>
    </w:p>
    <w:p>
      <w:pPr>
        <w:pStyle w:val="null3"/>
        <w:ind w:firstLine="480"/>
        <w:jc w:val="left"/>
      </w:pPr>
      <w:r>
        <w:rPr/>
        <w:t>提交响应文件截止时间后，成功提交响应文件的供应商符合询价通知书规定数量的，代理机构将启动响应文件解密程序，解密时间为</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b/>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详见询价通知书第四章。</w:t>
      </w:r>
    </w:p>
    <w:p>
      <w:pPr>
        <w:pStyle w:val="null3"/>
        <w:jc w:val="left"/>
        <w:outlineLvl w:val="3"/>
      </w:pPr>
      <w:r>
        <w:rPr>
          <w:b/>
          <w:sz w:val="24"/>
        </w:rPr>
        <w:t>2.5.4.成交通知书</w:t>
      </w:r>
    </w:p>
    <w:p>
      <w:pPr>
        <w:pStyle w:val="null3"/>
        <w:ind w:firstLine="480"/>
        <w:jc w:val="left"/>
      </w:pPr>
      <w:r>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4"/>
      </w:pPr>
      <w:r>
        <w:rPr>
          <w:b/>
          <w:sz w:val="20"/>
        </w:rPr>
        <w:t>2.6.3.1.合同分包</w:t>
      </w:r>
    </w:p>
    <w:p>
      <w:pPr>
        <w:pStyle w:val="null3"/>
        <w:jc w:val="left"/>
      </w:pPr>
      <w:r>
        <w:rPr/>
        <w:t>本项目不允许合同分包。</w:t>
      </w:r>
    </w:p>
    <w:p>
      <w:pPr>
        <w:pStyle w:val="null3"/>
        <w:jc w:val="left"/>
        <w:outlineLvl w:val="4"/>
      </w:pPr>
      <w:r>
        <w:rPr>
          <w:b/>
          <w:sz w:val="20"/>
        </w:rPr>
        <w:t>2.6.3.2.合同转包</w:t>
      </w:r>
    </w:p>
    <w:p>
      <w:pPr>
        <w:pStyle w:val="null3"/>
        <w:ind w:firstLine="480"/>
        <w:jc w:val="left"/>
      </w:pPr>
      <w:r>
        <w:rPr/>
        <w:t>一、严禁成交供应商将本项目合同转包。</w:t>
      </w:r>
    </w:p>
    <w:p>
      <w:pPr>
        <w:pStyle w:val="null3"/>
        <w:ind w:firstLine="480"/>
        <w:jc w:val="left"/>
      </w:pPr>
      <w:r>
        <w:rPr/>
        <w:t>二、成交供应商合同转包的，将依法追究法律责任。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供应商提出验收申请之日起</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未详尽之处合同约定</w:t>
      </w:r>
    </w:p>
    <w:p>
      <w:pPr>
        <w:pStyle w:val="null3"/>
        <w:ind w:firstLine="480"/>
        <w:jc w:val="left"/>
      </w:pPr>
      <w:r>
        <w:rPr/>
        <w:t>九、技术履约验收内容：</w:t>
      </w:r>
    </w:p>
    <w:p>
      <w:pPr>
        <w:pStyle w:val="null3"/>
        <w:ind w:firstLine="480"/>
        <w:jc w:val="left"/>
      </w:pPr>
      <w:r>
        <w:rPr/>
        <w:t>采购包1：</w:t>
      </w:r>
      <w:r>
        <w:rPr/>
        <w:t>根据询价通知书技术要求和成交供应商响应文件及承诺及采购合同约定为准。</w:t>
      </w:r>
    </w:p>
    <w:p>
      <w:pPr>
        <w:pStyle w:val="null3"/>
        <w:ind w:firstLine="480"/>
        <w:jc w:val="left"/>
      </w:pPr>
      <w:r>
        <w:rPr/>
        <w:t>十、商务履约验收内容：</w:t>
      </w:r>
    </w:p>
    <w:p>
      <w:pPr>
        <w:pStyle w:val="null3"/>
        <w:ind w:firstLine="480"/>
        <w:jc w:val="left"/>
      </w:pPr>
      <w:r>
        <w:rPr/>
        <w:t>采购包1：</w:t>
      </w:r>
      <w:r>
        <w:rPr/>
        <w:t>根据询价通知书的商务要求、成交供应商响应文件及承诺以及合同约定为准。</w:t>
      </w:r>
    </w:p>
    <w:p>
      <w:pPr>
        <w:pStyle w:val="null3"/>
        <w:ind w:firstLine="480"/>
        <w:jc w:val="left"/>
      </w:pPr>
      <w:r>
        <w:rPr/>
        <w:t>十一、履约验收标准：</w:t>
      </w:r>
    </w:p>
    <w:p>
      <w:pPr>
        <w:pStyle w:val="null3"/>
        <w:ind w:firstLine="480"/>
        <w:jc w:val="left"/>
      </w:pPr>
      <w:r>
        <w:rPr/>
        <w:t>采购包1：</w:t>
      </w:r>
      <w:r>
        <w:rPr/>
        <w:t>严格按照《财政部关于进一步加强政府采购需求和履约验收管理的指导意见》(财库〔2016〕205号)、《政府采购需求管理办法》（财库〔2021〕22号）相关要求进行验收。由采购人组织履约验收小组，开展项目验收工作，达到国家相关标准、行业标准、地方标准或者其他标准、规范要求，按照《询价通知书》、成交供应商《响应文件》和双方签订的《政府采购合同》，审查项目资料完备性、规范性情况，审查项目履行合同、《询价通知书》和《响应文件》情况，审查所有材料质量、性能、安全性以及各项技术指标完成情况，对供应商履约情况进行验收，出具验收报告。</w:t>
      </w:r>
    </w:p>
    <w:p>
      <w:pPr>
        <w:pStyle w:val="null3"/>
        <w:ind w:firstLine="480"/>
        <w:jc w:val="left"/>
      </w:pPr>
      <w:r>
        <w:rPr/>
        <w:t>十二、履约验收其他事项：</w:t>
      </w:r>
    </w:p>
    <w:p>
      <w:pPr>
        <w:pStyle w:val="null3"/>
        <w:ind w:firstLine="480"/>
        <w:jc w:val="left"/>
      </w:pPr>
      <w:r>
        <w:rPr/>
        <w:t>采购包1：</w:t>
      </w:r>
      <w:r>
        <w:rPr/>
        <w:t>按合同约定。</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供应商参加询价不得有下列情形：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六、向采购人或者代理机构、询价小组成员行贿或者提供其他不正当利益；</w:t>
      </w:r>
    </w:p>
    <w:p>
      <w:pPr>
        <w:pStyle w:val="null3"/>
        <w:ind w:firstLine="480"/>
        <w:jc w:val="left"/>
      </w:pPr>
      <w:r>
        <w:rPr/>
        <w:t>七、在询价过程中与采购人或者代理机构进行协商谈判；</w:t>
      </w:r>
    </w:p>
    <w:p>
      <w:pPr>
        <w:pStyle w:val="null3"/>
        <w:ind w:firstLine="480"/>
        <w:jc w:val="left"/>
      </w:pPr>
      <w:r>
        <w:rPr/>
        <w:t>八、成交后无正当理由拒不与采购人签订政府采购合同；</w:t>
      </w:r>
    </w:p>
    <w:p>
      <w:pPr>
        <w:pStyle w:val="null3"/>
        <w:ind w:firstLine="480"/>
        <w:jc w:val="left"/>
      </w:pPr>
      <w:r>
        <w:rPr/>
        <w:t>九、未按照询价通知书确定的事项签订政府采购合同；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根据委托代理协议约定，供应商对询价通知书中采购需求的询问、质疑由 </w:t>
      </w:r>
      <w:r>
        <w:rPr/>
        <w:t>南充市公安局交通警察支队</w:t>
      </w:r>
      <w:r>
        <w:rPr/>
        <w:t xml:space="preserve"> 负责答复；供应商对除采购需求外的询价通知书的询问、质疑由 </w:t>
      </w:r>
      <w:r>
        <w:rPr/>
        <w:t>南充市政府采购中心</w:t>
      </w:r>
      <w:r>
        <w:rPr/>
        <w:t xml:space="preserve"> 负责答复；供应商对采购过程、采购结果的询问、质疑由 </w:t>
      </w:r>
      <w:r>
        <w:rPr/>
        <w:t>南充市政府采购中心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t>答复主体：采购人</w:t>
      </w:r>
    </w:p>
    <w:p>
      <w:pPr>
        <w:pStyle w:val="null3"/>
        <w:jc w:val="left"/>
      </w:pPr>
      <w:r>
        <w:rPr/>
        <w:t>联系人：邱阳</w:t>
      </w:r>
    </w:p>
    <w:p>
      <w:pPr>
        <w:pStyle w:val="null3"/>
        <w:jc w:val="left"/>
      </w:pPr>
      <w:r>
        <w:rPr/>
        <w:t>联系电话： 18582118233</w:t>
      </w:r>
    </w:p>
    <w:p>
      <w:pPr>
        <w:pStyle w:val="null3"/>
        <w:jc w:val="left"/>
      </w:pPr>
      <w:r>
        <w:rPr/>
        <w:t>地址：四川省南充市顺庆区马市铺路139号</w:t>
      </w:r>
    </w:p>
    <w:p>
      <w:pPr>
        <w:pStyle w:val="null3"/>
        <w:jc w:val="left"/>
      </w:pPr>
      <w:r>
        <w:rPr/>
        <w:t>邮编：637000</w:t>
      </w:r>
    </w:p>
    <w:p>
      <w:pPr>
        <w:pStyle w:val="null3"/>
        <w:jc w:val="left"/>
      </w:pPr>
      <w:r>
        <w:rPr/>
        <w:t>答复主体：代理机构</w:t>
      </w:r>
    </w:p>
    <w:p>
      <w:pPr>
        <w:pStyle w:val="null3"/>
        <w:jc w:val="left"/>
      </w:pPr>
      <w:r>
        <w:rPr/>
        <w:t>联系人：现场监督科</w:t>
      </w:r>
    </w:p>
    <w:p>
      <w:pPr>
        <w:pStyle w:val="null3"/>
        <w:jc w:val="left"/>
      </w:pPr>
      <w:r>
        <w:rPr/>
        <w:t>联系电话：0817-2395682</w:t>
      </w:r>
    </w:p>
    <w:p>
      <w:pPr>
        <w:pStyle w:val="null3"/>
        <w:jc w:val="left"/>
      </w:pPr>
      <w:r>
        <w:rPr/>
        <w:t>地址：四川省南充市顺庆区涪江路19号</w:t>
      </w:r>
    </w:p>
    <w:p>
      <w:pPr>
        <w:pStyle w:val="null3"/>
        <w:jc w:val="left"/>
      </w:pPr>
      <w:r>
        <w:rPr/>
        <w:t>邮编：637000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（一）对可以质疑的询价通知书提出质疑的，为收到询价通知书之日或者询价通知书公告期限届满之日；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（五）针对质疑事项必要的证明材料（针对询价通知书提出的质疑，需提交从交易系统获取的询价通知书回执单）。</w:t>
      </w:r>
    </w:p>
    <w:p>
      <w:pPr>
        <w:pStyle w:val="null3"/>
        <w:ind w:firstLine="480"/>
        <w:jc w:val="left"/>
      </w:pPr>
      <w:r>
        <w:rPr/>
        <w:t>注：根据《中华人民共和国政府采购法》的规定，供应商质疑不得超出询价通知书、采购过程、采购结果的范围。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（注:本章的技术、服务及其他要求中，带“★”的要求为实质性要求。采购人、代理机构应当根据项目实际要求合理设定，并在第四章符合性审查中明确响应要求。）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1,260,000.00</w:t>
      </w:r>
    </w:p>
    <w:p>
      <w:pPr>
        <w:pStyle w:val="null3"/>
        <w:jc w:val="left"/>
      </w:pPr>
      <w:r>
        <w:rPr/>
        <w:t>采购包最高限价（元）: 1,260,000.00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警车</w:t>
            </w:r>
          </w:p>
        </w:tc>
        <w:tc>
          <w:tcPr>
            <w:tcW w:type="dxa" w:w="821"/>
          </w:tcPr>
          <w:p>
            <w:pPr>
              <w:pStyle w:val="null3"/>
              <w:jc w:val="left"/>
            </w:pPr>
            <w:r>
              <w:rPr/>
              <w:t>执勤执法车（皮卡）</w:t>
            </w:r>
          </w:p>
        </w:tc>
        <w:tc>
          <w:tcPr>
            <w:tcW w:type="dxa" w:w="821"/>
          </w:tcPr>
          <w:p>
            <w:pPr>
              <w:pStyle w:val="null3"/>
              <w:jc w:val="right"/>
            </w:pPr>
            <w:r>
              <w:rPr/>
              <w:t>3.00（辆）</w:t>
            </w:r>
          </w:p>
        </w:tc>
        <w:tc>
          <w:tcPr>
            <w:tcW w:type="dxa" w:w="821"/>
          </w:tcPr>
          <w:p>
            <w:pPr>
              <w:pStyle w:val="null3"/>
              <w:jc w:val="right"/>
            </w:pPr>
            <w:r>
              <w:rPr/>
              <w:t>540,000.00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警车</w:t>
            </w:r>
          </w:p>
        </w:tc>
        <w:tc>
          <w:tcPr>
            <w:tcW w:type="dxa" w:w="821"/>
          </w:tcPr>
          <w:p>
            <w:pPr>
              <w:pStyle w:val="null3"/>
              <w:jc w:val="left"/>
            </w:pPr>
            <w:r>
              <w:rPr/>
              <w:t>执勤执法车（新能源轿车）</w:t>
            </w:r>
          </w:p>
        </w:tc>
        <w:tc>
          <w:tcPr>
            <w:tcW w:type="dxa" w:w="821"/>
          </w:tcPr>
          <w:p>
            <w:pPr>
              <w:pStyle w:val="null3"/>
              <w:jc w:val="right"/>
            </w:pPr>
            <w:r>
              <w:rPr/>
              <w:t>4.00（辆）</w:t>
            </w:r>
          </w:p>
        </w:tc>
        <w:tc>
          <w:tcPr>
            <w:tcW w:type="dxa" w:w="821"/>
          </w:tcPr>
          <w:p>
            <w:pPr>
              <w:pStyle w:val="null3"/>
              <w:jc w:val="right"/>
            </w:pPr>
            <w:r>
              <w:rPr/>
              <w:t>720,000.00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执勤执法车（皮卡）</w:t>
            </w:r>
          </w:p>
        </w:tc>
        <w:tc>
          <w:tcPr>
            <w:tcW w:type="dxa" w:w="977"/>
          </w:tcPr>
          <w:p>
            <w:pPr>
              <w:pStyle w:val="null3"/>
              <w:jc w:val="right"/>
            </w:pPr>
            <w:r>
              <w:rPr/>
              <w:t>3.00（辆）</w:t>
            </w:r>
          </w:p>
        </w:tc>
        <w:tc>
          <w:tcPr>
            <w:tcW w:type="dxa" w:w="1173"/>
          </w:tcPr>
          <w:p>
            <w:pPr>
              <w:pStyle w:val="null3"/>
              <w:jc w:val="right"/>
            </w:pPr>
            <w:r>
              <w:rPr/>
              <w:t>180,000（元）</w:t>
            </w:r>
          </w:p>
        </w:tc>
        <w:tc>
          <w:tcPr>
            <w:tcW w:type="dxa" w:w="1173"/>
          </w:tcPr>
          <w:p>
            <w:pPr>
              <w:pStyle w:val="null3"/>
              <w:jc w:val="right"/>
            </w:pPr>
            <w:r>
              <w:rPr/>
              <w:t>540,000.00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执勤执法车（新能源轿车）</w:t>
            </w:r>
          </w:p>
        </w:tc>
        <w:tc>
          <w:tcPr>
            <w:tcW w:type="dxa" w:w="977"/>
          </w:tcPr>
          <w:p>
            <w:pPr>
              <w:pStyle w:val="null3"/>
              <w:jc w:val="right"/>
            </w:pPr>
            <w:r>
              <w:rPr/>
              <w:t>4.00（辆）</w:t>
            </w:r>
          </w:p>
        </w:tc>
        <w:tc>
          <w:tcPr>
            <w:tcW w:type="dxa" w:w="1173"/>
          </w:tcPr>
          <w:p>
            <w:pPr>
              <w:pStyle w:val="null3"/>
              <w:jc w:val="right"/>
            </w:pPr>
            <w:r>
              <w:rPr/>
              <w:t>180,000（元）</w:t>
            </w:r>
          </w:p>
        </w:tc>
        <w:tc>
          <w:tcPr>
            <w:tcW w:type="dxa" w:w="1173"/>
          </w:tcPr>
          <w:p>
            <w:pPr>
              <w:pStyle w:val="null3"/>
              <w:jc w:val="right"/>
            </w:pPr>
            <w:r>
              <w:rPr/>
              <w:t>720,000.00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★注：供应商响应产品应当明确品牌和规格型号并指向唯一产品，不能指向唯一产品的，应通过报价表唯一产品说明栏补充说明。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警车</w:t>
            </w:r>
          </w:p>
        </w:tc>
        <w:tc>
          <w:tcPr>
            <w:tcW w:type="dxa" w:w="2492"/>
          </w:tcPr>
          <w:p>
            <w:pPr>
              <w:pStyle w:val="null3"/>
              <w:jc w:val="left"/>
            </w:pPr>
            <w:r>
              <w:rPr/>
              <w:t>执勤执法车（新能源轿车）</w:t>
            </w:r>
          </w:p>
        </w:tc>
        <w:tc>
          <w:tcPr>
            <w:tcW w:type="dxa" w:w="2492"/>
          </w:tcPr>
          <w:p>
            <w:pPr>
              <w:pStyle w:val="null3"/>
              <w:jc w:val="left"/>
            </w:pPr>
            <w:r>
              <w:rPr/>
              <w:t>执勤执法车（新能源轿车）</w:t>
            </w:r>
          </w:p>
        </w:tc>
      </w:tr>
    </w:tbl>
    <w:p>
      <w:pPr>
        <w:pStyle w:val="null3"/>
        <w:ind w:firstLine="480"/>
        <w:jc w:val="left"/>
      </w:pPr>
      <w:r>
        <w:rPr/>
        <w:t>注：涉及核心产品的，具体评审规定见第四章。</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b/>
          <w:sz w:val="28"/>
        </w:rPr>
        <w:t>3.2.技术要求</w:t>
      </w:r>
    </w:p>
    <w:p>
      <w:pPr>
        <w:pStyle w:val="null3"/>
        <w:jc w:val="left"/>
      </w:pPr>
      <w:r>
        <w:rPr/>
        <w:t>采购包1：</w:t>
      </w:r>
    </w:p>
    <w:p>
      <w:pPr>
        <w:pStyle w:val="null3"/>
        <w:jc w:val="left"/>
      </w:pPr>
      <w:r>
        <w:rPr/>
        <w:t>标的名称：执勤执法车（皮卡）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512"/>
            </w:tblGrid>
            <w:tr>
              <w:tc>
                <w:tcPr>
                  <w:tcW w:type="dxa" w:w="4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技术参数与性能指标</w:t>
                  </w:r>
                </w:p>
              </w:tc>
            </w:tr>
            <w:tr>
              <w:tc>
                <w:tcPr>
                  <w:tcW w:type="dxa" w:w="4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Ind w:type="dxa" w:w="180"/>
                    <w:tblBorders>
                      <w:top w:val="none" w:color="000000" w:sz="4"/>
                      <w:left w:val="none" w:color="000000" w:sz="4"/>
                      <w:bottom w:val="none" w:color="000000" w:sz="4"/>
                      <w:right w:val="none" w:color="000000" w:sz="4"/>
                      <w:insideH w:val="none"/>
                      <w:insideV w:val="none"/>
                    </w:tblBorders>
                  </w:tblPr>
                  <w:tblGrid>
                    <w:gridCol w:w="857"/>
                    <w:gridCol w:w="1751"/>
                    <w:gridCol w:w="1677"/>
                  </w:tblGrid>
                  <w:tr>
                    <w:tc>
                      <w:tcPr>
                        <w:tcW w:type="dxa" w:w="8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2"/>
                          </w:rPr>
                          <w:t>配置项序号</w:t>
                        </w:r>
                      </w:p>
                    </w:tc>
                    <w:tc>
                      <w:tcPr>
                        <w:tcW w:type="dxa" w:w="1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2"/>
                          </w:rPr>
                          <w:t>车辆配置项</w:t>
                        </w:r>
                      </w:p>
                    </w:tc>
                    <w:tc>
                      <w:tcPr>
                        <w:tcW w:type="dxa" w:w="16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2"/>
                          </w:rPr>
                          <w:t>参数要求</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能源类型</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汽油</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排放</w:t>
                        </w:r>
                        <w:r>
                          <w:rPr>
                            <w:rFonts w:ascii="宋体" w:hAnsi="宋体" w:cs="宋体" w:eastAsia="宋体"/>
                            <w:color w:val="000000"/>
                            <w:sz w:val="22"/>
                          </w:rPr>
                          <w:t>标准</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国</w:t>
                        </w:r>
                        <w:r>
                          <w:rPr>
                            <w:rFonts w:ascii="宋体" w:hAnsi="宋体" w:cs="宋体" w:eastAsia="宋体"/>
                            <w:color w:val="000000"/>
                            <w:sz w:val="22"/>
                          </w:rPr>
                          <w:t>VI</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3</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最大功率</w:t>
                        </w:r>
                        <w:r>
                          <w:rPr>
                            <w:rFonts w:ascii="宋体" w:hAnsi="宋体" w:cs="宋体" w:eastAsia="宋体"/>
                            <w:color w:val="000000"/>
                            <w:sz w:val="21"/>
                          </w:rPr>
                          <w:t>(kW)</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≥16</w:t>
                        </w:r>
                        <w:r>
                          <w:rPr>
                            <w:rFonts w:ascii="宋体" w:hAnsi="宋体" w:cs="宋体" w:eastAsia="宋体"/>
                            <w:color w:val="000000"/>
                            <w:sz w:val="22"/>
                          </w:rPr>
                          <w:t>0</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4</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最大扭矩</w:t>
                        </w:r>
                        <w:r>
                          <w:rPr>
                            <w:rFonts w:ascii="宋体" w:hAnsi="宋体" w:cs="宋体" w:eastAsia="宋体"/>
                            <w:color w:val="000000"/>
                            <w:sz w:val="21"/>
                          </w:rPr>
                          <w:t>(N</w:t>
                        </w:r>
                        <w:r>
                          <w:rPr>
                            <w:rFonts w:ascii="宋体" w:hAnsi="宋体" w:cs="宋体" w:eastAsia="宋体"/>
                            <w:color w:val="000000"/>
                            <w:sz w:val="22"/>
                          </w:rPr>
                          <w:t>·</w:t>
                        </w:r>
                        <w:r>
                          <w:rPr>
                            <w:rFonts w:ascii="宋体" w:hAnsi="宋体" w:cs="宋体" w:eastAsia="宋体"/>
                            <w:color w:val="000000"/>
                            <w:sz w:val="21"/>
                          </w:rPr>
                          <w:t>m)</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≥350</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5</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变速箱</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8挡自动</w:t>
                        </w:r>
                        <w:r>
                          <w:rPr>
                            <w:rFonts w:ascii="宋体" w:hAnsi="宋体" w:cs="宋体" w:eastAsia="宋体"/>
                            <w:color w:val="000000"/>
                            <w:sz w:val="22"/>
                          </w:rPr>
                          <w:t>或优于</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★6</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车身结构</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皮卡</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7</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发动机</w:t>
                        </w:r>
                        <w:r>
                          <w:rPr>
                            <w:rFonts w:ascii="宋体" w:hAnsi="宋体" w:cs="宋体" w:eastAsia="宋体"/>
                            <w:sz w:val="22"/>
                          </w:rPr>
                          <w:t>排量（</w:t>
                        </w:r>
                        <w:r>
                          <w:rPr>
                            <w:rFonts w:ascii="宋体" w:hAnsi="宋体" w:cs="宋体" w:eastAsia="宋体"/>
                            <w:sz w:val="22"/>
                          </w:rPr>
                          <w:t>ml)</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w:t>
                        </w:r>
                        <w:r>
                          <w:rPr>
                            <w:rFonts w:ascii="宋体" w:hAnsi="宋体" w:cs="宋体" w:eastAsia="宋体"/>
                            <w:color w:val="000000"/>
                            <w:sz w:val="22"/>
                          </w:rPr>
                          <w:t>1995</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8</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长</w:t>
                        </w:r>
                        <w:r>
                          <w:rPr>
                            <w:rFonts w:ascii="calibri" w:hAnsi="calibri" w:cs="calibri" w:eastAsia="calibri"/>
                            <w:sz w:val="22"/>
                          </w:rPr>
                          <w:t>*</w:t>
                        </w:r>
                        <w:r>
                          <w:rPr>
                            <w:rFonts w:ascii="宋体" w:hAnsi="宋体" w:cs="宋体" w:eastAsia="宋体"/>
                            <w:sz w:val="22"/>
                          </w:rPr>
                          <w:t>宽</w:t>
                        </w:r>
                        <w:r>
                          <w:rPr>
                            <w:rFonts w:ascii="calibri" w:hAnsi="calibri" w:cs="calibri" w:eastAsia="calibri"/>
                            <w:sz w:val="22"/>
                          </w:rPr>
                          <w:t>*</w:t>
                        </w:r>
                        <w:r>
                          <w:rPr>
                            <w:rFonts w:ascii="宋体" w:hAnsi="宋体" w:cs="宋体" w:eastAsia="宋体"/>
                            <w:sz w:val="22"/>
                          </w:rPr>
                          <w:t>高</w:t>
                        </w:r>
                        <w:r>
                          <w:rPr>
                            <w:rFonts w:ascii="calibri" w:hAnsi="calibri" w:cs="calibri" w:eastAsia="calibri"/>
                            <w:sz w:val="22"/>
                          </w:rPr>
                          <w:t>(mm)</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≥529</w:t>
                        </w:r>
                        <w:r>
                          <w:rPr>
                            <w:rFonts w:ascii="宋体" w:hAnsi="宋体" w:cs="宋体" w:eastAsia="宋体"/>
                            <w:color w:val="000000"/>
                            <w:sz w:val="22"/>
                          </w:rPr>
                          <w:t>0</w:t>
                        </w:r>
                        <w:r>
                          <w:rPr>
                            <w:rFonts w:ascii="宋体" w:hAnsi="宋体" w:cs="宋体" w:eastAsia="宋体"/>
                            <w:color w:val="000000"/>
                            <w:sz w:val="22"/>
                          </w:rPr>
                          <w:t>×1860×1830</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9</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轴距</w:t>
                        </w:r>
                        <w:r>
                          <w:rPr>
                            <w:rFonts w:ascii="宋体" w:hAnsi="宋体" w:cs="宋体" w:eastAsia="宋体"/>
                            <w:color w:val="000000"/>
                            <w:sz w:val="21"/>
                          </w:rPr>
                          <w:t>(mm)</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≥309</w:t>
                        </w:r>
                        <w:r>
                          <w:rPr>
                            <w:rFonts w:ascii="宋体" w:hAnsi="宋体" w:cs="宋体" w:eastAsia="宋体"/>
                            <w:color w:val="000000"/>
                            <w:sz w:val="22"/>
                          </w:rPr>
                          <w:t>0</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10</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车门数</w:t>
                        </w:r>
                        <w:r>
                          <w:rPr>
                            <w:rFonts w:ascii="宋体" w:hAnsi="宋体" w:cs="宋体" w:eastAsia="宋体"/>
                            <w:color w:val="000000"/>
                            <w:sz w:val="21"/>
                          </w:rPr>
                          <w:t>(</w:t>
                        </w:r>
                        <w:r>
                          <w:rPr>
                            <w:rFonts w:ascii="宋体" w:hAnsi="宋体" w:cs="宋体" w:eastAsia="宋体"/>
                            <w:color w:val="000000"/>
                            <w:sz w:val="22"/>
                          </w:rPr>
                          <w:t>个</w:t>
                        </w:r>
                        <w:r>
                          <w:rPr>
                            <w:rFonts w:ascii="宋体" w:hAnsi="宋体" w:cs="宋体" w:eastAsia="宋体"/>
                            <w:color w:val="000000"/>
                            <w:sz w:val="21"/>
                          </w:rPr>
                          <w:t>)</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4</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★11</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座位数</w:t>
                        </w:r>
                        <w:r>
                          <w:rPr>
                            <w:rFonts w:ascii="宋体" w:hAnsi="宋体" w:cs="宋体" w:eastAsia="宋体"/>
                            <w:color w:val="000000"/>
                            <w:sz w:val="21"/>
                          </w:rPr>
                          <w:t>(</w:t>
                        </w:r>
                        <w:r>
                          <w:rPr>
                            <w:rFonts w:ascii="宋体" w:hAnsi="宋体" w:cs="宋体" w:eastAsia="宋体"/>
                            <w:color w:val="000000"/>
                            <w:sz w:val="22"/>
                          </w:rPr>
                          <w:t>个</w:t>
                        </w:r>
                        <w:r>
                          <w:rPr>
                            <w:rFonts w:ascii="宋体" w:hAnsi="宋体" w:cs="宋体" w:eastAsia="宋体"/>
                            <w:color w:val="000000"/>
                            <w:sz w:val="21"/>
                          </w:rPr>
                          <w:t>)</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5</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12</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油箱容积</w:t>
                        </w:r>
                        <w:r>
                          <w:rPr>
                            <w:rFonts w:ascii="宋体" w:hAnsi="宋体" w:cs="宋体" w:eastAsia="宋体"/>
                            <w:color w:val="000000"/>
                            <w:sz w:val="21"/>
                          </w:rPr>
                          <w:t>(L)</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≥7</w:t>
                        </w:r>
                        <w:r>
                          <w:rPr>
                            <w:rFonts w:ascii="宋体" w:hAnsi="宋体" w:cs="宋体" w:eastAsia="宋体"/>
                            <w:color w:val="000000"/>
                            <w:sz w:val="22"/>
                          </w:rPr>
                          <w:t>0</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13</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货箱尺寸</w:t>
                        </w:r>
                        <w:r>
                          <w:rPr>
                            <w:rFonts w:ascii="宋体" w:hAnsi="宋体" w:cs="宋体" w:eastAsia="宋体"/>
                            <w:color w:val="000000"/>
                            <w:sz w:val="21"/>
                          </w:rPr>
                          <w:t>(mm)</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≥14</w:t>
                        </w:r>
                        <w:r>
                          <w:rPr>
                            <w:rFonts w:ascii="宋体" w:hAnsi="宋体" w:cs="宋体" w:eastAsia="宋体"/>
                            <w:color w:val="000000"/>
                            <w:sz w:val="22"/>
                          </w:rPr>
                          <w:t>7</w:t>
                        </w:r>
                        <w:r>
                          <w:rPr>
                            <w:rFonts w:ascii="宋体" w:hAnsi="宋体" w:cs="宋体" w:eastAsia="宋体"/>
                            <w:color w:val="000000"/>
                            <w:sz w:val="22"/>
                          </w:rPr>
                          <w:t>0x1530x480</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14</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后排车门开启方式</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平开门</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15</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进气形式</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涡轮增压</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16</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气缸数</w:t>
                        </w:r>
                        <w:r>
                          <w:rPr>
                            <w:rFonts w:ascii="宋体" w:hAnsi="宋体" w:cs="宋体" w:eastAsia="宋体"/>
                            <w:color w:val="000000"/>
                            <w:sz w:val="21"/>
                          </w:rPr>
                          <w:t>(</w:t>
                        </w:r>
                        <w:r>
                          <w:rPr>
                            <w:rFonts w:ascii="宋体" w:hAnsi="宋体" w:cs="宋体" w:eastAsia="宋体"/>
                            <w:color w:val="000000"/>
                            <w:sz w:val="22"/>
                          </w:rPr>
                          <w:t>个</w:t>
                        </w:r>
                        <w:r>
                          <w:rPr>
                            <w:rFonts w:ascii="宋体" w:hAnsi="宋体" w:cs="宋体" w:eastAsia="宋体"/>
                            <w:color w:val="000000"/>
                            <w:sz w:val="21"/>
                          </w:rPr>
                          <w:t>)</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4</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17</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驱动方式</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前置四驱</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18</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前悬架类型</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双横臂式独立悬架</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19</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后悬架类型</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钢板弹簧非独立悬架</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20</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助力类型</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电子液压助力</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21</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车体结构</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非承载式</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22</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前制动器类型</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通风盘式</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23</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后制动器类型</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盘式</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24</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轮胎规格</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255/65 R17</w:t>
                        </w:r>
                        <w:r>
                          <w:rPr>
                            <w:rFonts w:ascii="宋体" w:hAnsi="宋体" w:cs="宋体" w:eastAsia="宋体"/>
                            <w:color w:val="000000"/>
                            <w:sz w:val="22"/>
                          </w:rPr>
                          <w:t>或优于</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25</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主</w:t>
                        </w:r>
                        <w:r>
                          <w:rPr>
                            <w:rFonts w:ascii="宋体" w:hAnsi="宋体" w:cs="宋体" w:eastAsia="宋体"/>
                            <w:color w:val="000000"/>
                            <w:sz w:val="21"/>
                          </w:rPr>
                          <w:t>/</w:t>
                        </w:r>
                        <w:r>
                          <w:rPr>
                            <w:rFonts w:ascii="宋体" w:hAnsi="宋体" w:cs="宋体" w:eastAsia="宋体"/>
                            <w:color w:val="000000"/>
                            <w:sz w:val="22"/>
                          </w:rPr>
                          <w:t>副驾驶座安全气囊</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主</w:t>
                        </w:r>
                        <w:r>
                          <w:rPr>
                            <w:rFonts w:ascii="宋体" w:hAnsi="宋体" w:cs="宋体" w:eastAsia="宋体"/>
                            <w:color w:val="000000"/>
                            <w:sz w:val="22"/>
                          </w:rPr>
                          <w:t>/ 副</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26</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2"/>
                          </w:rPr>
                          <w:t>ABS</w:t>
                        </w:r>
                        <w:r>
                          <w:rPr>
                            <w:rFonts w:ascii="宋体" w:hAnsi="宋体" w:cs="宋体" w:eastAsia="宋体"/>
                            <w:color w:val="000000"/>
                            <w:sz w:val="22"/>
                          </w:rPr>
                          <w:t>防抱死</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27</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制动力分配</w:t>
                        </w:r>
                        <w:r>
                          <w:rPr>
                            <w:rFonts w:ascii="宋体" w:hAnsi="宋体" w:cs="宋体" w:eastAsia="宋体"/>
                            <w:color w:val="000000"/>
                            <w:sz w:val="21"/>
                          </w:rPr>
                          <w:t>(EBD/CBC</w:t>
                        </w:r>
                        <w:r>
                          <w:rPr>
                            <w:rFonts w:ascii="宋体" w:hAnsi="宋体" w:cs="宋体" w:eastAsia="宋体"/>
                            <w:color w:val="000000"/>
                            <w:sz w:val="22"/>
                          </w:rPr>
                          <w:t>等</w:t>
                        </w:r>
                        <w:r>
                          <w:rPr>
                            <w:rFonts w:ascii="宋体" w:hAnsi="宋体" w:cs="宋体" w:eastAsia="宋体"/>
                            <w:color w:val="000000"/>
                            <w:sz w:val="21"/>
                          </w:rPr>
                          <w:t>)</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28</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刹车辅助</w:t>
                        </w:r>
                        <w:r>
                          <w:rPr>
                            <w:rFonts w:ascii="宋体" w:hAnsi="宋体" w:cs="宋体" w:eastAsia="宋体"/>
                            <w:color w:val="000000"/>
                            <w:sz w:val="21"/>
                          </w:rPr>
                          <w:t>(EBA/BAS/BA</w:t>
                        </w:r>
                        <w:r>
                          <w:rPr>
                            <w:rFonts w:ascii="宋体" w:hAnsi="宋体" w:cs="宋体" w:eastAsia="宋体"/>
                            <w:color w:val="000000"/>
                            <w:sz w:val="22"/>
                          </w:rPr>
                          <w:t>等</w:t>
                        </w:r>
                        <w:r>
                          <w:rPr>
                            <w:rFonts w:ascii="宋体" w:hAnsi="宋体" w:cs="宋体" w:eastAsia="宋体"/>
                            <w:color w:val="000000"/>
                            <w:sz w:val="21"/>
                          </w:rPr>
                          <w:t>)</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29</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牵引力控制</w:t>
                        </w:r>
                        <w:r>
                          <w:rPr>
                            <w:rFonts w:ascii="宋体" w:hAnsi="宋体" w:cs="宋体" w:eastAsia="宋体"/>
                            <w:color w:val="000000"/>
                            <w:sz w:val="21"/>
                          </w:rPr>
                          <w:t>(ASR/TCS/TRC</w:t>
                        </w:r>
                        <w:r>
                          <w:rPr>
                            <w:rFonts w:ascii="宋体" w:hAnsi="宋体" w:cs="宋体" w:eastAsia="宋体"/>
                            <w:color w:val="000000"/>
                            <w:sz w:val="22"/>
                          </w:rPr>
                          <w:t>等</w:t>
                        </w:r>
                        <w:r>
                          <w:rPr>
                            <w:rFonts w:ascii="宋体" w:hAnsi="宋体" w:cs="宋体" w:eastAsia="宋体"/>
                            <w:color w:val="000000"/>
                            <w:sz w:val="21"/>
                          </w:rPr>
                          <w:t>)</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30</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车身稳定控制</w:t>
                        </w:r>
                        <w:r>
                          <w:rPr>
                            <w:rFonts w:ascii="宋体" w:hAnsi="宋体" w:cs="宋体" w:eastAsia="宋体"/>
                            <w:color w:val="000000"/>
                            <w:sz w:val="21"/>
                          </w:rPr>
                          <w:t>(ESC/ESP/DSC</w:t>
                        </w:r>
                        <w:r>
                          <w:rPr>
                            <w:rFonts w:ascii="宋体" w:hAnsi="宋体" w:cs="宋体" w:eastAsia="宋体"/>
                            <w:color w:val="000000"/>
                            <w:sz w:val="22"/>
                          </w:rPr>
                          <w:t>等</w:t>
                        </w:r>
                        <w:r>
                          <w:rPr>
                            <w:rFonts w:ascii="宋体" w:hAnsi="宋体" w:cs="宋体" w:eastAsia="宋体"/>
                            <w:color w:val="000000"/>
                            <w:sz w:val="21"/>
                          </w:rPr>
                          <w:t>)</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31</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胎压监测功能</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胎压显示</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32</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发动机启停技术</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33</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自动驻车</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34</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上坡辅助</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35</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陡坡缓降</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36</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后驻车雷达</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37</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倒车影像</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38</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定速巡航</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39</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卫星导航系统</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40</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发动机电子防盗</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41</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车内中控锁</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42</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钥匙类型</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遥控钥匙</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43</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无钥匙启动系统</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44</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无钥匙进入功能</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驾驶位</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45</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远近光灯光源</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卤素</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46</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2"/>
                          </w:rPr>
                          <w:t>LED</w:t>
                        </w:r>
                        <w:r>
                          <w:rPr>
                            <w:rFonts w:ascii="宋体" w:hAnsi="宋体" w:cs="宋体" w:eastAsia="宋体"/>
                            <w:color w:val="000000"/>
                            <w:sz w:val="22"/>
                          </w:rPr>
                          <w:t>日间行车灯</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47</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转向辅助灯</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48</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车前雾灯</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卤素</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49</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大灯高度可调</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50</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电动车窗</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51</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外后视镜功能</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电动调节</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52</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中控彩色屏幕</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触控液晶屏</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53</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蓝牙</w:t>
                        </w:r>
                        <w:r>
                          <w:rPr>
                            <w:rFonts w:ascii="宋体" w:hAnsi="宋体" w:cs="宋体" w:eastAsia="宋体"/>
                            <w:color w:val="000000"/>
                            <w:sz w:val="21"/>
                          </w:rPr>
                          <w:t>/</w:t>
                        </w:r>
                        <w:r>
                          <w:rPr>
                            <w:rFonts w:ascii="宋体" w:hAnsi="宋体" w:cs="宋体" w:eastAsia="宋体"/>
                            <w:color w:val="000000"/>
                            <w:sz w:val="22"/>
                          </w:rPr>
                          <w:t>车载电话</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54</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方向盘材质</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皮质</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55</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多功能方向盘</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56</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行车电脑显示屏幕</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彩色</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57</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内后视镜功能</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手动防眩目</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58</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多媒体</w:t>
                        </w:r>
                        <w:r>
                          <w:rPr>
                            <w:rFonts w:ascii="宋体" w:hAnsi="宋体" w:cs="宋体" w:eastAsia="宋体"/>
                            <w:color w:val="000000"/>
                            <w:sz w:val="21"/>
                          </w:rPr>
                          <w:t>/</w:t>
                        </w:r>
                        <w:r>
                          <w:rPr>
                            <w:rFonts w:ascii="宋体" w:hAnsi="宋体" w:cs="宋体" w:eastAsia="宋体"/>
                            <w:color w:val="000000"/>
                            <w:sz w:val="22"/>
                          </w:rPr>
                          <w:t>充电接口</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USB</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59</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座椅材质</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仿皮</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60</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主副座椅调节方式</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前后调节，靠背调节</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61</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前</w:t>
                        </w:r>
                        <w:r>
                          <w:rPr>
                            <w:rFonts w:ascii="宋体" w:hAnsi="宋体" w:cs="宋体" w:eastAsia="宋体"/>
                            <w:color w:val="000000"/>
                            <w:sz w:val="21"/>
                          </w:rPr>
                          <w:t>/</w:t>
                        </w:r>
                        <w:r>
                          <w:rPr>
                            <w:rFonts w:ascii="宋体" w:hAnsi="宋体" w:cs="宋体" w:eastAsia="宋体"/>
                            <w:color w:val="000000"/>
                            <w:sz w:val="22"/>
                          </w:rPr>
                          <w:t>后中央扶手</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前</w:t>
                        </w:r>
                        <w:r>
                          <w:rPr>
                            <w:rFonts w:ascii="宋体" w:hAnsi="宋体" w:cs="宋体" w:eastAsia="宋体"/>
                            <w:color w:val="000000"/>
                            <w:sz w:val="22"/>
                          </w:rPr>
                          <w:t>/ 后</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62</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手动空调</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63</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后座出风口</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64</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2"/>
                          </w:rPr>
                          <w:t>尾箱盖</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65</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2"/>
                          </w:rPr>
                          <w:t>颜色</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白色</w:t>
                        </w:r>
                      </w:p>
                    </w:tc>
                  </w:tr>
                  <w:tr>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66</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改装</w:t>
                        </w:r>
                        <w:r>
                          <w:rPr>
                            <w:rFonts w:ascii="宋体" w:hAnsi="宋体" w:cs="宋体" w:eastAsia="宋体"/>
                            <w:sz w:val="21"/>
                          </w:rPr>
                          <w:t xml:space="preserve">  </w:t>
                        </w:r>
                      </w:p>
                    </w:tc>
                    <w:tc>
                      <w:tcPr>
                        <w:tcW w:type="dxa" w:w="1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按警用车辆要求进行改装</w:t>
                        </w:r>
                      </w:p>
                    </w:tc>
                  </w:tr>
                </w:tbl>
                <w:p>
                  <w:pPr>
                    <w:pStyle w:val="null3"/>
                    <w:ind w:firstLine="420"/>
                    <w:jc w:val="both"/>
                  </w:pPr>
                </w:p>
              </w:tc>
            </w:tr>
          </w:tbl>
          <w:p/>
        </w:tc>
      </w:tr>
    </w:tbl>
    <w:p>
      <w:pPr>
        <w:pStyle w:val="null3"/>
        <w:jc w:val="left"/>
      </w:pPr>
      <w:r>
        <w:rPr/>
        <w:t>标的名称：执勤执法车（新能源轿车）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534"/>
            </w:tblGrid>
            <w:tr>
              <w:tc>
                <w:tcPr>
                  <w:tcW w:type="dxa" w:w="4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技术参数与性能指标</w:t>
                  </w:r>
                </w:p>
              </w:tc>
            </w:tr>
            <w:tr>
              <w:tc>
                <w:tcPr>
                  <w:tcW w:type="dxa" w:w="4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Ind w:type="dxa" w:w="240"/>
                    <w:tblBorders>
                      <w:top w:val="none" w:color="000000" w:sz="4"/>
                      <w:left w:val="none" w:color="000000" w:sz="4"/>
                      <w:bottom w:val="none" w:color="000000" w:sz="4"/>
                      <w:right w:val="none" w:color="000000" w:sz="4"/>
                      <w:insideH w:val="none"/>
                      <w:insideV w:val="none"/>
                    </w:tblBorders>
                  </w:tblPr>
                  <w:tblGrid>
                    <w:gridCol w:w="852"/>
                    <w:gridCol w:w="1621"/>
                    <w:gridCol w:w="1834"/>
                  </w:tblGrid>
                  <w:tr>
                    <w:tc>
                      <w:tcPr>
                        <w:tcW w:type="dxa" w:w="8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2"/>
                          </w:rPr>
                          <w:t>配置项序号</w:t>
                        </w:r>
                      </w:p>
                    </w:tc>
                    <w:tc>
                      <w:tcPr>
                        <w:tcW w:type="dxa" w:w="1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2"/>
                          </w:rPr>
                          <w:t>车辆配置项</w:t>
                        </w:r>
                      </w:p>
                    </w:tc>
                    <w:tc>
                      <w:tcPr>
                        <w:tcW w:type="dxa" w:w="18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2"/>
                          </w:rPr>
                          <w:t>参数要求</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r>
                          <w:rPr>
                            <w:rFonts w:ascii="宋体" w:hAnsi="宋体" w:cs="宋体" w:eastAsia="宋体"/>
                            <w:color w:val="000000"/>
                            <w:sz w:val="22"/>
                          </w:rPr>
                          <w:t>1</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能源类型</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纯电动</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r>
                          <w:rPr>
                            <w:rFonts w:ascii="宋体" w:hAnsi="宋体" w:cs="宋体" w:eastAsia="宋体"/>
                            <w:color w:val="000000"/>
                            <w:sz w:val="22"/>
                          </w:rPr>
                          <w:t>2</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纯电续航里程</w:t>
                        </w:r>
                        <w:r>
                          <w:rPr>
                            <w:rFonts w:ascii="calibri" w:hAnsi="calibri" w:cs="calibri" w:eastAsia="calibri"/>
                            <w:color w:val="000000"/>
                            <w:sz w:val="21"/>
                          </w:rPr>
                          <w:t>(km)</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≥50</w:t>
                        </w:r>
                        <w:r>
                          <w:rPr>
                            <w:rFonts w:ascii="宋体" w:hAnsi="宋体" w:cs="宋体" w:eastAsia="宋体"/>
                            <w:color w:val="000000"/>
                            <w:sz w:val="22"/>
                          </w:rPr>
                          <w:t>0</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r>
                          <w:rPr>
                            <w:rFonts w:ascii="宋体" w:hAnsi="宋体" w:cs="宋体" w:eastAsia="宋体"/>
                            <w:color w:val="000000"/>
                            <w:sz w:val="22"/>
                          </w:rPr>
                          <w:t>3</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电池快充时间</w:t>
                        </w:r>
                        <w:r>
                          <w:rPr>
                            <w:rFonts w:ascii="calibri" w:hAnsi="calibri" w:cs="calibri" w:eastAsia="calibri"/>
                            <w:color w:val="000000"/>
                            <w:sz w:val="21"/>
                          </w:rPr>
                          <w:t>(</w:t>
                        </w:r>
                        <w:r>
                          <w:rPr>
                            <w:rFonts w:ascii="宋体" w:hAnsi="宋体" w:cs="宋体" w:eastAsia="宋体"/>
                            <w:color w:val="000000"/>
                            <w:sz w:val="21"/>
                          </w:rPr>
                          <w:t>小时</w:t>
                        </w:r>
                        <w:r>
                          <w:rPr>
                            <w:rFonts w:ascii="calibri" w:hAnsi="calibri" w:cs="calibri" w:eastAsia="calibri"/>
                            <w:color w:val="000000"/>
                            <w:sz w:val="21"/>
                          </w:rPr>
                          <w:t>)</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22"/>
                          </w:rPr>
                          <w:t>≤</w:t>
                        </w:r>
                        <w:r>
                          <w:rPr>
                            <w:rFonts w:ascii="宋体" w:hAnsi="宋体" w:cs="宋体" w:eastAsia="宋体"/>
                            <w:color w:val="000000"/>
                            <w:sz w:val="22"/>
                          </w:rPr>
                          <w:t>0.</w:t>
                        </w:r>
                        <w:r>
                          <w:rPr>
                            <w:rFonts w:ascii="宋体" w:hAnsi="宋体" w:cs="宋体" w:eastAsia="宋体"/>
                            <w:color w:val="000000"/>
                            <w:sz w:val="22"/>
                          </w:rPr>
                          <w:t>5</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4</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电机</w:t>
                        </w:r>
                        <w:r>
                          <w:rPr>
                            <w:rFonts w:ascii="宋体" w:hAnsi="宋体" w:cs="宋体" w:eastAsia="宋体"/>
                            <w:color w:val="000000"/>
                            <w:sz w:val="21"/>
                          </w:rPr>
                          <w:t>最大功率</w:t>
                        </w:r>
                        <w:r>
                          <w:rPr>
                            <w:rFonts w:ascii="calibri" w:hAnsi="calibri" w:cs="calibri" w:eastAsia="calibri"/>
                            <w:color w:val="000000"/>
                            <w:sz w:val="21"/>
                          </w:rPr>
                          <w:t>(kW)</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≥150</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5</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电机</w:t>
                        </w:r>
                        <w:r>
                          <w:rPr>
                            <w:rFonts w:ascii="宋体" w:hAnsi="宋体" w:cs="宋体" w:eastAsia="宋体"/>
                            <w:color w:val="000000"/>
                            <w:sz w:val="21"/>
                          </w:rPr>
                          <w:t>最大扭矩</w:t>
                        </w:r>
                        <w:r>
                          <w:rPr>
                            <w:rFonts w:ascii="calibri" w:hAnsi="calibri" w:cs="calibri" w:eastAsia="calibri"/>
                            <w:color w:val="000000"/>
                            <w:sz w:val="21"/>
                          </w:rPr>
                          <w:t>(N·m)</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≥3</w:t>
                        </w:r>
                        <w:r>
                          <w:rPr>
                            <w:rFonts w:ascii="宋体" w:hAnsi="宋体" w:cs="宋体" w:eastAsia="宋体"/>
                            <w:color w:val="000000"/>
                            <w:sz w:val="22"/>
                          </w:rPr>
                          <w:t>0</w:t>
                        </w:r>
                        <w:r>
                          <w:rPr>
                            <w:rFonts w:ascii="宋体" w:hAnsi="宋体" w:cs="宋体" w:eastAsia="宋体"/>
                            <w:color w:val="000000"/>
                            <w:sz w:val="22"/>
                          </w:rPr>
                          <w:t>0</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6</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变速箱</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r>
                          <w:rPr>
                            <w:rFonts w:ascii="宋体" w:hAnsi="宋体" w:cs="宋体" w:eastAsia="宋体"/>
                            <w:color w:val="000000"/>
                            <w:sz w:val="22"/>
                          </w:rPr>
                          <w:t>7</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车身结构</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4门5座三厢车</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8</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长</w:t>
                        </w:r>
                        <w:r>
                          <w:rPr>
                            <w:rFonts w:ascii="calibri" w:hAnsi="calibri" w:cs="calibri" w:eastAsia="calibri"/>
                            <w:color w:val="000000"/>
                            <w:sz w:val="21"/>
                          </w:rPr>
                          <w:t>*</w:t>
                        </w:r>
                        <w:r>
                          <w:rPr>
                            <w:rFonts w:ascii="宋体" w:hAnsi="宋体" w:cs="宋体" w:eastAsia="宋体"/>
                            <w:color w:val="000000"/>
                            <w:sz w:val="21"/>
                          </w:rPr>
                          <w:t>宽</w:t>
                        </w:r>
                        <w:r>
                          <w:rPr>
                            <w:rFonts w:ascii="calibri" w:hAnsi="calibri" w:cs="calibri" w:eastAsia="calibri"/>
                            <w:color w:val="000000"/>
                            <w:sz w:val="21"/>
                          </w:rPr>
                          <w:t>*</w:t>
                        </w:r>
                        <w:r>
                          <w:rPr>
                            <w:rFonts w:ascii="宋体" w:hAnsi="宋体" w:cs="宋体" w:eastAsia="宋体"/>
                            <w:color w:val="000000"/>
                            <w:sz w:val="21"/>
                          </w:rPr>
                          <w:t>高</w:t>
                        </w:r>
                        <w:r>
                          <w:rPr>
                            <w:rFonts w:ascii="calibri" w:hAnsi="calibri" w:cs="calibri" w:eastAsia="calibri"/>
                            <w:color w:val="000000"/>
                            <w:sz w:val="21"/>
                          </w:rPr>
                          <w:t>(mm)</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≥499</w:t>
                        </w:r>
                        <w:r>
                          <w:rPr>
                            <w:rFonts w:ascii="宋体" w:hAnsi="宋体" w:cs="宋体" w:eastAsia="宋体"/>
                            <w:color w:val="000000"/>
                            <w:sz w:val="22"/>
                          </w:rPr>
                          <w:t>0</w:t>
                        </w:r>
                        <w:r>
                          <w:rPr>
                            <w:rFonts w:ascii="宋体" w:hAnsi="宋体" w:cs="宋体" w:eastAsia="宋体"/>
                            <w:color w:val="000000"/>
                            <w:sz w:val="22"/>
                          </w:rPr>
                          <w:t>*1910*149</w:t>
                        </w:r>
                        <w:r>
                          <w:rPr>
                            <w:rFonts w:ascii="宋体" w:hAnsi="宋体" w:cs="宋体" w:eastAsia="宋体"/>
                            <w:color w:val="000000"/>
                            <w:sz w:val="22"/>
                          </w:rPr>
                          <w:t>0</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9</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最高车速</w:t>
                        </w:r>
                        <w:r>
                          <w:rPr>
                            <w:rFonts w:ascii="calibri" w:hAnsi="calibri" w:cs="calibri" w:eastAsia="calibri"/>
                            <w:color w:val="000000"/>
                            <w:sz w:val="21"/>
                          </w:rPr>
                          <w:t>(km/h)</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≥185</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10</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整备质量</w:t>
                        </w:r>
                        <w:r>
                          <w:rPr>
                            <w:rFonts w:ascii="calibri" w:hAnsi="calibri" w:cs="calibri" w:eastAsia="calibri"/>
                            <w:color w:val="000000"/>
                            <w:sz w:val="21"/>
                          </w:rPr>
                          <w:t>(kg)</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≥19</w:t>
                        </w:r>
                        <w:r>
                          <w:rPr>
                            <w:rFonts w:ascii="宋体" w:hAnsi="宋体" w:cs="宋体" w:eastAsia="宋体"/>
                            <w:color w:val="000000"/>
                            <w:sz w:val="22"/>
                          </w:rPr>
                          <w:t>00</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11</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轴距</w:t>
                        </w:r>
                        <w:r>
                          <w:rPr>
                            <w:rFonts w:ascii="calibri" w:hAnsi="calibri" w:cs="calibri" w:eastAsia="calibri"/>
                            <w:color w:val="000000"/>
                            <w:sz w:val="21"/>
                          </w:rPr>
                          <w:t>(mm)</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≥29</w:t>
                        </w:r>
                        <w:r>
                          <w:rPr>
                            <w:rFonts w:ascii="宋体" w:hAnsi="宋体" w:cs="宋体" w:eastAsia="宋体"/>
                            <w:color w:val="000000"/>
                            <w:sz w:val="22"/>
                          </w:rPr>
                          <w:t>0</w:t>
                        </w:r>
                        <w:r>
                          <w:rPr>
                            <w:rFonts w:ascii="宋体" w:hAnsi="宋体" w:cs="宋体" w:eastAsia="宋体"/>
                            <w:color w:val="000000"/>
                            <w:sz w:val="22"/>
                          </w:rPr>
                          <w:t>0</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12</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车门开启方式</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平开门</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13</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电机类型</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永磁</w:t>
                        </w:r>
                        <w:r>
                          <w:rPr>
                            <w:rFonts w:ascii="宋体" w:hAnsi="宋体" w:cs="宋体" w:eastAsia="宋体"/>
                            <w:color w:val="000000"/>
                            <w:sz w:val="22"/>
                          </w:rPr>
                          <w:t>/同步</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14</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驱动电机数</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单电机</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15</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电机布局</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前置二驱</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16</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电池类型</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磷酸铁锂电池</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17</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电池冷却方式</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液冷</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18</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快充功能</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支持</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19</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助力类型</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电动助力</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20</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车体结构</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承载式</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21</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前制动器类型</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通风盘式</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22</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后制动器类型</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盘式</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23</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驻车制动类型</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电子驻车</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24</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前</w:t>
                        </w:r>
                        <w:r>
                          <w:rPr>
                            <w:rFonts w:ascii="calibri" w:hAnsi="calibri" w:cs="calibri" w:eastAsia="calibri"/>
                            <w:color w:val="000000"/>
                            <w:sz w:val="21"/>
                          </w:rPr>
                          <w:t>/</w:t>
                        </w:r>
                        <w:r>
                          <w:rPr>
                            <w:rFonts w:ascii="宋体" w:hAnsi="宋体" w:cs="宋体" w:eastAsia="宋体"/>
                            <w:color w:val="000000"/>
                            <w:sz w:val="21"/>
                          </w:rPr>
                          <w:t>后轮胎规格</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245/45 R19</w:t>
                        </w:r>
                        <w:r>
                          <w:rPr>
                            <w:rFonts w:ascii="宋体" w:hAnsi="宋体" w:cs="宋体" w:eastAsia="宋体"/>
                            <w:color w:val="000000"/>
                            <w:sz w:val="22"/>
                          </w:rPr>
                          <w:t>或优于</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25</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备胎</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26</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主</w:t>
                        </w:r>
                        <w:r>
                          <w:rPr>
                            <w:rFonts w:ascii="calibri" w:hAnsi="calibri" w:cs="calibri" w:eastAsia="calibri"/>
                            <w:color w:val="000000"/>
                            <w:sz w:val="21"/>
                          </w:rPr>
                          <w:t>/</w:t>
                        </w:r>
                        <w:r>
                          <w:rPr>
                            <w:rFonts w:ascii="宋体" w:hAnsi="宋体" w:cs="宋体" w:eastAsia="宋体"/>
                            <w:color w:val="000000"/>
                            <w:sz w:val="21"/>
                          </w:rPr>
                          <w:t>副驾驶座安全气囊</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主</w:t>
                        </w:r>
                        <w:r>
                          <w:rPr>
                            <w:rFonts w:ascii="宋体" w:hAnsi="宋体" w:cs="宋体" w:eastAsia="宋体"/>
                            <w:color w:val="000000"/>
                            <w:sz w:val="22"/>
                          </w:rPr>
                          <w:t>/副</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27</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前</w:t>
                        </w:r>
                        <w:r>
                          <w:rPr>
                            <w:rFonts w:ascii="calibri" w:hAnsi="calibri" w:cs="calibri" w:eastAsia="calibri"/>
                            <w:color w:val="000000"/>
                            <w:sz w:val="21"/>
                          </w:rPr>
                          <w:t>/</w:t>
                        </w:r>
                        <w:r>
                          <w:rPr>
                            <w:rFonts w:ascii="宋体" w:hAnsi="宋体" w:cs="宋体" w:eastAsia="宋体"/>
                            <w:color w:val="000000"/>
                            <w:sz w:val="21"/>
                          </w:rPr>
                          <w:t>后排侧气囊</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前</w:t>
                        </w:r>
                        <w:r>
                          <w:rPr>
                            <w:rFonts w:ascii="宋体" w:hAnsi="宋体" w:cs="宋体" w:eastAsia="宋体"/>
                            <w:color w:val="000000"/>
                            <w:sz w:val="22"/>
                          </w:rPr>
                          <w:t>/后</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28</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前</w:t>
                        </w:r>
                        <w:r>
                          <w:rPr>
                            <w:rFonts w:ascii="calibri" w:hAnsi="calibri" w:cs="calibri" w:eastAsia="calibri"/>
                            <w:color w:val="000000"/>
                            <w:sz w:val="21"/>
                          </w:rPr>
                          <w:t>/</w:t>
                        </w:r>
                        <w:r>
                          <w:rPr>
                            <w:rFonts w:ascii="宋体" w:hAnsi="宋体" w:cs="宋体" w:eastAsia="宋体"/>
                            <w:color w:val="000000"/>
                            <w:sz w:val="21"/>
                          </w:rPr>
                          <w:t>后排头部气囊</w:t>
                        </w:r>
                        <w:r>
                          <w:rPr>
                            <w:rFonts w:ascii="calibri" w:hAnsi="calibri" w:cs="calibri" w:eastAsia="calibri"/>
                            <w:color w:val="000000"/>
                            <w:sz w:val="21"/>
                          </w:rPr>
                          <w:t>(</w:t>
                        </w:r>
                        <w:r>
                          <w:rPr>
                            <w:rFonts w:ascii="宋体" w:hAnsi="宋体" w:cs="宋体" w:eastAsia="宋体"/>
                            <w:color w:val="000000"/>
                            <w:sz w:val="21"/>
                          </w:rPr>
                          <w:t>气帘</w:t>
                        </w:r>
                        <w:r>
                          <w:rPr>
                            <w:rFonts w:ascii="calibri" w:hAnsi="calibri" w:cs="calibri" w:eastAsia="calibri"/>
                            <w:color w:val="000000"/>
                            <w:sz w:val="21"/>
                          </w:rPr>
                          <w:t>)</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前</w:t>
                        </w:r>
                        <w:r>
                          <w:rPr>
                            <w:rFonts w:ascii="宋体" w:hAnsi="宋体" w:cs="宋体" w:eastAsia="宋体"/>
                            <w:color w:val="000000"/>
                            <w:sz w:val="22"/>
                          </w:rPr>
                          <w:t>/后</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29</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膝部气囊</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30</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主驾膝部气囊</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31</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ABS</w:t>
                        </w:r>
                        <w:r>
                          <w:rPr>
                            <w:rFonts w:ascii="宋体" w:hAnsi="宋体" w:cs="宋体" w:eastAsia="宋体"/>
                            <w:color w:val="000000"/>
                            <w:sz w:val="21"/>
                          </w:rPr>
                          <w:t>防抱死</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32</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制动力分配</w:t>
                        </w:r>
                        <w:r>
                          <w:rPr>
                            <w:rFonts w:ascii="calibri" w:hAnsi="calibri" w:cs="calibri" w:eastAsia="calibri"/>
                            <w:color w:val="000000"/>
                            <w:sz w:val="21"/>
                          </w:rPr>
                          <w:t>(EBD/CBC</w:t>
                        </w:r>
                        <w:r>
                          <w:rPr>
                            <w:rFonts w:ascii="宋体" w:hAnsi="宋体" w:cs="宋体" w:eastAsia="宋体"/>
                            <w:color w:val="000000"/>
                            <w:sz w:val="21"/>
                          </w:rPr>
                          <w:t>等</w:t>
                        </w:r>
                        <w:r>
                          <w:rPr>
                            <w:rFonts w:ascii="calibri" w:hAnsi="calibri" w:cs="calibri" w:eastAsia="calibri"/>
                            <w:color w:val="000000"/>
                            <w:sz w:val="21"/>
                          </w:rPr>
                          <w:t>)</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33</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刹车辅助</w:t>
                        </w:r>
                        <w:r>
                          <w:rPr>
                            <w:rFonts w:ascii="calibri" w:hAnsi="calibri" w:cs="calibri" w:eastAsia="calibri"/>
                            <w:color w:val="000000"/>
                            <w:sz w:val="21"/>
                          </w:rPr>
                          <w:t>(EBA/BAS/BA</w:t>
                        </w:r>
                        <w:r>
                          <w:rPr>
                            <w:rFonts w:ascii="宋体" w:hAnsi="宋体" w:cs="宋体" w:eastAsia="宋体"/>
                            <w:color w:val="000000"/>
                            <w:sz w:val="21"/>
                          </w:rPr>
                          <w:t>等</w:t>
                        </w:r>
                        <w:r>
                          <w:rPr>
                            <w:rFonts w:ascii="calibri" w:hAnsi="calibri" w:cs="calibri" w:eastAsia="calibri"/>
                            <w:color w:val="000000"/>
                            <w:sz w:val="21"/>
                          </w:rPr>
                          <w:t>)</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34</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牵引力控制</w:t>
                        </w:r>
                        <w:r>
                          <w:rPr>
                            <w:rFonts w:ascii="calibri" w:hAnsi="calibri" w:cs="calibri" w:eastAsia="calibri"/>
                            <w:color w:val="000000"/>
                            <w:sz w:val="21"/>
                          </w:rPr>
                          <w:t>(ASR/TCS/TRC</w:t>
                        </w:r>
                        <w:r>
                          <w:rPr>
                            <w:rFonts w:ascii="宋体" w:hAnsi="宋体" w:cs="宋体" w:eastAsia="宋体"/>
                            <w:color w:val="000000"/>
                            <w:sz w:val="21"/>
                          </w:rPr>
                          <w:t>等</w:t>
                        </w:r>
                        <w:r>
                          <w:rPr>
                            <w:rFonts w:ascii="calibri" w:hAnsi="calibri" w:cs="calibri" w:eastAsia="calibri"/>
                            <w:color w:val="000000"/>
                            <w:sz w:val="21"/>
                          </w:rPr>
                          <w:t>)</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35</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车身稳定控制</w:t>
                        </w:r>
                        <w:r>
                          <w:rPr>
                            <w:rFonts w:ascii="calibri" w:hAnsi="calibri" w:cs="calibri" w:eastAsia="calibri"/>
                            <w:color w:val="000000"/>
                            <w:sz w:val="21"/>
                          </w:rPr>
                          <w:t>(ESC/ESP/DSC</w:t>
                        </w:r>
                        <w:r>
                          <w:rPr>
                            <w:rFonts w:ascii="宋体" w:hAnsi="宋体" w:cs="宋体" w:eastAsia="宋体"/>
                            <w:color w:val="000000"/>
                            <w:sz w:val="21"/>
                          </w:rPr>
                          <w:t>等</w:t>
                        </w:r>
                        <w:r>
                          <w:rPr>
                            <w:rFonts w:ascii="calibri" w:hAnsi="calibri" w:cs="calibri" w:eastAsia="calibri"/>
                            <w:color w:val="000000"/>
                            <w:sz w:val="21"/>
                          </w:rPr>
                          <w:t>)</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36</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胎压监测功能</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胎压显示</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37</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安全带未系提醒</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全车</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38</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1"/>
                          </w:rPr>
                          <w:t>ISOFIX</w:t>
                        </w:r>
                        <w:r>
                          <w:rPr>
                            <w:rFonts w:ascii="宋体" w:hAnsi="宋体" w:cs="宋体" w:eastAsia="宋体"/>
                            <w:color w:val="000000"/>
                            <w:sz w:val="21"/>
                          </w:rPr>
                          <w:t>儿童座椅接口</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39</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车道偏离预警系统</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40</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主动刹车</w:t>
                        </w:r>
                        <w:r>
                          <w:rPr>
                            <w:rFonts w:ascii="calibri" w:hAnsi="calibri" w:cs="calibri" w:eastAsia="calibri"/>
                            <w:color w:val="000000"/>
                            <w:sz w:val="21"/>
                          </w:rPr>
                          <w:t>/</w:t>
                        </w:r>
                        <w:r>
                          <w:rPr>
                            <w:rFonts w:ascii="宋体" w:hAnsi="宋体" w:cs="宋体" w:eastAsia="宋体"/>
                            <w:color w:val="000000"/>
                            <w:sz w:val="21"/>
                          </w:rPr>
                          <w:t>主动安全系统</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41</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DOW</w:t>
                        </w:r>
                        <w:r>
                          <w:rPr>
                            <w:rFonts w:ascii="宋体" w:hAnsi="宋体" w:cs="宋体" w:eastAsia="宋体"/>
                            <w:color w:val="000000"/>
                            <w:sz w:val="21"/>
                          </w:rPr>
                          <w:t>开门预警</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42</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前方碰撞预警</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43</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后方碰撞预警</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44</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低速行车警告</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45</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内置行车记录仪</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46</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道路救援呼叫</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47</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驾驶模式切换</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四种驾驶模式</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48</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能量回收系统</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49</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自动驻车</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50</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上坡辅助</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51</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可变悬架功能</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悬架软硬调节</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52</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前</w:t>
                        </w:r>
                        <w:r>
                          <w:rPr>
                            <w:rFonts w:ascii="calibri" w:hAnsi="calibri" w:cs="calibri" w:eastAsia="calibri"/>
                            <w:color w:val="000000"/>
                            <w:sz w:val="21"/>
                          </w:rPr>
                          <w:t>/</w:t>
                        </w:r>
                        <w:r>
                          <w:rPr>
                            <w:rFonts w:ascii="宋体" w:hAnsi="宋体" w:cs="宋体" w:eastAsia="宋体"/>
                            <w:color w:val="000000"/>
                            <w:sz w:val="21"/>
                          </w:rPr>
                          <w:t>后驻车雷达</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前</w:t>
                        </w:r>
                        <w:r>
                          <w:rPr>
                            <w:rFonts w:ascii="宋体" w:hAnsi="宋体" w:cs="宋体" w:eastAsia="宋体"/>
                            <w:color w:val="000000"/>
                            <w:sz w:val="22"/>
                          </w:rPr>
                          <w:t>/后</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53</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驾驶辅助影像</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360度全景影像</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54</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透明底盘</w:t>
                        </w:r>
                        <w:r>
                          <w:rPr>
                            <w:rFonts w:ascii="calibri" w:hAnsi="calibri" w:cs="calibri" w:eastAsia="calibri"/>
                            <w:sz w:val="21"/>
                          </w:rPr>
                          <w:t>/540</w:t>
                        </w:r>
                        <w:r>
                          <w:rPr>
                            <w:rFonts w:ascii="宋体" w:hAnsi="宋体" w:cs="宋体" w:eastAsia="宋体"/>
                            <w:sz w:val="21"/>
                          </w:rPr>
                          <w:t>度影像</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55</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前方感知摄像头</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单目</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56</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摄像头数量</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w:t>
                        </w:r>
                        <w:r>
                          <w:rPr>
                            <w:rFonts w:ascii="宋体" w:hAnsi="宋体" w:cs="宋体" w:eastAsia="宋体"/>
                            <w:color w:val="000000"/>
                            <w:sz w:val="22"/>
                          </w:rPr>
                          <w:t>4</w:t>
                        </w:r>
                        <w:r>
                          <w:rPr>
                            <w:rFonts w:ascii="宋体" w:hAnsi="宋体" w:cs="宋体" w:eastAsia="宋体"/>
                            <w:color w:val="000000"/>
                            <w:sz w:val="22"/>
                          </w:rPr>
                          <w:t>个</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57</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超声波雷达数量</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w:t>
                        </w:r>
                        <w:r>
                          <w:rPr>
                            <w:rFonts w:ascii="宋体" w:hAnsi="宋体" w:cs="宋体" w:eastAsia="宋体"/>
                            <w:color w:val="000000"/>
                            <w:sz w:val="22"/>
                          </w:rPr>
                          <w:t>7</w:t>
                        </w:r>
                        <w:r>
                          <w:rPr>
                            <w:rFonts w:ascii="宋体" w:hAnsi="宋体" w:cs="宋体" w:eastAsia="宋体"/>
                            <w:color w:val="000000"/>
                            <w:sz w:val="22"/>
                          </w:rPr>
                          <w:t>个</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58</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毫米波雷达数量</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个</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59</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巡航系统</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全速自适应巡航</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60</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辅助驾驶系统</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61</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辅助驾驶等级</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L2</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62</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倒车车侧预警系统</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63</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卫星导航系统</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64</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导航路况信息显示</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65</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并线辅助</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66</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车道保持辅助系统</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67</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车道居中保持</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68</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道路交通标识识别</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69</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遥控泊车</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70</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方向盘离手检测</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71</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轮圈材质</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铝合金</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72</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电动后备厢</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73</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车内中控锁</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74</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钥匙类型</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遥控钥匙，蓝牙钥匙，</w:t>
                        </w:r>
                        <w:r>
                          <w:rPr>
                            <w:rFonts w:ascii="宋体" w:hAnsi="宋体" w:cs="宋体" w:eastAsia="宋体"/>
                            <w:color w:val="000000"/>
                            <w:sz w:val="22"/>
                          </w:rPr>
                          <w:t>NFC/RFID钥匙</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75</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无钥匙启动系统</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76</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无钥匙进入功能</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前排</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77</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隐藏电动门把手</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78</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主动闭合式进气格栅</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79</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远程启动功能</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80</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电池预加热</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81</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对外放电</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82</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远近光灯光源</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LED</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83</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LED</w:t>
                        </w:r>
                        <w:r>
                          <w:rPr>
                            <w:rFonts w:ascii="宋体" w:hAnsi="宋体" w:cs="宋体" w:eastAsia="宋体"/>
                            <w:color w:val="000000"/>
                            <w:sz w:val="21"/>
                          </w:rPr>
                          <w:t>日间行车灯</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84</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自适应远近光</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85</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自动头灯</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86</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转向辅助灯</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87</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前大灯雨雾模式</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88</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大灯高度可调</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89</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大灯延时关闭</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90</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天窗类型</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可开启全景天窗</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91</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电动车窗</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92</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车窗一键升降功能</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全车</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93</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车窗防夹手功能</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94</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侧窗多层隔音玻璃</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前排</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95</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后排侧隐私玻璃</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96</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车内化妆镜</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主</w:t>
                        </w:r>
                        <w:r>
                          <w:rPr>
                            <w:rFonts w:ascii="宋体" w:hAnsi="宋体" w:cs="宋体" w:eastAsia="宋体"/>
                            <w:color w:val="000000"/>
                            <w:sz w:val="22"/>
                          </w:rPr>
                          <w:t>/副驾驶+照明灯</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97</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感应雨刷功能</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雨量感应式</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98</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外后视镜功能</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电动调节，电动折叠，后视镜记忆，后视镜加热，倒车自动下翻，锁车自动折叠</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99</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中控彩色屏幕</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触控液晶屏</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100</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中控屏幕尺寸</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≥15.6英寸</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101</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中控屏幕类型</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LCD</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102</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中控屏幕分辨率</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≥1920x1080</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103</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旋转大屏</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104</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中控液晶屏分屏显示</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105</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蓝牙</w:t>
                        </w:r>
                        <w:r>
                          <w:rPr>
                            <w:rFonts w:ascii="calibri" w:hAnsi="calibri" w:cs="calibri" w:eastAsia="calibri"/>
                            <w:color w:val="000000"/>
                            <w:sz w:val="21"/>
                          </w:rPr>
                          <w:t>/</w:t>
                        </w:r>
                        <w:r>
                          <w:rPr>
                            <w:rFonts w:ascii="宋体" w:hAnsi="宋体" w:cs="宋体" w:eastAsia="宋体"/>
                            <w:color w:val="000000"/>
                            <w:sz w:val="21"/>
                          </w:rPr>
                          <w:t>车载电话</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106</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语音识别控制系统</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多媒体系统，导航，电话，空调，天窗</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107</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语音免唤醒词</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108</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语音分区域唤醒识别</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四区域</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109</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语音连续识别</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110</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车载智能系统</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111</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车机系统内存</w:t>
                        </w:r>
                        <w:r>
                          <w:rPr>
                            <w:rFonts w:ascii="calibri" w:hAnsi="calibri" w:cs="calibri" w:eastAsia="calibri"/>
                            <w:color w:val="000000"/>
                            <w:sz w:val="21"/>
                          </w:rPr>
                          <w:t>(GB)</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≥12</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112</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车机系统存储</w:t>
                        </w:r>
                        <w:r>
                          <w:rPr>
                            <w:rFonts w:ascii="calibri" w:hAnsi="calibri" w:cs="calibri" w:eastAsia="calibri"/>
                            <w:color w:val="000000"/>
                            <w:sz w:val="21"/>
                          </w:rPr>
                          <w:t>(GB)</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≥256</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113</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车联网</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114</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4G/5G</w:t>
                        </w:r>
                        <w:r>
                          <w:rPr>
                            <w:rFonts w:ascii="宋体" w:hAnsi="宋体" w:cs="宋体" w:eastAsia="宋体"/>
                            <w:color w:val="000000"/>
                            <w:sz w:val="21"/>
                          </w:rPr>
                          <w:t>网络</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5G</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115</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OTA</w:t>
                        </w:r>
                        <w:r>
                          <w:rPr>
                            <w:rFonts w:ascii="宋体" w:hAnsi="宋体" w:cs="宋体" w:eastAsia="宋体"/>
                            <w:color w:val="000000"/>
                            <w:sz w:val="21"/>
                          </w:rPr>
                          <w:t>升级</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116</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Wi-Fi</w:t>
                        </w:r>
                        <w:r>
                          <w:rPr>
                            <w:rFonts w:ascii="宋体" w:hAnsi="宋体" w:cs="宋体" w:eastAsia="宋体"/>
                            <w:color w:val="000000"/>
                            <w:sz w:val="21"/>
                          </w:rPr>
                          <w:t>热点</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117</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手机</w:t>
                        </w:r>
                        <w:r>
                          <w:rPr>
                            <w:rFonts w:ascii="calibri" w:hAnsi="calibri" w:cs="calibri" w:eastAsia="calibri"/>
                            <w:color w:val="000000"/>
                            <w:sz w:val="21"/>
                          </w:rPr>
                          <w:t>APP</w:t>
                        </w:r>
                        <w:r>
                          <w:rPr>
                            <w:rFonts w:ascii="宋体" w:hAnsi="宋体" w:cs="宋体" w:eastAsia="宋体"/>
                            <w:color w:val="000000"/>
                            <w:sz w:val="21"/>
                          </w:rPr>
                          <w:t>远程功能</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车门控制，车窗控制，车辆启动，充电管理，空调控制，车况查询</w:t>
                        </w:r>
                        <w:r>
                          <w:rPr>
                            <w:rFonts w:ascii="宋体" w:hAnsi="宋体" w:cs="宋体" w:eastAsia="宋体"/>
                            <w:color w:val="000000"/>
                            <w:sz w:val="22"/>
                          </w:rPr>
                          <w:t>/诊断，车辆定位/寻车</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118</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方向盘位置调节</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手动上下</w:t>
                        </w:r>
                        <w:r>
                          <w:rPr>
                            <w:rFonts w:ascii="宋体" w:hAnsi="宋体" w:cs="宋体" w:eastAsia="宋体"/>
                            <w:color w:val="000000"/>
                            <w:sz w:val="22"/>
                          </w:rPr>
                          <w:t>+前后调节</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119</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换挡形式</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电子挡把换挡</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120</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多功能方向盘</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121</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方向盘加热</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122</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行车电脑显示屏幕</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彩色</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123</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全液晶仪表盘</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124</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液晶仪表尺寸</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≥12.3英寸</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125</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仪表盘屏幕材质</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LCD</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126</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内后视镜功能</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手动防眩目</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127</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多媒体</w:t>
                        </w:r>
                        <w:r>
                          <w:rPr>
                            <w:rFonts w:ascii="calibri" w:hAnsi="calibri" w:cs="calibri" w:eastAsia="calibri"/>
                            <w:color w:val="000000"/>
                            <w:sz w:val="21"/>
                          </w:rPr>
                          <w:t>/</w:t>
                        </w:r>
                        <w:r>
                          <w:rPr>
                            <w:rFonts w:ascii="宋体" w:hAnsi="宋体" w:cs="宋体" w:eastAsia="宋体"/>
                            <w:color w:val="000000"/>
                            <w:sz w:val="21"/>
                          </w:rPr>
                          <w:t>充电接口</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USB，SD，Type-C</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128</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USB/Type-C</w:t>
                        </w:r>
                        <w:r>
                          <w:rPr>
                            <w:rFonts w:ascii="宋体" w:hAnsi="宋体" w:cs="宋体" w:eastAsia="宋体"/>
                            <w:color w:val="000000"/>
                            <w:sz w:val="21"/>
                          </w:rPr>
                          <w:t>接口数量</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前排</w:t>
                        </w:r>
                        <w:r>
                          <w:rPr>
                            <w:rFonts w:ascii="宋体" w:hAnsi="宋体" w:cs="宋体" w:eastAsia="宋体"/>
                            <w:color w:val="000000"/>
                            <w:sz w:val="22"/>
                          </w:rPr>
                          <w:t>≥4个/后排≥2个</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129</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color w:val="000000"/>
                            <w:sz w:val="21"/>
                          </w:rPr>
                          <w:t>USB/Type-C</w:t>
                        </w:r>
                        <w:r>
                          <w:rPr>
                            <w:rFonts w:ascii="宋体" w:hAnsi="宋体" w:cs="宋体" w:eastAsia="宋体"/>
                            <w:color w:val="000000"/>
                            <w:sz w:val="21"/>
                          </w:rPr>
                          <w:t>最大充电功率</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≥60W</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130</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手机无线充电功能</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前排</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131</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手机无线充电功率</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≥50W</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132</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座椅材质</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仿皮</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133</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主座椅调节方式</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前后调节，靠背调节，高低调节</w:t>
                        </w:r>
                        <w:r>
                          <w:rPr>
                            <w:rFonts w:ascii="宋体" w:hAnsi="宋体" w:cs="宋体" w:eastAsia="宋体"/>
                            <w:color w:val="000000"/>
                            <w:sz w:val="22"/>
                          </w:rPr>
                          <w:t>(4向)，腰部支撑(4向)</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134</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副座椅调节方式</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前后调节，靠背调节，高低调节</w:t>
                        </w:r>
                        <w:r>
                          <w:rPr>
                            <w:rFonts w:ascii="宋体" w:hAnsi="宋体" w:cs="宋体" w:eastAsia="宋体"/>
                            <w:color w:val="000000"/>
                            <w:sz w:val="22"/>
                          </w:rPr>
                          <w:t>(2向)，腰部支撑(4向)</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135</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主</w:t>
                        </w:r>
                        <w:r>
                          <w:rPr>
                            <w:rFonts w:ascii="calibri" w:hAnsi="calibri" w:cs="calibri" w:eastAsia="calibri"/>
                            <w:color w:val="000000"/>
                            <w:sz w:val="21"/>
                          </w:rPr>
                          <w:t>/</w:t>
                        </w:r>
                        <w:r>
                          <w:rPr>
                            <w:rFonts w:ascii="宋体" w:hAnsi="宋体" w:cs="宋体" w:eastAsia="宋体"/>
                            <w:color w:val="000000"/>
                            <w:sz w:val="21"/>
                          </w:rPr>
                          <w:t>副驾驶座电动调节</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主</w:t>
                        </w:r>
                        <w:r>
                          <w:rPr>
                            <w:rFonts w:ascii="宋体" w:hAnsi="宋体" w:cs="宋体" w:eastAsia="宋体"/>
                            <w:color w:val="000000"/>
                            <w:sz w:val="22"/>
                          </w:rPr>
                          <w:t>/ 副</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136</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前排座椅功能</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加热，通风</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137</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电动座椅记忆功能</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驾驶位</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138</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副驾驶位后排可调节按钮</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139</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前</w:t>
                        </w:r>
                        <w:r>
                          <w:rPr>
                            <w:rFonts w:ascii="calibri" w:hAnsi="calibri" w:cs="calibri" w:eastAsia="calibri"/>
                            <w:color w:val="000000"/>
                            <w:sz w:val="21"/>
                          </w:rPr>
                          <w:t>/</w:t>
                        </w:r>
                        <w:r>
                          <w:rPr>
                            <w:rFonts w:ascii="宋体" w:hAnsi="宋体" w:cs="宋体" w:eastAsia="宋体"/>
                            <w:color w:val="000000"/>
                            <w:sz w:val="21"/>
                          </w:rPr>
                          <w:t>后中央扶手</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前</w:t>
                        </w:r>
                        <w:r>
                          <w:rPr>
                            <w:rFonts w:ascii="宋体" w:hAnsi="宋体" w:cs="宋体" w:eastAsia="宋体"/>
                            <w:color w:val="000000"/>
                            <w:sz w:val="22"/>
                          </w:rPr>
                          <w:t>/ 后</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140</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后排杯架</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141</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扬声器数量</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≥8喇叭</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142</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触摸式阅读灯</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143</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车内环境氛围灯</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多色</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144</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空调温度控制方式</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自动空调</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145</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热泵空调</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146</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后排独立空调</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147</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后座出风口</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148</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温度分区控制</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149</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车载空气净化器</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150</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车内</w:t>
                        </w:r>
                        <w:r>
                          <w:rPr>
                            <w:rFonts w:ascii="calibri" w:hAnsi="calibri" w:cs="calibri" w:eastAsia="calibri"/>
                            <w:color w:val="000000"/>
                            <w:sz w:val="21"/>
                          </w:rPr>
                          <w:t>PM2.5</w:t>
                        </w:r>
                        <w:r>
                          <w:rPr>
                            <w:rFonts w:ascii="宋体" w:hAnsi="宋体" w:cs="宋体" w:eastAsia="宋体"/>
                            <w:color w:val="000000"/>
                            <w:sz w:val="21"/>
                          </w:rPr>
                          <w:t>过滤装置</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151</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负离子发生器</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w:t>
                        </w:r>
                        <w:r>
                          <w:rPr>
                            <w:rFonts w:ascii="宋体" w:hAnsi="宋体" w:cs="宋体" w:eastAsia="宋体"/>
                            <w:color w:val="000000"/>
                            <w:sz w:val="22"/>
                          </w:rPr>
                          <w:t>152</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空气质量监测</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具备</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rPr>
                          <w:t>★</w:t>
                        </w:r>
                        <w:r>
                          <w:rPr>
                            <w:rFonts w:ascii="宋体" w:hAnsi="宋体" w:cs="宋体" w:eastAsia="宋体"/>
                            <w:color w:val="000000"/>
                            <w:sz w:val="22"/>
                          </w:rPr>
                          <w:t>153</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1"/>
                          </w:rPr>
                          <w:t>颜色</w:t>
                        </w:r>
                      </w:p>
                    </w:tc>
                    <w:tc>
                      <w:tcPr>
                        <w:tcW w:type="dxa" w:w="1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白色</w:t>
                        </w:r>
                      </w:p>
                    </w:tc>
                  </w:tr>
                </w:tbl>
                <w:p>
                  <w:pPr>
                    <w:pStyle w:val="null3"/>
                    <w:spacing w:before="150"/>
                    <w:ind w:firstLine="210"/>
                    <w:jc w:val="both"/>
                  </w:pPr>
                </w:p>
              </w:tc>
            </w:tr>
          </w:tbl>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 xml:space="preserve"> 序号</w:t>
            </w:r>
          </w:p>
        </w:tc>
        <w:tc>
          <w:tcPr>
            <w:tcW w:type="dxa" w:w="581"/>
          </w:tcPr>
          <w:p>
            <w:pPr>
              <w:pStyle w:val="null3"/>
              <w:jc w:val="center"/>
            </w:pPr>
            <w:r>
              <w:rPr/>
              <w:t xml:space="preserve"> 符号标识</w:t>
            </w:r>
          </w:p>
        </w:tc>
        <w:tc>
          <w:tcPr>
            <w:tcW w:type="dxa" w:w="1495"/>
          </w:tcPr>
          <w:p>
            <w:pPr>
              <w:pStyle w:val="null3"/>
              <w:jc w:val="center"/>
            </w:pPr>
            <w:r>
              <w:rPr/>
              <w:t xml:space="preserve"> 服务要求名称</w:t>
            </w:r>
          </w:p>
        </w:tc>
        <w:tc>
          <w:tcPr>
            <w:tcW w:type="dxa" w:w="5814"/>
          </w:tcPr>
          <w:p>
            <w:pPr>
              <w:pStyle w:val="null3"/>
              <w:jc w:val="center"/>
            </w:pPr>
            <w:r>
              <w:rPr/>
              <w:t xml:space="preserve"> 服务要求内容</w:t>
            </w:r>
          </w:p>
        </w:tc>
      </w:tr>
      <w:tr>
        <w:tc>
          <w:tcPr>
            <w:tcW w:type="dxa" w:w="8305"/>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商务要求名称</w:t>
            </w:r>
          </w:p>
        </w:tc>
        <w:tc>
          <w:tcPr>
            <w:tcW w:type="dxa" w:w="5814"/>
          </w:tcPr>
          <w:p>
            <w:pPr>
              <w:pStyle w:val="null3"/>
              <w:jc w:val="center"/>
            </w:pPr>
            <w:r>
              <w:rPr/>
              <w:t>商务要求内容</w:t>
            </w:r>
          </w:p>
        </w:tc>
      </w:tr>
      <w:tr>
        <w:tc>
          <w:tcPr>
            <w:tcW w:type="dxa" w:w="415"/>
          </w:tcPr>
          <w:p>
            <w:pPr>
              <w:pStyle w:val="null3"/>
              <w:jc w:val="center"/>
            </w:pPr>
            <w:r>
              <w:rPr/>
              <w:t>1</w:t>
            </w:r>
          </w:p>
        </w:tc>
        <w:tc>
          <w:tcPr>
            <w:tcW w:type="dxa" w:w="581"/>
          </w:tcPr>
          <w:p>
            <w:pPr>
              <w:pStyle w:val="null3"/>
              <w:jc w:val="center"/>
            </w:pPr>
            <w:r>
              <w:rPr/>
              <w:t>★</w:t>
            </w:r>
          </w:p>
        </w:tc>
        <w:tc>
          <w:tcPr>
            <w:tcW w:type="dxa" w:w="1495"/>
          </w:tcPr>
          <w:p>
            <w:pPr>
              <w:pStyle w:val="null3"/>
              <w:jc w:val="left"/>
            </w:pPr>
            <w:r>
              <w:rPr/>
              <w:t>交货时间</w:t>
            </w:r>
          </w:p>
        </w:tc>
        <w:tc>
          <w:tcPr>
            <w:tcW w:type="dxa" w:w="5814"/>
          </w:tcPr>
          <w:p>
            <w:pPr>
              <w:pStyle w:val="null3"/>
              <w:jc w:val="left"/>
            </w:pPr>
            <w:r>
              <w:rPr/>
              <w:t>自合同签订之日起10日</w:t>
            </w:r>
          </w:p>
        </w:tc>
      </w:tr>
      <w:tr>
        <w:tc>
          <w:tcPr>
            <w:tcW w:type="dxa" w:w="415"/>
          </w:tcPr>
          <w:p>
            <w:pPr>
              <w:pStyle w:val="null3"/>
              <w:jc w:val="center"/>
            </w:pPr>
            <w:r>
              <w:rPr/>
              <w:t>2</w:t>
            </w:r>
          </w:p>
        </w:tc>
        <w:tc>
          <w:tcPr>
            <w:tcW w:type="dxa" w:w="581"/>
          </w:tcPr>
          <w:p>
            <w:pPr>
              <w:pStyle w:val="null3"/>
              <w:jc w:val="center"/>
            </w:pPr>
            <w:r>
              <w:rPr/>
              <w:t>★</w:t>
            </w:r>
          </w:p>
        </w:tc>
        <w:tc>
          <w:tcPr>
            <w:tcW w:type="dxa" w:w="1495"/>
          </w:tcPr>
          <w:p>
            <w:pPr>
              <w:pStyle w:val="null3"/>
              <w:jc w:val="left"/>
            </w:pPr>
            <w:r>
              <w:rPr/>
              <w:t>交货地点</w:t>
            </w:r>
          </w:p>
        </w:tc>
        <w:tc>
          <w:tcPr>
            <w:tcW w:type="dxa" w:w="5814"/>
          </w:tcPr>
          <w:p>
            <w:pPr>
              <w:pStyle w:val="null3"/>
              <w:jc w:val="left"/>
            </w:pPr>
            <w:r>
              <w:rPr/>
              <w:t>采购人指定地点</w:t>
            </w:r>
          </w:p>
        </w:tc>
      </w:tr>
      <w:tr>
        <w:tc>
          <w:tcPr>
            <w:tcW w:type="dxa" w:w="415"/>
          </w:tcPr>
          <w:p>
            <w:pPr>
              <w:pStyle w:val="null3"/>
              <w:jc w:val="center"/>
            </w:pPr>
            <w:r>
              <w:rPr/>
              <w:t>3</w:t>
            </w:r>
          </w:p>
        </w:tc>
        <w:tc>
          <w:tcPr>
            <w:tcW w:type="dxa" w:w="581"/>
          </w:tcPr>
          <w:p>
            <w:pPr>
              <w:pStyle w:val="null3"/>
              <w:jc w:val="center"/>
            </w:pPr>
            <w:r>
              <w:rPr/>
              <w:t>★</w:t>
            </w:r>
          </w:p>
        </w:tc>
        <w:tc>
          <w:tcPr>
            <w:tcW w:type="dxa" w:w="1495"/>
          </w:tcPr>
          <w:p>
            <w:pPr>
              <w:pStyle w:val="null3"/>
              <w:jc w:val="left"/>
            </w:pPr>
            <w:r>
              <w:rPr/>
              <w:t>支付方式</w:t>
            </w:r>
          </w:p>
        </w:tc>
        <w:tc>
          <w:tcPr>
            <w:tcW w:type="dxa" w:w="5814"/>
          </w:tcPr>
          <w:p>
            <w:pPr>
              <w:pStyle w:val="null3"/>
              <w:jc w:val="left"/>
            </w:pPr>
            <w:r>
              <w:rPr/>
              <w:t>分期付款</w:t>
            </w:r>
          </w:p>
        </w:tc>
      </w:tr>
      <w:tr>
        <w:tc>
          <w:tcPr>
            <w:tcW w:type="dxa" w:w="415"/>
          </w:tcPr>
          <w:p>
            <w:pPr>
              <w:pStyle w:val="null3"/>
              <w:jc w:val="center"/>
            </w:pPr>
            <w:r>
              <w:rPr/>
              <w:t>4</w:t>
            </w:r>
          </w:p>
        </w:tc>
        <w:tc>
          <w:tcPr>
            <w:tcW w:type="dxa" w:w="581"/>
          </w:tcPr>
          <w:p>
            <w:pPr>
              <w:pStyle w:val="null3"/>
              <w:jc w:val="center"/>
            </w:pPr>
            <w:r>
              <w:rPr/>
              <w:t>★</w:t>
            </w:r>
          </w:p>
        </w:tc>
        <w:tc>
          <w:tcPr>
            <w:tcW w:type="dxa" w:w="1495"/>
          </w:tcPr>
          <w:p>
            <w:pPr>
              <w:pStyle w:val="null3"/>
              <w:jc w:val="left"/>
            </w:pPr>
            <w:r>
              <w:rPr/>
              <w:t>付款进度安排</w:t>
            </w:r>
          </w:p>
        </w:tc>
        <w:tc>
          <w:tcPr>
            <w:tcW w:type="dxa" w:w="5814"/>
          </w:tcPr>
          <w:p>
            <w:pPr>
              <w:pStyle w:val="null3"/>
              <w:jc w:val="left"/>
            </w:pPr>
            <w:r>
              <w:rPr/>
              <w:t>1、自政府采购合同生效并具备实施条件后支付预付款，达到付款条件起7日内，支付合同总金额的40.00%</w:t>
            </w:r>
          </w:p>
          <w:p>
            <w:pPr>
              <w:pStyle w:val="null3"/>
              <w:jc w:val="left"/>
            </w:pPr>
            <w:r>
              <w:rPr/>
              <w:t>2、货物验收合格且收到成交供应商等额有效的发票和凭证资料后，达到付款条件起30日内，支付合同总金额的60.00%</w:t>
            </w:r>
          </w:p>
        </w:tc>
      </w:tr>
      <w:tr>
        <w:tc>
          <w:tcPr>
            <w:tcW w:type="dxa" w:w="415"/>
          </w:tcPr>
          <w:p>
            <w:pPr>
              <w:pStyle w:val="null3"/>
              <w:jc w:val="center"/>
            </w:pPr>
            <w:r>
              <w:rPr/>
              <w:t>5</w:t>
            </w:r>
          </w:p>
        </w:tc>
        <w:tc>
          <w:tcPr>
            <w:tcW w:type="dxa" w:w="581"/>
          </w:tcPr>
          <w:p>
            <w:pPr>
              <w:pStyle w:val="null3"/>
              <w:jc w:val="center"/>
            </w:pPr>
            <w:r>
              <w:rPr/>
              <w:t>★</w:t>
            </w:r>
          </w:p>
        </w:tc>
        <w:tc>
          <w:tcPr>
            <w:tcW w:type="dxa" w:w="1495"/>
          </w:tcPr>
          <w:p>
            <w:pPr>
              <w:pStyle w:val="null3"/>
              <w:jc w:val="left"/>
            </w:pPr>
            <w:r>
              <w:rPr/>
              <w:t>验收、交付标准和方法</w:t>
            </w:r>
          </w:p>
        </w:tc>
        <w:tc>
          <w:tcPr>
            <w:tcW w:type="dxa" w:w="5814"/>
          </w:tcPr>
          <w:p>
            <w:pPr>
              <w:pStyle w:val="null3"/>
              <w:jc w:val="left"/>
            </w:pPr>
            <w:r>
              <w:rPr/>
              <w:t>（1）严格按照《财政部关于进一步加强政府采购需求和履约验收管理的指导意见》(财库〔2016〕205号)、《政府采购需求管理办法》（财库〔2021〕22号）相关要求进行验收。 （2）由采购人组织履约验收小组，开展项目验收工作，达到国家相关标准、行业标准、地方标准或者其他标准、规范要求，按照《询价通知书》、成交供应商《响应文件》和双方签订的《政府采购合同》，审查项目资料完备性、规范性情况，审查项目履行合同、《询价通知书》和《响应文件》情况，审查所有材料质量、性能、安全性以及各项技术指标完成情况，对供应商履约情况进行验收，出具验收报告。</w:t>
            </w:r>
          </w:p>
        </w:tc>
      </w:tr>
      <w:tr>
        <w:tc>
          <w:tcPr>
            <w:tcW w:type="dxa" w:w="415"/>
          </w:tcPr>
          <w:p>
            <w:pPr>
              <w:pStyle w:val="null3"/>
              <w:jc w:val="center"/>
            </w:pPr>
            <w:r>
              <w:rPr/>
              <w:t>6</w:t>
            </w:r>
          </w:p>
        </w:tc>
        <w:tc>
          <w:tcPr>
            <w:tcW w:type="dxa" w:w="581"/>
          </w:tcPr>
          <w:p>
            <w:pPr>
              <w:pStyle w:val="null3"/>
              <w:jc w:val="center"/>
            </w:pPr>
            <w:r>
              <w:rPr/>
              <w:t>★</w:t>
            </w:r>
          </w:p>
        </w:tc>
        <w:tc>
          <w:tcPr>
            <w:tcW w:type="dxa" w:w="1495"/>
          </w:tcPr>
          <w:p>
            <w:pPr>
              <w:pStyle w:val="null3"/>
              <w:jc w:val="left"/>
            </w:pPr>
            <w:r>
              <w:rPr/>
              <w:t>质量保修范围和保修期</w:t>
            </w:r>
          </w:p>
        </w:tc>
        <w:tc>
          <w:tcPr>
            <w:tcW w:type="dxa" w:w="5814"/>
          </w:tcPr>
          <w:p>
            <w:pPr>
              <w:pStyle w:val="null3"/>
              <w:jc w:val="left"/>
            </w:pPr>
            <w:r>
              <w:rPr/>
              <w:t>（1）执勤执法车（皮卡）质保期：自验收合格之日起整车3年或10万公里（以先达到者为准）。执勤执法车（新能源轿车）质保期：自验收合格之日整车6年或15万公里（以先达到者为准），三电系统首任车主不限年限/里程（每年里程不超过3.5万公里）；若超过3.5万公里/年或过户车主，三电质保为10年30万公里（以先达到者为准）。供应商应按照保养手册进行质保，严格按照《三包法》履行三包义务。 （2）质保期内车辆如产生非人为损坏成交供应商应及时维修，如需更换零配件，成交供应商需积极更换，应保证所更换的零配件与原设备相同规格和品质。</w:t>
            </w:r>
          </w:p>
        </w:tc>
      </w:tr>
      <w:tr>
        <w:tc>
          <w:tcPr>
            <w:tcW w:type="dxa" w:w="415"/>
          </w:tcPr>
          <w:p>
            <w:pPr>
              <w:pStyle w:val="null3"/>
              <w:jc w:val="center"/>
            </w:pPr>
            <w:r>
              <w:rPr/>
              <w:t>7</w:t>
            </w:r>
          </w:p>
        </w:tc>
        <w:tc>
          <w:tcPr>
            <w:tcW w:type="dxa" w:w="581"/>
          </w:tcPr>
          <w:p>
            <w:pPr>
              <w:pStyle w:val="null3"/>
              <w:jc w:val="center"/>
            </w:pPr>
            <w:r>
              <w:rPr/>
              <w:t>★</w:t>
            </w:r>
          </w:p>
        </w:tc>
        <w:tc>
          <w:tcPr>
            <w:tcW w:type="dxa" w:w="1495"/>
          </w:tcPr>
          <w:p>
            <w:pPr>
              <w:pStyle w:val="null3"/>
              <w:jc w:val="left"/>
            </w:pPr>
            <w:r>
              <w:rPr/>
              <w:t>违约责任与解决争议的方法</w:t>
            </w:r>
          </w:p>
        </w:tc>
        <w:tc>
          <w:tcPr>
            <w:tcW w:type="dxa" w:w="5814"/>
          </w:tcPr>
          <w:p>
            <w:pPr>
              <w:pStyle w:val="null3"/>
              <w:jc w:val="left"/>
            </w:pPr>
            <w:r>
              <w:rPr/>
              <w:t>违约责任 （1）采购人、供应商双方必须遵守合同并执行合同中的各项规定，保证合同的正常履行。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（3）因货物的质量问题发生争议，由质量技术监督部门或其指定的质量鉴定机构进行质量鉴定。货物符合标准的，鉴定费由采购人承担；货物不符合质量标准的，鉴定费由供应商承担。 （4）供应商必须遵守采购合同按时完成合同相关工作，若由于供应商原因导致合同迟延履行，供应商应承担采购合同中约定的相关责任。 （5）供应商应当遵守采购人的相关项目需求及相关技术要求及实质性条款，若供应商瑕疵履行采购合同，采购人有权向供应商要求赔偿合同总价款20%的违约金，若造成相关损失的，采购人有权要求供应商承担所有赔偿责任。 争议解决办法 （1）在合同执行过程中，因本合同引起的或与合同有关的任何争议，由双方当事人协商解决，也可以向有关部门申请调解。协商或调解不成的，当事人可以向合同履行地人民法院提起诉讼。 （2）法院判决，对双方具有同等约束力。 （3）上述过程发生的费用(诉讼费、保全费、胜诉方律师代理费等)由败诉方承担。 （4）在法院诉讼期间，除提交法院审理的事项外，合同其他部分仍然继续履行。</w:t>
            </w:r>
          </w:p>
        </w:tc>
      </w:tr>
      <w:tr>
        <w:tc>
          <w:tcPr>
            <w:tcW w:type="dxa" w:w="415"/>
          </w:tcPr>
          <w:p>
            <w:pPr>
              <w:pStyle w:val="null3"/>
              <w:jc w:val="center"/>
            </w:pPr>
            <w:r>
              <w:rPr/>
              <w:t>8</w:t>
            </w:r>
          </w:p>
        </w:tc>
        <w:tc>
          <w:tcPr>
            <w:tcW w:type="dxa" w:w="581"/>
          </w:tcPr>
          <w:p>
            <w:pPr>
              <w:pStyle w:val="null3"/>
              <w:jc w:val="center"/>
            </w:pPr>
            <w:r>
              <w:rPr/>
              <w:t>★</w:t>
            </w:r>
          </w:p>
        </w:tc>
        <w:tc>
          <w:tcPr>
            <w:tcW w:type="dxa" w:w="1495"/>
          </w:tcPr>
          <w:p>
            <w:pPr>
              <w:pStyle w:val="null3"/>
              <w:jc w:val="left"/>
            </w:pPr>
            <w:r>
              <w:rPr/>
              <w:t>包装方式及运输</w:t>
            </w:r>
          </w:p>
        </w:tc>
        <w:tc>
          <w:tcPr>
            <w:tcW w:type="dxa" w:w="5814"/>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无</w:t>
      </w:r>
    </w:p>
    <w:p>
      <w:pPr>
        <w:pStyle w:val="null3"/>
      </w:pPr>
      <w:r>
        <w:rPr/>
        <w:t xml:space="preserve"> </w:t>
        <w:br/>
        <w:br w:type="page"/>
      </w:r>
    </w:p>
    <w:p>
      <w:pPr>
        <w:pStyle w:val="null3"/>
        <w:jc w:val="center"/>
        <w:outlineLvl w:val="1"/>
      </w:pPr>
      <w:r>
        <w:rPr>
          <w:b/>
          <w:sz w:val="36"/>
        </w:rPr>
        <w:t>第四章 评审办法</w:t>
      </w:r>
    </w:p>
    <w:p>
      <w:pPr>
        <w:pStyle w:val="null3"/>
        <w:jc w:val="left"/>
        <w:outlineLvl w:val="2"/>
      </w:pPr>
      <w:r>
        <w:rPr>
          <w:b/>
          <w:sz w:val="28"/>
        </w:rPr>
        <w:t>4.1.总则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t>二、评审工作由代理机构组织，具体评审事务由依法组建的询价小组负责，询价小组由采购人代表和评审专家组成。</w:t>
      </w:r>
    </w:p>
    <w:p>
      <w:pPr>
        <w:pStyle w:val="null3"/>
        <w:ind w:firstLine="480"/>
        <w:jc w:val="left"/>
      </w:pPr>
      <w:r>
        <w:rPr/>
        <w:t>三、评审工作应遵循客观、公正、审慎的原则，根据询价通知书规定的评审程序、评审方法和评审标准进行独立评审。</w:t>
      </w:r>
    </w:p>
    <w:p>
      <w:pPr>
        <w:pStyle w:val="null3"/>
        <w:ind w:firstLine="480"/>
        <w:jc w:val="left"/>
      </w:pPr>
      <w:r>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4.2.询价小组</w:t>
      </w:r>
    </w:p>
    <w:p>
      <w:pPr>
        <w:pStyle w:val="null3"/>
        <w:ind w:firstLine="480"/>
        <w:jc w:val="left"/>
      </w:pPr>
      <w:r>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t>三、询价小组成员获取解密后的响应文件，开展评审活动。出现评审专家请假、回避等情况时，采购人或者代理机构按规定申请补充抽取评审专家。无法及时补充抽取的，采购人或者代理机构应当封存供应商响应文件，按规定重新组建询价小组，解封响应文件后，开展评审活动。</w:t>
      </w:r>
    </w:p>
    <w:p>
      <w:pPr>
        <w:pStyle w:val="null3"/>
        <w:ind w:firstLine="480"/>
        <w:jc w:val="left"/>
      </w:pPr>
      <w:r>
        <w:rPr/>
        <w:t>四、询价小组应当履行下列职责：</w:t>
      </w:r>
    </w:p>
    <w:p>
      <w:pPr>
        <w:pStyle w:val="null3"/>
        <w:ind w:firstLine="480"/>
        <w:jc w:val="left"/>
      </w:pPr>
      <w:r>
        <w:rPr/>
        <w:t>（一）熟悉和理解询价通知书；</w:t>
      </w:r>
    </w:p>
    <w:p>
      <w:pPr>
        <w:pStyle w:val="null3"/>
        <w:ind w:firstLine="480"/>
        <w:jc w:val="left"/>
      </w:pPr>
      <w:r>
        <w:rPr/>
        <w:t>（二）审查、评价供应商响应文件等是否满足询价通知书要求；</w:t>
      </w:r>
    </w:p>
    <w:p>
      <w:pPr>
        <w:pStyle w:val="null3"/>
        <w:ind w:firstLine="480"/>
        <w:jc w:val="left"/>
      </w:pPr>
      <w:r>
        <w:rPr/>
        <w:t>（三）对响应文件进行比较和评价；</w:t>
      </w:r>
    </w:p>
    <w:p>
      <w:pPr>
        <w:pStyle w:val="null3"/>
        <w:ind w:firstLine="480"/>
        <w:jc w:val="left"/>
      </w:pPr>
      <w:r>
        <w:rPr/>
        <w:t>（四）根据需要要求采购人、代理机构对询价通知书作出解释；根据需要要求供应商对响应文件有关事项作出澄清、说明或者更正；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（六）起草资格审查报告、询价报告并进行签署；</w:t>
      </w:r>
    </w:p>
    <w:p>
      <w:pPr>
        <w:pStyle w:val="null3"/>
        <w:ind w:firstLine="480"/>
        <w:jc w:val="left"/>
      </w:pPr>
      <w:r>
        <w:rPr/>
        <w:t>（七）向采购人、代理机构或者有关部门报告协商中发现的违法行为；</w:t>
      </w:r>
    </w:p>
    <w:p>
      <w:pPr>
        <w:pStyle w:val="null3"/>
        <w:ind w:firstLine="480"/>
        <w:jc w:val="left"/>
      </w:pPr>
      <w:r>
        <w:rPr/>
        <w:t>（八）按规定告知供应商，未实质性响应询价通知书的响应文件按无效响应处理；</w:t>
      </w:r>
    </w:p>
    <w:p>
      <w:pPr>
        <w:pStyle w:val="null3"/>
        <w:ind w:firstLine="480"/>
        <w:jc w:val="left"/>
      </w:pPr>
      <w:r>
        <w:rPr/>
        <w:t>（九）法律、法规和规章规定的其他职责。</w:t>
      </w:r>
    </w:p>
    <w:p>
      <w:pPr>
        <w:pStyle w:val="null3"/>
        <w:jc w:val="left"/>
        <w:outlineLvl w:val="2"/>
      </w:pPr>
      <w:r>
        <w:rPr>
          <w:b/>
          <w:sz w:val="28"/>
        </w:rPr>
        <w:t>4.3.评审程序</w:t>
      </w:r>
    </w:p>
    <w:p>
      <w:pPr>
        <w:pStyle w:val="null3"/>
        <w:jc w:val="left"/>
        <w:outlineLvl w:val="3"/>
      </w:pPr>
      <w:r>
        <w:rPr>
          <w:b/>
          <w:sz w:val="24"/>
        </w:rPr>
        <w:t>4.3.1.熟悉和理解询价通知书</w:t>
      </w:r>
    </w:p>
    <w:p>
      <w:pPr>
        <w:pStyle w:val="null3"/>
        <w:ind w:firstLine="480"/>
        <w:jc w:val="left"/>
      </w:pPr>
      <w:r>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b/>
          <w:sz w:val="24"/>
        </w:rPr>
        <w:t>4.3.2.停止评审的情形</w:t>
      </w:r>
    </w:p>
    <w:p>
      <w:pPr>
        <w:pStyle w:val="null3"/>
        <w:ind w:firstLine="480"/>
        <w:jc w:val="left"/>
      </w:pPr>
      <w:r>
        <w:rPr/>
        <w:t>询价小组熟悉和理解询价通知书以及评审过程中，发现本询价通知书有下列情形之一的，询价小组应当停止评审：</w:t>
      </w:r>
    </w:p>
    <w:p>
      <w:pPr>
        <w:pStyle w:val="null3"/>
        <w:ind w:firstLine="480"/>
        <w:jc w:val="left"/>
      </w:pPr>
      <w:r>
        <w:rPr/>
        <w:t>一、询价通知书的规定存在歧义、重大缺陷，导致评审工作无法进行的；</w:t>
      </w:r>
    </w:p>
    <w:p>
      <w:pPr>
        <w:pStyle w:val="null3"/>
        <w:ind w:firstLine="480"/>
        <w:jc w:val="left"/>
      </w:pPr>
      <w:r>
        <w:rPr/>
        <w:t>二、询价通知书明显以不合理条件对供应商实行差别待遇或者歧视待遇的；</w:t>
      </w:r>
    </w:p>
    <w:p>
      <w:pPr>
        <w:pStyle w:val="null3"/>
        <w:ind w:firstLine="480"/>
        <w:jc w:val="left"/>
      </w:pPr>
      <w:r>
        <w:rPr/>
        <w:t>三、采购项目属于国家规定的优先、强制采购范围，但是询价通知书未依法体现优先、强制采购相关规定的；</w:t>
      </w:r>
    </w:p>
    <w:p>
      <w:pPr>
        <w:pStyle w:val="null3"/>
        <w:ind w:firstLine="480"/>
        <w:jc w:val="left"/>
      </w:pPr>
      <w:r>
        <w:rPr/>
        <w:t>四、采购项目属于政府采购促进中小企业发展的范围，但是询价通知书未依法体现促进中小企业发展相关规定的；</w:t>
      </w:r>
    </w:p>
    <w:p>
      <w:pPr>
        <w:pStyle w:val="null3"/>
        <w:ind w:firstLine="480"/>
        <w:jc w:val="left"/>
      </w:pPr>
      <w:r>
        <w:rPr/>
        <w:t>五、询价通知书载明的成交原则不合法的；</w:t>
      </w:r>
    </w:p>
    <w:p>
      <w:pPr>
        <w:pStyle w:val="null3"/>
        <w:ind w:firstLine="480"/>
        <w:jc w:val="left"/>
      </w:pPr>
      <w:r>
        <w:rPr/>
        <w:t>六、询价通知书有违反国家其他有关强制性规定的情形。</w:t>
      </w:r>
    </w:p>
    <w:p>
      <w:pPr>
        <w:pStyle w:val="null3"/>
        <w:ind w:firstLine="480"/>
        <w:jc w:val="left"/>
      </w:pPr>
      <w:r>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b/>
          <w:sz w:val="24"/>
        </w:rPr>
        <w:t>4.3.3.资格审查</w:t>
      </w:r>
    </w:p>
    <w:p>
      <w:pPr>
        <w:pStyle w:val="null3"/>
        <w:ind w:firstLine="480"/>
        <w:jc w:val="left"/>
      </w:pPr>
      <w:r>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b/>
          <w:sz w:val="24"/>
        </w:rPr>
        <w:t>4.3.3.1.一般资格审查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4.3.3.2.落实政府采购政策资格审查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4.3.3.3.特定资格审查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4.3.4.符合性审查</w:t>
      </w:r>
    </w:p>
    <w:p>
      <w:pPr>
        <w:pStyle w:val="null3"/>
        <w:ind w:firstLine="480"/>
        <w:jc w:val="left"/>
      </w:pPr>
      <w:r>
        <w:rPr/>
        <w:t>询价小组依据本询价通知书的符合性审查要求，对符合资格要求供应商的响应文件有效性、完整性和响应程度进行审查。</w:t>
      </w:r>
    </w:p>
    <w:p>
      <w:pPr>
        <w:pStyle w:val="null3"/>
        <w:ind w:firstLine="480"/>
        <w:jc w:val="left"/>
      </w:pPr>
      <w:r>
        <w:rPr/>
        <w:t>在符合性审查过程中，如果出现询价小组成员意见不一致的情况，按照少数服从多数的原则确定，但不得违反政府采购基本原则和询价通知书规定。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第三章技术、服务及其他要求中带“★”的实质性要求。</w:t>
            </w:r>
          </w:p>
        </w:tc>
        <w:tc>
          <w:tcPr>
            <w:tcW w:type="dxa" w:w="3322"/>
          </w:tcPr>
          <w:p>
            <w:pPr>
              <w:pStyle w:val="null3"/>
              <w:jc w:val="left"/>
            </w:pPr>
            <w:r>
              <w:rPr/>
              <w:t>供应商须针对采购文件的要求进行响应或提供相关证明材料。</w:t>
            </w:r>
          </w:p>
        </w:tc>
        <w:tc>
          <w:tcPr>
            <w:tcW w:type="dxa" w:w="1910"/>
          </w:tcPr>
          <w:p>
            <w:pPr>
              <w:pStyle w:val="null3"/>
              <w:jc w:val="left"/>
            </w:pPr>
            <w:r>
              <w:rPr/>
              <w:t>响应文件封面 产品技术参数响应表 商务应答表 供应商应提交的相关证明材料 报价表</w:t>
            </w:r>
          </w:p>
        </w:tc>
      </w:tr>
    </w:tbl>
    <w:p>
      <w:pPr>
        <w:pStyle w:val="null3"/>
        <w:ind w:firstLine="480"/>
        <w:jc w:val="left"/>
      </w:pPr>
      <w:r>
        <w:rPr/>
        <w:t>响应文件满足以上符合性审查要求的，则通过符合性审查；如有任意一项未满足符合性审查要求的，则按无效响应处理，并在询价报告中载明未通过符合性审查的具体原因。</w:t>
      </w:r>
    </w:p>
    <w:p>
      <w:pPr>
        <w:pStyle w:val="null3"/>
        <w:jc w:val="left"/>
        <w:outlineLvl w:val="3"/>
      </w:pPr>
      <w:r>
        <w:rPr>
          <w:b/>
          <w:sz w:val="24"/>
        </w:rPr>
        <w:t>4.3.5.解释、澄清、说明的有关问题</w:t>
      </w:r>
    </w:p>
    <w:p>
      <w:pPr>
        <w:pStyle w:val="null3"/>
        <w:ind w:firstLine="480"/>
        <w:jc w:val="left"/>
      </w:pPr>
      <w:r>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t>二、对响应文件中含义不明确、同类问题表述不一致或者有明显文字和计算错误的内容，询价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三、响应文件报价出现前后不一致的，除询价通知书另有规定外，按照下列规定修正：</w:t>
      </w:r>
    </w:p>
    <w:p>
      <w:pPr>
        <w:pStyle w:val="null3"/>
        <w:ind w:firstLine="480"/>
        <w:jc w:val="left"/>
      </w:pPr>
      <w:r>
        <w:rPr/>
        <w:t>（一）响应文件中报价表内容与响应文件中相应内容不一致的，以报价表为准；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同时出现两种以上不一致的，按照前款规定的顺序修正。修正后的报价经供应商确认后产生约束力，供应商不确认的，作无效响应处理。</w:t>
      </w:r>
    </w:p>
    <w:p>
      <w:pPr>
        <w:pStyle w:val="null3"/>
        <w:ind w:firstLine="480"/>
        <w:jc w:val="left"/>
      </w:pPr>
      <w:r>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4.3.6.询价小组复核</w:t>
      </w:r>
    </w:p>
    <w:p>
      <w:pPr>
        <w:pStyle w:val="null3"/>
        <w:ind w:firstLine="480"/>
        <w:jc w:val="left"/>
      </w:pPr>
      <w:r>
        <w:rPr/>
        <w:t>评审结束后，询价小组应当进行复核，特别要对拟推荐为成交候选供应商的、报价最低的、响应文件被认定为无效的进行重点复核。</w:t>
      </w:r>
    </w:p>
    <w:p>
      <w:pPr>
        <w:pStyle w:val="null3"/>
        <w:jc w:val="left"/>
        <w:outlineLvl w:val="3"/>
      </w:pPr>
      <w:r>
        <w:rPr>
          <w:b/>
          <w:sz w:val="24"/>
        </w:rPr>
        <w:t>4.3.7.代理机构现场复核评审结果</w:t>
      </w:r>
    </w:p>
    <w:p>
      <w:pPr>
        <w:pStyle w:val="null3"/>
        <w:ind w:firstLine="480"/>
        <w:jc w:val="left"/>
      </w:pPr>
      <w:r>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t>三、代理机构复核过程中，询价小组成员不得离开评审现场。</w:t>
      </w:r>
    </w:p>
    <w:p>
      <w:pPr>
        <w:pStyle w:val="null3"/>
        <w:ind w:firstLine="480"/>
        <w:jc w:val="left"/>
      </w:pPr>
      <w:r>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b/>
          <w:sz w:val="24"/>
        </w:rPr>
        <w:t>4.3.8.推荐成交候选供应商</w:t>
      </w:r>
    </w:p>
    <w:p>
      <w:pPr>
        <w:pStyle w:val="null3"/>
        <w:ind w:firstLine="480"/>
        <w:jc w:val="left"/>
      </w:pPr>
      <w:r>
        <w:rPr/>
        <w:t>采购包1：</w:t>
      </w:r>
      <w:r>
        <w:rPr/>
        <w:t>确定3名成交候选供应商。</w:t>
      </w:r>
    </w:p>
    <w:p>
      <w:pPr>
        <w:pStyle w:val="null3"/>
        <w:ind w:firstLine="480"/>
        <w:jc w:val="left"/>
      </w:pPr>
      <w:r>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w:t>
      </w:r>
    </w:p>
    <w:p>
      <w:pPr>
        <w:pStyle w:val="null3"/>
        <w:jc w:val="left"/>
        <w:outlineLvl w:val="3"/>
      </w:pPr>
      <w:r>
        <w:rPr>
          <w:b/>
          <w:sz w:val="24"/>
        </w:rPr>
        <w:t>4.3.9.出具询价报告</w:t>
      </w:r>
    </w:p>
    <w:p>
      <w:pPr>
        <w:pStyle w:val="null3"/>
        <w:ind w:firstLine="480"/>
        <w:jc w:val="left"/>
      </w:pPr>
      <w:r>
        <w:rPr/>
        <w:t>询价小组推荐成交候选供应商后，应向代理机构出具询价报告。询价报告应当包括以下主要内容：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二、响应文件开启日期和地点，询价小组成员名单；</w:t>
      </w:r>
    </w:p>
    <w:p>
      <w:pPr>
        <w:pStyle w:val="null3"/>
        <w:ind w:firstLine="480"/>
        <w:jc w:val="left"/>
      </w:pPr>
      <w:r>
        <w:rPr/>
        <w:t>三、提交报价的供应商名单及报价情况，获取询价通知书但未提交报价的供应商名单；</w:t>
      </w:r>
    </w:p>
    <w:p>
      <w:pPr>
        <w:pStyle w:val="null3"/>
        <w:ind w:firstLine="480"/>
        <w:jc w:val="left"/>
      </w:pPr>
      <w:r>
        <w:rPr/>
        <w:t>四、评审情况记录和说明，包括对供应商的资格审查情况、供应商响应文件评审情况、询价采购活动情况、报价情况等；</w:t>
      </w:r>
    </w:p>
    <w:p>
      <w:pPr>
        <w:pStyle w:val="null3"/>
        <w:ind w:firstLine="480"/>
        <w:jc w:val="left"/>
      </w:pPr>
      <w:r>
        <w:rPr/>
        <w:t>五、推荐的成交候选供应商的排序名单及理由。</w:t>
      </w:r>
    </w:p>
    <w:p>
      <w:pPr>
        <w:pStyle w:val="null3"/>
        <w:ind w:firstLine="480"/>
        <w:jc w:val="left"/>
      </w:pPr>
      <w:r>
        <w:rPr/>
        <w:t>询价报告应当由询价小组全体人员签字或加盖电子印章认可。询价小组成员对询价报告有异议的，询价小组按照少数服从多数的原则推荐成交候选供应商，采购程序继续进行。对询价报告有异议的询价小组成员，应当在报告上签署不同意见并说明理由，由询价小组记录相关情况。询价小组成员拒绝在询价报告上签字或加盖电子印章又不说明其不同意见和理由的，视为同意询价报告。</w:t>
      </w:r>
    </w:p>
    <w:p>
      <w:pPr>
        <w:pStyle w:val="null3"/>
        <w:jc w:val="left"/>
        <w:outlineLvl w:val="3"/>
      </w:pPr>
      <w:r>
        <w:rPr>
          <w:b/>
          <w:sz w:val="24"/>
        </w:rPr>
        <w:t>4.3.10.询价争议处理规则</w:t>
      </w:r>
    </w:p>
    <w:p>
      <w:pPr>
        <w:pStyle w:val="null3"/>
        <w:ind w:firstLine="480"/>
        <w:jc w:val="left"/>
      </w:pPr>
      <w:r>
        <w:rPr/>
        <w:t>询价小组在询价过程中，对于资格审查、符合性审查、对供应商响应文件作无效处理及其他需要共同认定的事项存在争议的，应当以少数服从多数的原则作出结论，但不得违反法律法规和询价通知书规定。对询价报告有异议的，应当在询价报告上签署不同意见并说明理由，否则视为同意询价报告。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b/>
          <w:sz w:val="28"/>
        </w:rPr>
        <w:t>4.4.评审方法、细则及标准</w:t>
      </w:r>
    </w:p>
    <w:p>
      <w:pPr>
        <w:pStyle w:val="null3"/>
        <w:jc w:val="left"/>
      </w:pPr>
      <w:r>
        <w:rPr>
          <w:b/>
        </w:rPr>
        <w:t>4.4.1.评审方法</w:t>
      </w:r>
    </w:p>
    <w:p>
      <w:pPr>
        <w:pStyle w:val="null3"/>
        <w:ind w:firstLine="480"/>
        <w:jc w:val="left"/>
      </w:pPr>
      <w:r>
        <w:rPr/>
        <w:t>最低评标价法，是指响应文件满足询价通知书全部实质性要求且响应报价最低的供应商为成交候选供应商的评审方法。</w:t>
      </w:r>
    </w:p>
    <w:p>
      <w:pPr>
        <w:pStyle w:val="null3"/>
        <w:jc w:val="left"/>
      </w:pPr>
      <w:r>
        <w:rPr>
          <w:b/>
        </w:rPr>
        <w:t>4.4.2.评审细则及标准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监狱企业的证明文件</w:t>
            </w:r>
          </w:p>
        </w:tc>
      </w:tr>
    </w:tbl>
    <w:p>
      <w:pPr>
        <w:pStyle w:val="null3"/>
        <w:jc w:val="left"/>
      </w:pPr>
      <w:r>
        <w:rPr>
          <w:b/>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1. 经谈判小组评审，通过资格和符合性审查，且响应报价最低的供应商的响应报价作为评审基准价。2.响应报价得分=(评审基准价／响应报价)×评审系数。评审价格=投标报价。经价格调整后的评审价格=投标报价×（1-价格调整比例）基准价=经价格调整后评审价格的最低值。</w:t>
            </w:r>
          </w:p>
        </w:tc>
        <w:tc>
          <w:tcPr>
            <w:tcW w:type="dxa" w:w="2123"/>
          </w:tcPr>
          <w:p>
            <w:pPr>
              <w:pStyle w:val="null3"/>
              <w:jc w:val="left"/>
            </w:pPr>
            <w:r>
              <w:rPr/>
              <w:t>报价表</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4.5.终止采购活动</w:t>
      </w:r>
    </w:p>
    <w:p>
      <w:pPr>
        <w:pStyle w:val="null3"/>
        <w:ind w:firstLine="480"/>
        <w:jc w:val="left"/>
      </w:pPr>
      <w:r>
        <w:rPr/>
        <w:t>出现下列情形之一的，采购人或者代理机构应当终止询价采购活动，发布项目终止公告并说明原因，重新开展采购活动：</w:t>
      </w:r>
    </w:p>
    <w:p>
      <w:pPr>
        <w:pStyle w:val="null3"/>
        <w:ind w:firstLine="480"/>
        <w:jc w:val="left"/>
      </w:pPr>
      <w:r>
        <w:rPr/>
        <w:t>一、因情况变化，不再符合规定的询价采购方式适用情形的；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w:t>
      </w:r>
    </w:p>
    <w:p>
      <w:pPr>
        <w:pStyle w:val="null3"/>
        <w:jc w:val="left"/>
        <w:outlineLvl w:val="2"/>
      </w:pPr>
      <w:r>
        <w:rPr>
          <w:b/>
          <w:sz w:val="28"/>
        </w:rPr>
        <w:t>4.6.确定成交供应商</w:t>
      </w:r>
    </w:p>
    <w:p>
      <w:pPr>
        <w:pStyle w:val="null3"/>
        <w:ind w:firstLine="480"/>
        <w:jc w:val="left"/>
      </w:pPr>
      <w:r>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b/>
          <w:sz w:val="28"/>
        </w:rPr>
        <w:t>4.7.询价小组义务</w:t>
      </w:r>
    </w:p>
    <w:p>
      <w:pPr>
        <w:pStyle w:val="null3"/>
        <w:ind w:firstLine="480"/>
        <w:jc w:val="left"/>
      </w:pPr>
      <w:r>
        <w:rPr/>
        <w:t>询价小组在政府采购活动中应当履行下列义务：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二、按照客观、公正、审慎的原则，根据询价通知书规定的评审程序、评审方法和评审标准进行独立评审；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4.8.询价小组成员工作纪律</w:t>
      </w:r>
    </w:p>
    <w:p>
      <w:pPr>
        <w:pStyle w:val="null3"/>
        <w:ind w:firstLine="480"/>
        <w:jc w:val="left"/>
      </w:pPr>
      <w:r>
        <w:rPr/>
        <w:t>询价小组成员在政府采购活动中应当遵守下列工作纪律：</w:t>
      </w:r>
    </w:p>
    <w:p>
      <w:pPr>
        <w:pStyle w:val="null3"/>
        <w:ind w:firstLine="480"/>
        <w:jc w:val="left"/>
      </w:pPr>
      <w:r>
        <w:rPr/>
        <w:t>一、严格遵守政府采购法律制度关于询价小组成员回避的规定。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第五章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详见附件：供应商应提交的相关证明材料</w:t>
      </w:r>
    </w:p>
    <w:p>
      <w:pPr>
        <w:pStyle w:val="null3"/>
        <w:ind w:firstLine="960"/>
        <w:jc w:val="left"/>
      </w:pPr>
      <w:r>
        <w:rPr/>
        <w:t>详见附件：产品技术参数响应表</w:t>
      </w:r>
    </w:p>
    <w:p>
      <w:pPr>
        <w:pStyle w:val="null3"/>
        <w:ind w:firstLine="960"/>
        <w:jc w:val="left"/>
      </w:pPr>
      <w:r>
        <w:rPr/>
        <w:t>详见附件：报价表</w:t>
      </w:r>
    </w:p>
    <w:p>
      <w:pPr>
        <w:pStyle w:val="null3"/>
        <w:ind w:firstLine="960"/>
        <w:jc w:val="left"/>
      </w:pPr>
      <w:r>
        <w:rPr/>
        <w:t>详见附件：商务应答表</w:t>
      </w:r>
    </w:p>
    <w:p>
      <w:pPr>
        <w:pStyle w:val="null3"/>
      </w:pPr>
      <w:r>
        <w:rPr/>
        <w:t xml:space="preserve"> </w:t>
        <w:br/>
        <w:br w:type="page"/>
      </w:r>
    </w:p>
    <w:p>
      <w:pPr>
        <w:pStyle w:val="null3"/>
        <w:jc w:val="center"/>
        <w:outlineLvl w:val="1"/>
      </w:pPr>
      <w:r>
        <w:rPr>
          <w:b/>
          <w:sz w:val="36"/>
        </w:rPr>
        <w:t>第六章 拟签订的合同文本</w:t>
      </w:r>
    </w:p>
    <w:p>
      <w:pPr>
        <w:pStyle w:val="null3"/>
        <w:jc w:val="left"/>
      </w:pPr>
      <w:r>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