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2C59C">
      <w:pPr>
        <w:pStyle w:val="14"/>
        <w:spacing w:beforeLines="0" w:afterLines="0" w:line="360" w:lineRule="auto"/>
        <w:outlineLvl w:val="9"/>
        <w:rPr>
          <w:rFonts w:ascii="宋体" w:hAnsi="宋体" w:eastAsia="宋体"/>
          <w:color w:val="000000" w:themeColor="text1"/>
          <w:sz w:val="48"/>
          <w:szCs w:val="48"/>
          <w14:textFill>
            <w14:solidFill>
              <w14:schemeClr w14:val="tx1"/>
            </w14:solidFill>
          </w14:textFill>
        </w:rPr>
      </w:pPr>
      <w:bookmarkStart w:id="0" w:name="_Toc5924"/>
      <w:bookmarkStart w:id="1" w:name="_Toc1912"/>
      <w:bookmarkStart w:id="2" w:name="_Toc9164"/>
      <w:r>
        <w:rPr>
          <w:rFonts w:hint="eastAsia" w:ascii="宋体" w:hAnsi="宋体" w:eastAsia="宋体"/>
          <w:color w:val="000000" w:themeColor="text1"/>
          <w:sz w:val="48"/>
          <w:szCs w:val="48"/>
          <w14:textFill>
            <w14:solidFill>
              <w14:schemeClr w14:val="tx1"/>
            </w14:solidFill>
          </w14:textFill>
        </w:rPr>
        <w:t>泸州市中心血站</w:t>
      </w:r>
    </w:p>
    <w:p w14:paraId="54B18580">
      <w:pPr>
        <w:pStyle w:val="14"/>
        <w:spacing w:beforeLines="0" w:afterLines="0" w:line="360" w:lineRule="auto"/>
        <w:outlineLvl w:val="9"/>
        <w:rPr>
          <w:rFonts w:hint="eastAsia" w:ascii="宋体" w:hAnsi="宋体" w:eastAsia="宋体"/>
          <w:color w:val="000000" w:themeColor="text1"/>
          <w:sz w:val="48"/>
          <w:szCs w:val="48"/>
          <w14:textFill>
            <w14:solidFill>
              <w14:schemeClr w14:val="tx1"/>
            </w14:solidFill>
          </w14:textFill>
        </w:rPr>
      </w:pPr>
      <w:r>
        <w:rPr>
          <w:rFonts w:hint="eastAsia" w:ascii="宋体" w:hAnsi="宋体" w:eastAsia="宋体"/>
          <w:color w:val="000000" w:themeColor="text1"/>
          <w:sz w:val="48"/>
          <w:szCs w:val="48"/>
          <w:lang w:val="en-US" w:eastAsia="zh-CN"/>
          <w14:textFill>
            <w14:solidFill>
              <w14:schemeClr w14:val="tx1"/>
            </w14:solidFill>
          </w14:textFill>
        </w:rPr>
        <w:t>2024</w:t>
      </w:r>
      <w:r>
        <w:rPr>
          <w:rFonts w:hint="eastAsia" w:ascii="宋体" w:hAnsi="宋体" w:eastAsia="宋体"/>
          <w:color w:val="000000" w:themeColor="text1"/>
          <w:sz w:val="48"/>
          <w:szCs w:val="48"/>
          <w14:textFill>
            <w14:solidFill>
              <w14:schemeClr w14:val="tx1"/>
            </w14:solidFill>
          </w14:textFill>
        </w:rPr>
        <w:t>年</w:t>
      </w:r>
      <w:r>
        <w:rPr>
          <w:rFonts w:hint="eastAsia" w:ascii="宋体" w:hAnsi="宋体" w:eastAsia="宋体"/>
          <w:color w:val="000000" w:themeColor="text1"/>
          <w:sz w:val="48"/>
          <w:szCs w:val="48"/>
          <w:lang w:val="en-US" w:eastAsia="zh-CN"/>
          <w14:textFill>
            <w14:solidFill>
              <w14:schemeClr w14:val="tx1"/>
            </w14:solidFill>
          </w14:textFill>
        </w:rPr>
        <w:t xml:space="preserve">   </w:t>
      </w:r>
      <w:r>
        <w:rPr>
          <w:rFonts w:hint="eastAsia" w:ascii="宋体" w:hAnsi="宋体" w:eastAsia="宋体"/>
          <w:color w:val="000000" w:themeColor="text1"/>
          <w:sz w:val="48"/>
          <w:szCs w:val="48"/>
          <w14:textFill>
            <w14:solidFill>
              <w14:schemeClr w14:val="tx1"/>
            </w14:solidFill>
          </w14:textFill>
        </w:rPr>
        <w:t>项目</w:t>
      </w:r>
      <w:bookmarkEnd w:id="0"/>
      <w:r>
        <w:rPr>
          <w:rFonts w:hint="eastAsia" w:ascii="宋体" w:hAnsi="宋体" w:eastAsia="宋体"/>
          <w:color w:val="000000" w:themeColor="text1"/>
          <w:sz w:val="48"/>
          <w:szCs w:val="48"/>
          <w14:textFill>
            <w14:solidFill>
              <w14:schemeClr w14:val="tx1"/>
            </w14:solidFill>
          </w14:textFill>
        </w:rPr>
        <w:t>采购合同</w:t>
      </w:r>
      <w:bookmarkEnd w:id="1"/>
      <w:bookmarkEnd w:id="2"/>
    </w:p>
    <w:p w14:paraId="199FB917">
      <w:pPr>
        <w:pStyle w:val="14"/>
        <w:spacing w:beforeLines="0" w:afterLines="0" w:line="360" w:lineRule="auto"/>
        <w:outlineLvl w:val="9"/>
        <w:rPr>
          <w:rFonts w:hint="eastAsia" w:ascii="宋体" w:hAnsi="宋体" w:eastAsia="宋体"/>
          <w:color w:val="000000" w:themeColor="text1"/>
          <w:sz w:val="44"/>
          <w:szCs w:val="44"/>
          <w:lang w:eastAsia="zh-CN"/>
          <w14:textFill>
            <w14:solidFill>
              <w14:schemeClr w14:val="tx1"/>
            </w14:solidFill>
          </w14:textFill>
        </w:rPr>
      </w:pPr>
      <w:r>
        <w:rPr>
          <w:rFonts w:hint="eastAsia" w:ascii="宋体" w:hAnsi="宋体" w:eastAsia="宋体"/>
          <w:color w:val="000000" w:themeColor="text1"/>
          <w:sz w:val="48"/>
          <w:szCs w:val="48"/>
          <w:lang w:eastAsia="zh-CN"/>
          <w14:textFill>
            <w14:solidFill>
              <w14:schemeClr w14:val="tx1"/>
            </w14:solidFill>
          </w14:textFill>
        </w:rPr>
        <w:t>（</w:t>
      </w:r>
      <w:r>
        <w:rPr>
          <w:rFonts w:hint="eastAsia" w:ascii="宋体" w:hAnsi="宋体" w:eastAsia="宋体"/>
          <w:color w:val="000000" w:themeColor="text1"/>
          <w:sz w:val="48"/>
          <w:szCs w:val="48"/>
          <w:lang w:val="en-US" w:eastAsia="zh-CN"/>
          <w14:textFill>
            <w14:solidFill>
              <w14:schemeClr w14:val="tx1"/>
            </w14:solidFill>
          </w14:textFill>
        </w:rPr>
        <w:t>货物模板</w:t>
      </w:r>
      <w:r>
        <w:rPr>
          <w:rFonts w:hint="eastAsia" w:ascii="宋体" w:hAnsi="宋体" w:eastAsia="宋体"/>
          <w:color w:val="000000" w:themeColor="text1"/>
          <w:sz w:val="48"/>
          <w:szCs w:val="48"/>
          <w:lang w:eastAsia="zh-CN"/>
          <w14:textFill>
            <w14:solidFill>
              <w14:schemeClr w14:val="tx1"/>
            </w14:solidFill>
          </w14:textFill>
        </w:rPr>
        <w:t>）</w:t>
      </w:r>
    </w:p>
    <w:p w14:paraId="56261329">
      <w:pPr>
        <w:spacing w:after="156" w:afterLines="50" w:line="400" w:lineRule="exact"/>
        <w:ind w:left="3780" w:right="-194" w:hanging="3780" w:hangingChars="1800"/>
        <w:jc w:val="center"/>
        <w:rPr>
          <w:rFonts w:hint="default" w:hAnsi="宋体" w:eastAsia="宋体" w:cs="宋体"/>
          <w:color w:val="000000" w:themeColor="text1"/>
          <w:sz w:val="21"/>
          <w:szCs w:val="21"/>
          <w:u w:val="single"/>
          <w:lang w:val="en-US" w:eastAsia="zh-CN"/>
          <w14:textFill>
            <w14:solidFill>
              <w14:schemeClr w14:val="tx1"/>
            </w14:solidFill>
          </w14:textFill>
        </w:rPr>
      </w:pPr>
      <w:bookmarkStart w:id="3" w:name="_Toc10374"/>
      <w:r>
        <w:rPr>
          <w:rFonts w:hint="eastAsia" w:hAnsi="宋体" w:cs="宋体"/>
          <w:color w:val="000000" w:themeColor="text1"/>
          <w:sz w:val="21"/>
          <w:szCs w:val="21"/>
          <w:lang w:val="en-US" w:eastAsia="zh-CN"/>
          <w14:textFill>
            <w14:solidFill>
              <w14:schemeClr w14:val="tx1"/>
            </w14:solidFill>
          </w14:textFill>
        </w:rPr>
        <w:t xml:space="preserve">                                      </w:t>
      </w:r>
      <w:r>
        <w:rPr>
          <w:rFonts w:hint="eastAsia" w:hAnsi="宋体" w:cs="宋体"/>
          <w:color w:val="000000" w:themeColor="text1"/>
          <w:sz w:val="21"/>
          <w:szCs w:val="21"/>
          <w14:textFill>
            <w14:solidFill>
              <w14:schemeClr w14:val="tx1"/>
            </w14:solidFill>
          </w14:textFill>
        </w:rPr>
        <w:t>合同编号：</w:t>
      </w:r>
      <w:bookmarkEnd w:id="3"/>
      <w:r>
        <w:rPr>
          <w:rFonts w:hint="eastAsia" w:hAnsi="宋体" w:cs="宋体"/>
          <w:color w:val="000000" w:themeColor="text1"/>
          <w:sz w:val="21"/>
          <w:szCs w:val="21"/>
          <w:u w:val="single"/>
          <w:lang w:val="en-US" w:eastAsia="zh-CN"/>
          <w14:textFill>
            <w14:solidFill>
              <w14:schemeClr w14:val="tx1"/>
            </w14:solidFill>
          </w14:textFill>
        </w:rPr>
        <w:t xml:space="preserve">             </w:t>
      </w:r>
    </w:p>
    <w:p w14:paraId="49636490">
      <w:pPr>
        <w:spacing w:after="156" w:afterLines="50"/>
        <w:rPr>
          <w:rFonts w:hAnsi="宋体" w:cs="宋体"/>
          <w:color w:val="000000" w:themeColor="text1"/>
          <w:sz w:val="24"/>
          <w:szCs w:val="24"/>
          <w14:textFill>
            <w14:solidFill>
              <w14:schemeClr w14:val="tx1"/>
            </w14:solidFill>
          </w14:textFill>
        </w:rPr>
      </w:pPr>
      <w:bookmarkStart w:id="4" w:name="_Toc31740"/>
      <w:bookmarkStart w:id="5" w:name="_Toc5984"/>
      <w:r>
        <w:rPr>
          <w:rFonts w:hint="eastAsia" w:hAnsi="宋体" w:cs="宋体"/>
          <w:b/>
          <w:color w:val="000000" w:themeColor="text1"/>
          <w:sz w:val="24"/>
          <w:szCs w:val="24"/>
          <w14:textFill>
            <w14:solidFill>
              <w14:schemeClr w14:val="tx1"/>
            </w14:solidFill>
          </w14:textFill>
        </w:rPr>
        <w:t>甲  方：</w:t>
      </w:r>
      <w:r>
        <w:rPr>
          <w:rFonts w:hint="eastAsia" w:hAnsi="宋体" w:cs="宋体"/>
          <w:b/>
          <w:color w:val="000000" w:themeColor="text1"/>
          <w:sz w:val="24"/>
          <w:szCs w:val="24"/>
          <w:u w:val="single"/>
          <w14:textFill>
            <w14:solidFill>
              <w14:schemeClr w14:val="tx1"/>
            </w14:solidFill>
          </w14:textFill>
        </w:rPr>
        <w:t>泸州市中心血站</w:t>
      </w:r>
      <w:r>
        <w:rPr>
          <w:rFonts w:hint="eastAsia" w:hAnsi="宋体" w:cs="宋体"/>
          <w:color w:val="000000" w:themeColor="text1"/>
          <w:sz w:val="24"/>
          <w:szCs w:val="24"/>
          <w14:textFill>
            <w14:solidFill>
              <w14:schemeClr w14:val="tx1"/>
            </w14:solidFill>
          </w14:textFill>
        </w:rPr>
        <w:t>（甲方）</w:t>
      </w:r>
      <w:bookmarkEnd w:id="4"/>
      <w:bookmarkEnd w:id="5"/>
    </w:p>
    <w:p w14:paraId="2FF92200">
      <w:pPr>
        <w:spacing w:after="218" w:afterLines="70"/>
        <w:rPr>
          <w:rFonts w:hAnsi="宋体" w:cs="宋体"/>
          <w:color w:val="000000" w:themeColor="text1"/>
          <w:sz w:val="24"/>
          <w:szCs w:val="24"/>
          <w14:textFill>
            <w14:solidFill>
              <w14:schemeClr w14:val="tx1"/>
            </w14:solidFill>
          </w14:textFill>
        </w:rPr>
      </w:pPr>
      <w:bookmarkStart w:id="6" w:name="_Toc11892"/>
      <w:bookmarkStart w:id="7" w:name="_Toc20572"/>
      <w:r>
        <w:rPr>
          <w:rFonts w:hint="eastAsia" w:hAnsi="宋体" w:cs="宋体"/>
          <w:b/>
          <w:color w:val="000000" w:themeColor="text1"/>
          <w:sz w:val="24"/>
          <w:szCs w:val="24"/>
          <w14:textFill>
            <w14:solidFill>
              <w14:schemeClr w14:val="tx1"/>
            </w14:solidFill>
          </w14:textFill>
        </w:rPr>
        <w:t>乙  方</w:t>
      </w:r>
      <w:r>
        <w:rPr>
          <w:rFonts w:hint="eastAsia" w:hAnsi="宋体" w:cs="宋体"/>
          <w:b/>
          <w:color w:val="000000" w:themeColor="text1"/>
          <w:sz w:val="24"/>
          <w:szCs w:val="24"/>
          <w:lang w:eastAsia="zh-CN"/>
          <w14:textFill>
            <w14:solidFill>
              <w14:schemeClr w14:val="tx1"/>
            </w14:solidFill>
          </w14:textFill>
        </w:rPr>
        <w:t>：</w:t>
      </w:r>
      <w:r>
        <w:rPr>
          <w:rFonts w:hint="eastAsia" w:hAnsi="宋体" w:cs="宋体"/>
          <w:b/>
          <w:color w:val="000000" w:themeColor="text1"/>
          <w:sz w:val="24"/>
          <w:szCs w:val="24"/>
          <w:u w:val="single"/>
          <w14:textFill>
            <w14:solidFill>
              <w14:schemeClr w14:val="tx1"/>
            </w14:solidFill>
          </w14:textFill>
        </w:rPr>
        <w:t xml:space="preserve">  </w:t>
      </w:r>
      <w:r>
        <w:rPr>
          <w:rFonts w:hint="eastAsia" w:hAnsi="宋体" w:cs="宋体"/>
          <w:b/>
          <w:color w:val="000000" w:themeColor="text1"/>
          <w:sz w:val="24"/>
          <w:szCs w:val="24"/>
          <w:u w:val="single"/>
          <w:lang w:val="en-US" w:eastAsia="zh-CN"/>
          <w14:textFill>
            <w14:solidFill>
              <w14:schemeClr w14:val="tx1"/>
            </w14:solidFill>
          </w14:textFill>
        </w:rPr>
        <w:t xml:space="preserve">           </w:t>
      </w:r>
      <w:r>
        <w:rPr>
          <w:rFonts w:hint="eastAsia" w:hAnsi="宋体" w:cs="宋体"/>
          <w:b/>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（乙方）</w:t>
      </w:r>
      <w:bookmarkEnd w:id="6"/>
      <w:bookmarkEnd w:id="7"/>
    </w:p>
    <w:p w14:paraId="1F02A0BE">
      <w:pPr>
        <w:spacing w:after="218" w:afterLines="70"/>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甲方委托</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，对“</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”进行采购，于</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年</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月</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日通过公开招标，确定乙方为“</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中标人。为了保护甲乙双方的合法权益,根据《中华人民共和国政府采购法》《中华人民共和国民法典》等相关法律、法规的规定，并严格遵循政府采购项目招标文件的相关规定,经甲乙双方协商一致，订立本合同。</w:t>
      </w:r>
    </w:p>
    <w:p w14:paraId="39D1A605">
      <w:pPr>
        <w:pStyle w:val="6"/>
        <w:spacing w:line="440" w:lineRule="exact"/>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一、项目清单及合同金额</w:t>
      </w:r>
    </w:p>
    <w:p w14:paraId="442E3059">
      <w:pPr>
        <w:spacing w:line="440" w:lineRule="exact"/>
        <w:ind w:firstLine="480" w:firstLineChars="200"/>
        <w:rPr>
          <w:rStyle w:val="15"/>
          <w:rFonts w:hint="eastAsia" w:hAnsi="宋体" w:eastAsia="宋体" w:cs="宋体"/>
          <w:color w:val="000000" w:themeColor="text1"/>
          <w:szCs w:val="24"/>
          <w:lang w:val="en-US" w:eastAsia="zh-CN"/>
          <w14:textFill>
            <w14:solidFill>
              <w14:schemeClr w14:val="tx1"/>
            </w14:solidFill>
          </w14:textFill>
        </w:rPr>
      </w:pPr>
      <w:r>
        <w:rPr>
          <w:rStyle w:val="15"/>
          <w:rFonts w:hint="eastAsia" w:hAnsi="宋体" w:cs="宋体"/>
          <w:color w:val="000000" w:themeColor="text1"/>
          <w:szCs w:val="24"/>
          <w14:textFill>
            <w14:solidFill>
              <w14:schemeClr w14:val="tx1"/>
            </w14:solidFill>
          </w14:textFill>
        </w:rPr>
        <w:t>1</w:t>
      </w:r>
      <w:r>
        <w:rPr>
          <w:rStyle w:val="15"/>
          <w:rFonts w:hint="eastAsia" w:hAnsi="宋体" w:cs="宋体"/>
          <w:color w:val="000000" w:themeColor="text1"/>
          <w:szCs w:val="24"/>
          <w:lang w:eastAsia="zh-CN"/>
          <w14:textFill>
            <w14:solidFill>
              <w14:schemeClr w14:val="tx1"/>
            </w14:solidFill>
          </w14:textFill>
        </w:rPr>
        <w:t>.</w:t>
      </w:r>
      <w:r>
        <w:rPr>
          <w:rStyle w:val="15"/>
          <w:rFonts w:hint="eastAsia" w:hAnsi="宋体" w:cs="宋体"/>
          <w:color w:val="000000" w:themeColor="text1"/>
          <w:szCs w:val="24"/>
          <w14:textFill>
            <w14:solidFill>
              <w14:schemeClr w14:val="tx1"/>
            </w14:solidFill>
          </w14:textFill>
        </w:rPr>
        <w:t>招标编号：</w:t>
      </w:r>
      <w:r>
        <w:rPr>
          <w:rStyle w:val="15"/>
          <w:rFonts w:hint="eastAsia" w:hAnsi="宋体" w:cs="宋体"/>
          <w:color w:val="000000" w:themeColor="text1"/>
          <w:szCs w:val="24"/>
          <w:u w:val="single"/>
          <w:lang w:val="en-US" w:eastAsia="zh-CN"/>
          <w14:textFill>
            <w14:solidFill>
              <w14:schemeClr w14:val="tx1"/>
            </w14:solidFill>
          </w14:textFill>
        </w:rPr>
        <w:t xml:space="preserve">           </w:t>
      </w:r>
      <w:r>
        <w:rPr>
          <w:rStyle w:val="15"/>
          <w:rFonts w:hint="eastAsia" w:hAnsi="宋体" w:cs="宋体"/>
          <w:color w:val="000000" w:themeColor="text1"/>
          <w:szCs w:val="24"/>
          <w14:textFill>
            <w14:solidFill>
              <w14:schemeClr w14:val="tx1"/>
            </w14:solidFill>
          </w14:textFill>
        </w:rPr>
        <w:t xml:space="preserve"> 。</w:t>
      </w:r>
    </w:p>
    <w:p w14:paraId="7D27EEFF">
      <w:pPr>
        <w:spacing w:line="440" w:lineRule="exact"/>
        <w:ind w:firstLine="480" w:firstLineChars="200"/>
        <w:rPr>
          <w:rStyle w:val="15"/>
          <w:rFonts w:hAnsi="宋体" w:cs="宋体"/>
          <w:color w:val="000000" w:themeColor="text1"/>
          <w:szCs w:val="24"/>
          <w14:textFill>
            <w14:solidFill>
              <w14:schemeClr w14:val="tx1"/>
            </w14:solidFill>
          </w14:textFill>
        </w:rPr>
      </w:pPr>
      <w:r>
        <w:rPr>
          <w:rStyle w:val="15"/>
          <w:rFonts w:hint="eastAsia" w:hAnsi="宋体" w:cs="宋体"/>
          <w:color w:val="000000" w:themeColor="text1"/>
          <w:szCs w:val="24"/>
          <w14:textFill>
            <w14:solidFill>
              <w14:schemeClr w14:val="tx1"/>
            </w14:solidFill>
          </w14:textFill>
        </w:rPr>
        <w:t>2</w:t>
      </w:r>
      <w:r>
        <w:rPr>
          <w:rStyle w:val="15"/>
          <w:rFonts w:hint="eastAsia" w:hAnsi="宋体" w:cs="宋体"/>
          <w:color w:val="000000" w:themeColor="text1"/>
          <w:szCs w:val="24"/>
          <w:lang w:eastAsia="zh-CN"/>
          <w14:textFill>
            <w14:solidFill>
              <w14:schemeClr w14:val="tx1"/>
            </w14:solidFill>
          </w14:textFill>
        </w:rPr>
        <w:t>.</w:t>
      </w:r>
      <w:r>
        <w:rPr>
          <w:rStyle w:val="15"/>
          <w:rFonts w:hint="eastAsia" w:hAnsi="宋体" w:cs="宋体"/>
          <w:color w:val="000000" w:themeColor="text1"/>
          <w:szCs w:val="24"/>
          <w14:textFill>
            <w14:solidFill>
              <w14:schemeClr w14:val="tx1"/>
            </w14:solidFill>
          </w14:textFill>
        </w:rPr>
        <w:t>项目名称：</w:t>
      </w:r>
      <w:r>
        <w:rPr>
          <w:rStyle w:val="15"/>
          <w:rFonts w:hint="eastAsia" w:hAnsi="宋体" w:cs="宋体"/>
          <w:color w:val="000000" w:themeColor="text1"/>
          <w:szCs w:val="24"/>
          <w:u w:val="single"/>
          <w:lang w:val="en-US" w:eastAsia="zh-CN"/>
          <w14:textFill>
            <w14:solidFill>
              <w14:schemeClr w14:val="tx1"/>
            </w14:solidFill>
          </w14:textFill>
        </w:rPr>
        <w:t xml:space="preserve">            </w:t>
      </w:r>
      <w:r>
        <w:rPr>
          <w:rStyle w:val="15"/>
          <w:rFonts w:hint="eastAsia" w:hAnsi="宋体" w:cs="宋体"/>
          <w:color w:val="000000" w:themeColor="text1"/>
          <w:szCs w:val="24"/>
          <w14:textFill>
            <w14:solidFill>
              <w14:schemeClr w14:val="tx1"/>
            </w14:solidFill>
          </w14:textFill>
        </w:rPr>
        <w:t>。</w:t>
      </w:r>
    </w:p>
    <w:p w14:paraId="70DC5212">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3</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具体内容：(详见乙方报价表)。</w:t>
      </w:r>
    </w:p>
    <w:p w14:paraId="53399CC2">
      <w:pPr>
        <w:pStyle w:val="6"/>
        <w:spacing w:line="440" w:lineRule="exact"/>
        <w:ind w:firstLine="480" w:firstLineChars="200"/>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4</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 xml:space="preserve">合同金额：人民币 </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元(大写：</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元)。</w:t>
      </w:r>
    </w:p>
    <w:p w14:paraId="6E503301">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本合同金额包含人工、材料、运输、税费等一切费用，合同执行期间总价或单价不变，除合同另有约定外，甲方无需支付其他任何费用。</w:t>
      </w:r>
    </w:p>
    <w:p w14:paraId="1212893C">
      <w:pPr>
        <w:pStyle w:val="6"/>
        <w:spacing w:line="440" w:lineRule="exact"/>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二、付款方式及期限</w:t>
      </w:r>
    </w:p>
    <w:p w14:paraId="2E00BDAD">
      <w:pPr>
        <w:spacing w:line="440" w:lineRule="exact"/>
        <w:ind w:firstLine="480" w:firstLineChars="200"/>
        <w:rPr>
          <w:rFonts w:hint="eastAsia"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1.支付方式：分期付款。</w:t>
      </w:r>
    </w:p>
    <w:p w14:paraId="1B04A0E1">
      <w:pPr>
        <w:spacing w:line="440" w:lineRule="exact"/>
        <w:ind w:firstLine="480" w:firstLineChars="200"/>
        <w:rPr>
          <w:rFonts w:hint="eastAsia" w:hAnsi="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2.支付期限：</w:t>
      </w:r>
      <w:r>
        <w:rPr>
          <w:rFonts w:hint="eastAsia" w:hAnsi="宋体" w:cs="宋体"/>
          <w:color w:val="000000" w:themeColor="text1"/>
          <w:sz w:val="24"/>
          <w:szCs w:val="24"/>
          <w14:textFill>
            <w14:solidFill>
              <w14:schemeClr w14:val="tx1"/>
            </w14:solidFill>
          </w14:textFill>
        </w:rPr>
        <w:t>根据实际用量按</w:t>
      </w:r>
      <w:r>
        <w:rPr>
          <w:rFonts w:hint="eastAsia" w:hAnsi="宋体" w:cs="宋体"/>
          <w:color w:val="000000" w:themeColor="text1"/>
          <w:sz w:val="24"/>
          <w:szCs w:val="24"/>
          <w:lang w:val="en-US" w:eastAsia="zh-CN"/>
          <w14:textFill>
            <w14:solidFill>
              <w14:schemeClr w14:val="tx1"/>
            </w14:solidFill>
          </w14:textFill>
        </w:rPr>
        <w:t>时</w:t>
      </w:r>
      <w:r>
        <w:rPr>
          <w:rFonts w:hint="eastAsia" w:hAnsi="宋体" w:cs="宋体"/>
          <w:color w:val="000000" w:themeColor="text1"/>
          <w:sz w:val="24"/>
          <w:szCs w:val="24"/>
          <w14:textFill>
            <w14:solidFill>
              <w14:schemeClr w14:val="tx1"/>
            </w14:solidFill>
          </w14:textFill>
        </w:rPr>
        <w:t>结算</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达到付款条件起 14 日内</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lang w:val="en-US" w:eastAsia="zh-CN"/>
          <w14:textFill>
            <w14:solidFill>
              <w14:schemeClr w14:val="tx1"/>
            </w14:solidFill>
          </w14:textFill>
        </w:rPr>
        <w:t>支付该批次配送产品的全部货款。</w:t>
      </w:r>
    </w:p>
    <w:p w14:paraId="208F99AB">
      <w:pPr>
        <w:spacing w:line="440" w:lineRule="exact"/>
        <w:ind w:firstLine="480" w:firstLineChars="200"/>
        <w:rPr>
          <w:rStyle w:val="15"/>
          <w:rFonts w:hint="eastAsia" w:hAnsi="宋体" w:eastAsia="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3.履行期限：合同生效之日的1年内(或约定履行时间)或包预算用完为止，以先到者为准。</w:t>
      </w:r>
    </w:p>
    <w:p w14:paraId="55287F0E">
      <w:pPr>
        <w:pStyle w:val="6"/>
        <w:spacing w:line="440" w:lineRule="exact"/>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三、交货时间及交货地点</w:t>
      </w:r>
    </w:p>
    <w:p w14:paraId="32CB1B7A">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交货时间：</w:t>
      </w:r>
      <w:r>
        <w:rPr>
          <w:rFonts w:hint="eastAsia" w:hAnsi="宋体" w:cs="宋体"/>
          <w:color w:val="000000" w:themeColor="text1"/>
          <w:sz w:val="24"/>
          <w:szCs w:val="24"/>
          <w:lang w:val="en-US" w:eastAsia="zh-CN"/>
          <w14:textFill>
            <w14:solidFill>
              <w14:schemeClr w14:val="tx1"/>
            </w14:solidFill>
          </w14:textFill>
        </w:rPr>
        <w:t>履约期间按采购人实际需求供货，自</w:t>
      </w:r>
      <w:r>
        <w:rPr>
          <w:rFonts w:hint="eastAsia" w:hAnsi="宋体" w:cs="宋体"/>
          <w:color w:val="000000" w:themeColor="text1"/>
          <w:sz w:val="24"/>
          <w14:textFill>
            <w14:solidFill>
              <w14:schemeClr w14:val="tx1"/>
            </w14:solidFill>
          </w14:textFill>
        </w:rPr>
        <w:t>甲方通知</w:t>
      </w:r>
      <w:r>
        <w:rPr>
          <w:rFonts w:hint="eastAsia" w:hAnsi="宋体" w:cs="宋体"/>
          <w:color w:val="000000" w:themeColor="text1"/>
          <w:sz w:val="24"/>
          <w:lang w:eastAsia="zh-CN"/>
          <w14:textFill>
            <w14:solidFill>
              <w14:schemeClr w14:val="tx1"/>
            </w14:solidFill>
          </w14:textFill>
        </w:rPr>
        <w:t>到达时起算，乙方货物应在</w:t>
      </w:r>
      <w:r>
        <w:rPr>
          <w:rFonts w:hint="eastAsia" w:hAnsi="宋体" w:cs="宋体"/>
          <w:color w:val="000000" w:themeColor="text1"/>
          <w:sz w:val="24"/>
          <w14:textFill>
            <w14:solidFill>
              <w14:schemeClr w14:val="tx1"/>
            </w14:solidFill>
          </w14:textFill>
        </w:rPr>
        <w:t>7天内送达</w:t>
      </w:r>
      <w:r>
        <w:rPr>
          <w:rFonts w:hint="eastAsia" w:hAnsi="宋体" w:cs="宋体"/>
          <w:color w:val="000000" w:themeColor="text1"/>
          <w:sz w:val="24"/>
          <w:szCs w:val="24"/>
          <w14:textFill>
            <w14:solidFill>
              <w14:schemeClr w14:val="tx1"/>
            </w14:solidFill>
          </w14:textFill>
        </w:rPr>
        <w:t>。</w:t>
      </w:r>
    </w:p>
    <w:p w14:paraId="51AC88FF">
      <w:pPr>
        <w:spacing w:line="440" w:lineRule="exact"/>
        <w:ind w:firstLine="480" w:firstLineChars="200"/>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交货地点：泸州市中心血站</w:t>
      </w:r>
    </w:p>
    <w:p w14:paraId="32827E34">
      <w:pPr>
        <w:pStyle w:val="6"/>
        <w:spacing w:line="440" w:lineRule="exact"/>
        <w:rPr>
          <w:rFonts w:hAnsi="宋体" w:cs="宋体"/>
          <w:b/>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 xml:space="preserve"> </w:t>
      </w:r>
      <w:r>
        <w:rPr>
          <w:rFonts w:hint="eastAsia" w:hAnsi="宋体" w:cs="宋体"/>
          <w:b/>
          <w:color w:val="000000" w:themeColor="text1"/>
          <w:sz w:val="24"/>
          <w:szCs w:val="24"/>
          <w14:textFill>
            <w14:solidFill>
              <w14:schemeClr w14:val="tx1"/>
            </w14:solidFill>
          </w14:textFill>
        </w:rPr>
        <w:t>四、履约验收</w:t>
      </w:r>
    </w:p>
    <w:p w14:paraId="72FD3D5F">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甲方有权到乙方生产场地检查货物质量和生产进度，费用由甲方自行负担。</w:t>
      </w:r>
    </w:p>
    <w:p w14:paraId="442BED34">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乙方提供的产品为最新生产的全新的原装正品，且权属清楚，不得侵害他人的知识产权。各项指标符合出产国检测标准和出厂标准，各项技术参数符合招标文件要求和乙方投标文件承诺。</w:t>
      </w:r>
    </w:p>
    <w:p w14:paraId="02010FF7">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3</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乙方所交产品不符合规定或质量不合格的，由乙方负责在合同约定的交货时间内</w:t>
      </w:r>
      <w:r>
        <w:rPr>
          <w:rFonts w:hint="eastAsia" w:hAnsi="宋体" w:cs="宋体"/>
          <w:color w:val="000000" w:themeColor="text1"/>
          <w:sz w:val="24"/>
          <w:szCs w:val="24"/>
          <w:lang w:val="en-US" w:eastAsia="zh-CN"/>
          <w14:textFill>
            <w14:solidFill>
              <w14:schemeClr w14:val="tx1"/>
            </w14:solidFill>
          </w14:textFill>
        </w:rPr>
        <w:t>包退</w:t>
      </w:r>
      <w:r>
        <w:rPr>
          <w:rFonts w:hint="eastAsia" w:hAnsi="宋体" w:cs="宋体"/>
          <w:color w:val="000000" w:themeColor="text1"/>
          <w:sz w:val="24"/>
          <w:szCs w:val="24"/>
          <w14:textFill>
            <w14:solidFill>
              <w14:schemeClr w14:val="tx1"/>
            </w14:solidFill>
          </w14:textFill>
        </w:rPr>
        <w:t>包换，并承担换货而支付的一切费用。乙方不能调换的，按不能交货处理。</w:t>
      </w:r>
    </w:p>
    <w:p w14:paraId="6EF7E448">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4</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乙方应将所提供货物的装箱清单、配件、随机工具、用户使用手册、原厂保修卡等资料</w:t>
      </w:r>
      <w:r>
        <w:rPr>
          <w:rFonts w:hint="eastAsia" w:hAnsi="宋体" w:cs="宋体"/>
          <w:color w:val="000000" w:themeColor="text1"/>
          <w:sz w:val="24"/>
          <w:szCs w:val="24"/>
          <w:lang w:eastAsia="zh-CN"/>
          <w14:textFill>
            <w14:solidFill>
              <w14:schemeClr w14:val="tx1"/>
            </w14:solidFill>
          </w14:textFill>
        </w:rPr>
        <w:t>一齐</w:t>
      </w:r>
      <w:r>
        <w:rPr>
          <w:rFonts w:hint="eastAsia" w:hAnsi="宋体" w:cs="宋体"/>
          <w:color w:val="000000" w:themeColor="text1"/>
          <w:sz w:val="24"/>
          <w:szCs w:val="24"/>
          <w14:textFill>
            <w14:solidFill>
              <w14:schemeClr w14:val="tx1"/>
            </w14:solidFill>
          </w14:textFill>
        </w:rPr>
        <w:t>交付给甲方。乙方不能完整交付货物及本款规定的单证和工具的，必须负责在合同约定的交货时间内补齐，否则视为未按合同约定交货。</w:t>
      </w:r>
    </w:p>
    <w:p w14:paraId="6483F981">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甲方按国家相关标准和本招标文件的相关要求自行组织有关专业人员验收。</w:t>
      </w:r>
    </w:p>
    <w:p w14:paraId="5C405F03">
      <w:pPr>
        <w:spacing w:line="440" w:lineRule="exact"/>
        <w:ind w:firstLine="480" w:firstLineChars="200"/>
        <w:rPr>
          <w:rFonts w:hint="eastAsia" w:hAnsi="宋体" w:cs="宋体"/>
          <w:color w:val="000000" w:themeColor="text1"/>
          <w:sz w:val="24"/>
          <w:szCs w:val="24"/>
          <w:lang w:eastAsia="zh-CN"/>
          <w14:textFill>
            <w14:solidFill>
              <w14:schemeClr w14:val="tx1"/>
            </w14:solidFill>
          </w14:textFill>
        </w:rPr>
      </w:pPr>
      <w:r>
        <w:rPr>
          <w:rFonts w:hint="eastAsia" w:hAnsi="宋体" w:cs="宋体"/>
          <w:color w:val="000000" w:themeColor="text1"/>
          <w:sz w:val="24"/>
          <w:szCs w:val="24"/>
          <w14:textFill>
            <w14:solidFill>
              <w14:schemeClr w14:val="tx1"/>
            </w14:solidFill>
          </w14:textFill>
        </w:rPr>
        <w:t>（1）验收方法：①履约验收程序：</w:t>
      </w:r>
      <w:r>
        <w:rPr>
          <w:rFonts w:hint="eastAsia" w:hAnsi="宋体" w:cs="宋体"/>
          <w:color w:val="000000" w:themeColor="text1"/>
          <w:sz w:val="24"/>
          <w:szCs w:val="24"/>
          <w:lang w:val="en-US" w:eastAsia="zh-CN"/>
          <w14:textFill>
            <w14:solidFill>
              <w14:schemeClr w14:val="tx1"/>
            </w14:solidFill>
          </w14:textFill>
        </w:rPr>
        <w:t>分期验收</w:t>
      </w:r>
      <w:r>
        <w:rPr>
          <w:rFonts w:hint="eastAsia" w:hAnsi="宋体" w:cs="宋体"/>
          <w:color w:val="000000" w:themeColor="text1"/>
          <w:sz w:val="24"/>
          <w:szCs w:val="24"/>
          <w14:textFill>
            <w14:solidFill>
              <w14:schemeClr w14:val="tx1"/>
            </w14:solidFill>
          </w14:textFill>
        </w:rPr>
        <w:t>；②履约验收时间：供应商提出验收申请之日起，达到验收条件起15日内</w:t>
      </w:r>
      <w:r>
        <w:rPr>
          <w:rFonts w:hint="eastAsia" w:hAnsi="宋体" w:cs="宋体"/>
          <w:color w:val="000000" w:themeColor="text1"/>
          <w:sz w:val="24"/>
          <w:szCs w:val="24"/>
          <w:lang w:val="en-US" w:eastAsia="zh-CN"/>
          <w14:textFill>
            <w14:solidFill>
              <w14:schemeClr w14:val="tx1"/>
            </w14:solidFill>
          </w14:textFill>
        </w:rPr>
        <w:t>组织验收</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甲方无故逾期不进行验收工作的，视同验收合格。</w:t>
      </w:r>
    </w:p>
    <w:p w14:paraId="0F2A539C">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验收标准：验收严格按照《财政部关于进一步加强政府采购需求和履约验收管理的指导意见》（财库〔2016〕205号）的要求组织验收，以招标文件技术参数及要求及乙方投标文件技术响应为准。如出现未在招标文件中明确规定的，以行业相关标准为准。如采购双方如对质量要求和技术指标的约定标准有相互抵触或异议的事项，由甲方在招标文件技术参数及乙方投标文件技术按质量要求和技术指标、行业标准比较优胜的原则确定该项的约定标准进行验收。</w:t>
      </w:r>
    </w:p>
    <w:p w14:paraId="5D8B1A46">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3）验收时如发现所交付的货物有短装、次品、损坏或其它不符合标准及本合同规定之情形者，甲方应做出详尽的现场记录，或由甲乙双方签署备忘录，此现场记录或备忘录可用作补充、缺失和更换损坏部件的有效证据，由此产生的时间延误与有关费用由乙方承担，验收期限相应顺延；</w:t>
      </w:r>
    </w:p>
    <w:p w14:paraId="6F904119">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（4）产品质量抽样验收合格，双方签署</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lang w:val="en-US" w:eastAsia="zh-CN"/>
          <w14:textFill>
            <w14:solidFill>
              <w14:schemeClr w14:val="tx1"/>
            </w14:solidFill>
          </w14:textFill>
        </w:rPr>
        <w:t>政府采购项目验收记录</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w:t>
      </w:r>
    </w:p>
    <w:p w14:paraId="0FCBFE53">
      <w:pPr>
        <w:spacing w:line="440" w:lineRule="exact"/>
        <w:ind w:firstLine="480" w:firstLineChars="200"/>
        <w:rPr>
          <w:rFonts w:hint="eastAsia" w:hAnsi="宋体" w:eastAsia="宋体" w:cs="宋体"/>
          <w:color w:val="000000" w:themeColor="text1"/>
          <w:sz w:val="24"/>
          <w:szCs w:val="24"/>
          <w:lang w:val="en-US" w:eastAsia="zh-CN"/>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6.货物交付并经验收合格之前毁损灭失的风险由乙方承担。</w:t>
      </w:r>
    </w:p>
    <w:p w14:paraId="47699B03">
      <w:pPr>
        <w:pStyle w:val="6"/>
        <w:spacing w:line="440" w:lineRule="exact"/>
        <w:ind w:firstLine="0" w:firstLineChars="0"/>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五、保修条款、售后服务</w:t>
      </w:r>
    </w:p>
    <w:p w14:paraId="35E13475">
      <w:pPr>
        <w:pStyle w:val="6"/>
        <w:spacing w:line="440" w:lineRule="exact"/>
        <w:ind w:firstLine="480" w:firstLineChars="200"/>
        <w:jc w:val="left"/>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pPr>
      <w:r>
        <w:rPr>
          <w:rFonts w:hint="eastAsia" w:hAnsi="宋体" w:cs="宋体"/>
          <w:color w:val="000000" w:themeColor="text1"/>
          <w:sz w:val="24"/>
          <w:szCs w:val="24"/>
          <w14:textFill>
            <w14:solidFill>
              <w14:schemeClr w14:val="tx1"/>
            </w14:solidFill>
          </w14:textFill>
        </w:rPr>
        <w:t>1.</w:t>
      </w:r>
      <w:r>
        <w:rPr>
          <w:rFonts w:hint="eastAsia" w:ascii="宋体" w:hAnsi="宋体" w:eastAsia="宋体" w:cs="宋体"/>
          <w:i w:val="0"/>
          <w:iCs w:val="0"/>
          <w:caps w:val="0"/>
          <w:color w:val="000000" w:themeColor="text1"/>
          <w:spacing w:val="0"/>
          <w:sz w:val="24"/>
          <w:szCs w:val="24"/>
          <w:shd w:val="clear" w:fill="FFFFFF"/>
          <w14:textFill>
            <w14:solidFill>
              <w14:schemeClr w14:val="tx1"/>
            </w14:solidFill>
          </w14:textFill>
        </w:rPr>
        <w:t>质量保修范围和保修期：</w:t>
      </w:r>
    </w:p>
    <w:p w14:paraId="1876C0AB">
      <w:pPr>
        <w:pStyle w:val="6"/>
        <w:spacing w:line="440" w:lineRule="exact"/>
        <w:ind w:firstLine="480" w:firstLineChars="200"/>
        <w:jc w:val="left"/>
        <w:rPr>
          <w:rFonts w:hint="default" w:hAnsi="宋体" w:cs="宋体"/>
          <w:i w:val="0"/>
          <w:iCs w:val="0"/>
          <w:caps w:val="0"/>
          <w:color w:val="000000" w:themeColor="text1"/>
          <w:spacing w:val="0"/>
          <w:sz w:val="24"/>
          <w:szCs w:val="24"/>
          <w:shd w:val="clear" w:fill="FFFFFF"/>
          <w:lang w:val="en-US" w:eastAsia="zh-CN"/>
          <w14:textFill>
            <w14:solidFill>
              <w14:schemeClr w14:val="tx1"/>
            </w14:solidFill>
          </w14:textFill>
        </w:rPr>
      </w:pPr>
      <w:bookmarkStart w:id="8" w:name="_GoBack"/>
      <w:bookmarkEnd w:id="8"/>
      <w:r>
        <w:rPr>
          <w:rFonts w:hint="eastAsia" w:hAnsi="宋体" w:cs="宋体"/>
          <w:i w:val="0"/>
          <w:iCs w:val="0"/>
          <w:caps w:val="0"/>
          <w:color w:val="000000" w:themeColor="text1"/>
          <w:spacing w:val="0"/>
          <w:sz w:val="24"/>
          <w:szCs w:val="24"/>
          <w:shd w:val="clear" w:fill="FFFFFF"/>
          <w:lang w:val="en-US" w:eastAsia="zh-CN"/>
          <w14:textFill>
            <w14:solidFill>
              <w14:schemeClr w14:val="tx1"/>
            </w14:solidFill>
          </w14:textFill>
        </w:rPr>
        <w:t>2.售后服务：</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lang w:val="en-US" w:eastAsia="zh-CN"/>
          <w14:textFill>
            <w14:solidFill>
              <w14:schemeClr w14:val="tx1"/>
            </w14:solidFill>
          </w14:textFill>
        </w:rPr>
        <w:t>根据投标售后填写</w:t>
      </w:r>
      <w:r>
        <w:rPr>
          <w:rFonts w:hint="eastAsia" w:hAnsi="宋体" w:cs="宋体"/>
          <w:color w:val="000000" w:themeColor="text1"/>
          <w:sz w:val="24"/>
          <w:szCs w:val="24"/>
          <w:lang w:eastAsia="zh-CN"/>
          <w14:textFill>
            <w14:solidFill>
              <w14:schemeClr w14:val="tx1"/>
            </w14:solidFill>
          </w14:textFill>
        </w:rPr>
        <w:t>）</w:t>
      </w:r>
    </w:p>
    <w:p w14:paraId="1397092E">
      <w:pPr>
        <w:pStyle w:val="6"/>
        <w:spacing w:line="440" w:lineRule="exact"/>
        <w:ind w:firstLine="480" w:firstLineChars="200"/>
        <w:jc w:val="left"/>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lang w:val="en-US" w:eastAsia="zh-CN"/>
          <w14:textFill>
            <w14:solidFill>
              <w14:schemeClr w14:val="tx1"/>
            </w14:solidFill>
          </w14:textFill>
        </w:rPr>
        <w:t>1</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乙方应严格遵守售后服务承诺，须指派专人负责让甲方联系售后服务事宜，保证响应时间</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个小时内，</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小时内解决问题。在质保期内出现任何质量问题，无条件更换同品规合格质量产品，乙方终身无条件提供与厂家同质的售后服务。</w:t>
      </w:r>
    </w:p>
    <w:p w14:paraId="47D68574">
      <w:pPr>
        <w:pStyle w:val="10"/>
        <w:wordWrap w:val="0"/>
        <w:adjustRightInd w:val="0"/>
        <w:snapToGrid w:val="0"/>
        <w:spacing w:beforeAutospacing="0" w:afterAutospacing="0" w:line="440" w:lineRule="exact"/>
        <w:ind w:firstLine="480" w:firstLineChars="200"/>
        <w:rPr>
          <w:rFonts w:hint="eastAsia" w:hAnsi="宋体" w:cs="宋体"/>
          <w:b w:val="0"/>
          <w:color w:val="000000" w:themeColor="text1"/>
          <w:sz w:val="24"/>
          <w:szCs w:val="24"/>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lang w:val="en-US" w:eastAsia="zh-CN"/>
          <w14:textFill>
            <w14:solidFill>
              <w14:schemeClr w14:val="tx1"/>
            </w14:solidFill>
          </w14:textFill>
        </w:rPr>
        <w:t>2</w:t>
      </w:r>
      <w:r>
        <w:rPr>
          <w:rFonts w:hint="eastAsia" w:hAnsi="宋体" w:cs="宋体"/>
          <w:color w:val="000000" w:themeColor="text1"/>
          <w:sz w:val="24"/>
          <w:szCs w:val="24"/>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14:textFill>
            <w14:solidFill>
              <w14:schemeClr w14:val="tx1"/>
            </w14:solidFill>
          </w14:textFill>
        </w:rPr>
        <w:t>如有缺货发生，乙方应积极配合甲方采取相关措施以满足使用需求。相关运费由乙方承担。</w:t>
      </w:r>
    </w:p>
    <w:p w14:paraId="67DFE91C">
      <w:pPr>
        <w:pStyle w:val="6"/>
        <w:spacing w:line="440" w:lineRule="exact"/>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六、相关权利及义务</w:t>
      </w:r>
    </w:p>
    <w:p w14:paraId="5D3EEC22">
      <w:pPr>
        <w:pStyle w:val="6"/>
        <w:spacing w:line="440" w:lineRule="exact"/>
        <w:ind w:firstLine="456"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pacing w:val="-6"/>
          <w:sz w:val="24"/>
          <w:szCs w:val="24"/>
          <w14:textFill>
            <w14:solidFill>
              <w14:schemeClr w14:val="tx1"/>
            </w14:solidFill>
          </w14:textFill>
        </w:rPr>
        <w:t>1</w:t>
      </w:r>
      <w:r>
        <w:rPr>
          <w:rFonts w:hint="eastAsia" w:hAnsi="宋体" w:cs="宋体"/>
          <w:color w:val="000000" w:themeColor="text1"/>
          <w:spacing w:val="-6"/>
          <w:sz w:val="24"/>
          <w:szCs w:val="24"/>
          <w:lang w:eastAsia="zh-CN"/>
          <w14:textFill>
            <w14:solidFill>
              <w14:schemeClr w14:val="tx1"/>
            </w14:solidFill>
          </w14:textFill>
        </w:rPr>
        <w:t>.</w:t>
      </w:r>
      <w:r>
        <w:rPr>
          <w:rFonts w:hint="eastAsia" w:hAnsi="宋体" w:cs="宋体"/>
          <w:color w:val="000000" w:themeColor="text1"/>
          <w:spacing w:val="-6"/>
          <w:sz w:val="24"/>
          <w:szCs w:val="24"/>
          <w14:textFill>
            <w14:solidFill>
              <w14:schemeClr w14:val="tx1"/>
            </w14:solidFill>
          </w14:textFill>
        </w:rPr>
        <w:t>甲方在验收时对不符合招标文件要求的产品有权拒绝接收</w:t>
      </w:r>
      <w:r>
        <w:rPr>
          <w:rFonts w:hint="eastAsia" w:hAnsi="宋体" w:cs="宋体"/>
          <w:color w:val="000000" w:themeColor="text1"/>
          <w:spacing w:val="-6"/>
          <w:sz w:val="24"/>
          <w:szCs w:val="24"/>
          <w:lang w:val="en-US" w:eastAsia="zh-CN"/>
          <w14:textFill>
            <w14:solidFill>
              <w14:schemeClr w14:val="tx1"/>
            </w14:solidFill>
          </w14:textFill>
        </w:rPr>
        <w:t>并</w:t>
      </w:r>
      <w:r>
        <w:rPr>
          <w:rFonts w:hint="eastAsia" w:hAnsi="宋体" w:cs="宋体"/>
          <w:color w:val="000000" w:themeColor="text1"/>
          <w:spacing w:val="-6"/>
          <w:sz w:val="24"/>
          <w:szCs w:val="24"/>
          <w14:textFill>
            <w14:solidFill>
              <w14:schemeClr w14:val="tx1"/>
            </w14:solidFill>
          </w14:textFill>
        </w:rPr>
        <w:t>追究违约责任</w:t>
      </w:r>
      <w:r>
        <w:rPr>
          <w:rFonts w:hint="eastAsia" w:hAnsi="宋体" w:cs="宋体"/>
          <w:color w:val="000000" w:themeColor="text1"/>
          <w:sz w:val="24"/>
          <w:szCs w:val="24"/>
          <w14:textFill>
            <w14:solidFill>
              <w14:schemeClr w14:val="tx1"/>
            </w14:solidFill>
          </w14:textFill>
        </w:rPr>
        <w:t>。</w:t>
      </w:r>
    </w:p>
    <w:p w14:paraId="4C44EDDB">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甲方在合同规定期限内履行付款责任。</w:t>
      </w:r>
    </w:p>
    <w:p w14:paraId="021FE0F3">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3</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甲方对乙方的技术及商业机密予以保密。</w:t>
      </w:r>
    </w:p>
    <w:p w14:paraId="785A97FC">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4</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甲方有义务并指派专人积极配合乙方进行交货及安装调试工作。</w:t>
      </w:r>
    </w:p>
    <w:p w14:paraId="13978904">
      <w:pPr>
        <w:pStyle w:val="6"/>
        <w:spacing w:line="440" w:lineRule="exact"/>
        <w:ind w:firstLine="480" w:firstLineChars="200"/>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指派人员：</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电话：</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u w:val="single"/>
          <w14:textFill>
            <w14:solidFill>
              <w14:schemeClr w14:val="tx1"/>
            </w14:solidFill>
          </w14:textFill>
        </w:rPr>
        <w:t xml:space="preserve">       </w:t>
      </w:r>
    </w:p>
    <w:p w14:paraId="2CB29C04">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乙方有权按照合同约定要求甲方及时支付相应合同款项。</w:t>
      </w:r>
    </w:p>
    <w:p w14:paraId="02F84E35">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6</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乙方有义务按投标文件中的售后服务承诺提供良好的服务。</w:t>
      </w:r>
    </w:p>
    <w:p w14:paraId="4A72106D">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7</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乙方须指派专人负责与甲方联系售后服务事宜。</w:t>
      </w:r>
    </w:p>
    <w:p w14:paraId="1BE8E8E0">
      <w:pPr>
        <w:pStyle w:val="6"/>
        <w:spacing w:line="440" w:lineRule="exact"/>
        <w:ind w:firstLine="480" w:firstLineChars="200"/>
        <w:rPr>
          <w:rFonts w:hAnsi="宋体" w:cs="宋体"/>
          <w:color w:val="000000" w:themeColor="text1"/>
          <w:sz w:val="24"/>
          <w:szCs w:val="24"/>
          <w:u w:val="single"/>
          <w14:textFill>
            <w14:solidFill>
              <w14:schemeClr w14:val="tx1"/>
            </w14:solidFill>
          </w14:textFill>
        </w:rPr>
      </w:pPr>
      <w:r>
        <w:rPr>
          <w:rFonts w:hint="eastAsia" w:hAnsi="宋体" w:cs="宋体"/>
          <w:color w:val="000000" w:themeColor="text1"/>
          <w:sz w:val="24"/>
          <w:szCs w:val="24"/>
          <w14:textFill>
            <w14:solidFill>
              <w14:schemeClr w14:val="tx1"/>
            </w14:solidFill>
          </w14:textFill>
        </w:rPr>
        <w:t>指派人员：</w:t>
      </w:r>
      <w:r>
        <w:rPr>
          <w:rFonts w:hint="eastAsia" w:hAnsi="宋体" w:cs="宋体"/>
          <w:color w:val="000000" w:themeColor="text1"/>
          <w:sz w:val="24"/>
          <w:szCs w:val="24"/>
          <w:u w:val="single"/>
          <w14:textFill>
            <w14:solidFill>
              <w14:schemeClr w14:val="tx1"/>
            </w14:solidFill>
          </w14:textFill>
        </w:rPr>
        <w:t xml:space="preserve"> </w:t>
      </w:r>
      <w:r>
        <w:rPr>
          <w:rFonts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14:textFill>
            <w14:solidFill>
              <w14:schemeClr w14:val="tx1"/>
            </w14:solidFill>
          </w14:textFill>
        </w:rPr>
        <w:t>电话：</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u w:val="single"/>
          <w14:textFill>
            <w14:solidFill>
              <w14:schemeClr w14:val="tx1"/>
            </w14:solidFill>
          </w14:textFill>
        </w:rPr>
        <w:t xml:space="preserve">  </w:t>
      </w:r>
      <w:r>
        <w:rPr>
          <w:rFonts w:hint="eastAsia" w:hAnsi="宋体" w:cs="宋体"/>
          <w:color w:val="000000" w:themeColor="text1"/>
          <w:sz w:val="24"/>
          <w:szCs w:val="24"/>
          <w:u w:val="single"/>
          <w:lang w:val="en-US" w:eastAsia="zh-CN"/>
          <w14:textFill>
            <w14:solidFill>
              <w14:schemeClr w14:val="tx1"/>
            </w14:solidFill>
          </w14:textFill>
        </w:rPr>
        <w:t xml:space="preserve">   </w:t>
      </w:r>
      <w:r>
        <w:rPr>
          <w:rFonts w:hint="eastAsia" w:hAnsi="宋体" w:cs="宋体"/>
          <w:color w:val="000000" w:themeColor="text1"/>
          <w:sz w:val="24"/>
          <w:szCs w:val="24"/>
          <w:u w:val="single"/>
          <w14:textFill>
            <w14:solidFill>
              <w14:schemeClr w14:val="tx1"/>
            </w14:solidFill>
          </w14:textFill>
        </w:rPr>
        <w:t xml:space="preserve"> </w:t>
      </w:r>
    </w:p>
    <w:p w14:paraId="5446B1C7">
      <w:pPr>
        <w:pStyle w:val="6"/>
        <w:spacing w:line="440" w:lineRule="exact"/>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七、违约责任</w:t>
      </w:r>
    </w:p>
    <w:p w14:paraId="16F530AE">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甲乙双方均应遵守本合同，非因</w:t>
      </w:r>
      <w:r>
        <w:rPr>
          <w:rFonts w:hint="eastAsia" w:hAnsi="宋体" w:cs="宋体"/>
          <w:color w:val="000000" w:themeColor="text1"/>
          <w:sz w:val="24"/>
          <w:szCs w:val="24"/>
          <w:lang w:val="en-US" w:eastAsia="zh-CN"/>
          <w14:textFill>
            <w14:solidFill>
              <w14:schemeClr w14:val="tx1"/>
            </w14:solidFill>
          </w14:textFill>
        </w:rPr>
        <w:t>法定解除权</w:t>
      </w:r>
      <w:r>
        <w:rPr>
          <w:rFonts w:hint="eastAsia" w:hAnsi="宋体" w:cs="宋体"/>
          <w:color w:val="000000" w:themeColor="text1"/>
          <w:sz w:val="24"/>
          <w:szCs w:val="24"/>
          <w14:textFill>
            <w14:solidFill>
              <w14:schemeClr w14:val="tx1"/>
            </w14:solidFill>
          </w14:textFill>
        </w:rPr>
        <w:t>而单方面终止执行合同的，将赔偿因违约给对方造成的经济损失，并向对方支付本合同总额10%的违约金，如因乙方原因造成的，甲方不予退还履约保证金（如涉及）外，并由甲方提请项目同级财政部门将其列入不良行为记录。</w:t>
      </w:r>
    </w:p>
    <w:p w14:paraId="5A839EA9">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若因乙方原因在合同规定期限内无法交货，甲方有权终止合同，并请示项目同级财政部门（采购科/股）取消其中标资格，甲方不予退还履约保证金（如涉及）并由乙方向甲方支付10%的违约金；或经甲、乙双方协商同意继续履行合同，甲方不予退还履约保证金（如涉及），甲方视情况在延迟交货期内每天按合同总额3‰的标准收取违约金。因不可抗拒力所导致的交货及付款延迟等按照《中华人民共和国民法典》有关条文及本合同第八条处理。</w:t>
      </w:r>
    </w:p>
    <w:p w14:paraId="420D7341">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3</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交付的货物质量不符合合同规定的，乙方应向甲方支付合同总价的5%的违约金，并须在合同规定的交货时间内更换合格的货物给甲方，否则，视作乙方不能交付货物而违约，按第七条第2款进行处理。甲方可将乙方货物交具有法定资格条件的质量技术监督机构检测，检测费用负担原则参照第九条第1款。</w:t>
      </w:r>
    </w:p>
    <w:p w14:paraId="1DFD570F">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4</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10%向甲方支付违约金并赔偿因此给甲方造成的一切损失。</w:t>
      </w:r>
    </w:p>
    <w:p w14:paraId="2ACE092D">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5</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乙方应严格遵守服务承诺，如有违约，将赔偿因服务违约给甲方造成的经济损失。如有履约保证金（如涉及）的，若因乙方未按承诺的响应及到场维修时间进行排除故障，甲方有权扣除乙方履约保证金（如涉及）的5%；若甲方电话通知乙方，未按承诺时限到场维修，超过1天未解决问题的，甲方有权动用履约保证金（如涉及）进行故障处理，并凭票扣除履约保证金（如涉及），追究服务违约的相关责任。</w:t>
      </w:r>
    </w:p>
    <w:p w14:paraId="6408B8DE">
      <w:pPr>
        <w:pStyle w:val="6"/>
        <w:spacing w:line="440" w:lineRule="exact"/>
        <w:ind w:firstLine="480" w:firstLineChars="200"/>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6．验收合格后，甲方应在合同约定的付款期限内及时与财政对接支付合同款项。</w:t>
      </w:r>
    </w:p>
    <w:p w14:paraId="0EDE3F61">
      <w:pPr>
        <w:pStyle w:val="6"/>
        <w:spacing w:line="440" w:lineRule="exact"/>
        <w:rPr>
          <w:rFonts w:hint="eastAsia" w:hAnsi="宋体" w:eastAsia="宋体" w:cs="宋体"/>
          <w:b/>
          <w:color w:val="000000" w:themeColor="text1"/>
          <w:sz w:val="24"/>
          <w:szCs w:val="24"/>
          <w:lang w:val="en-US" w:eastAsia="zh-CN"/>
          <w14:textFill>
            <w14:solidFill>
              <w14:schemeClr w14:val="tx1"/>
            </w14:solidFill>
          </w14:textFill>
        </w:rPr>
      </w:pPr>
      <w:r>
        <w:rPr>
          <w:rFonts w:hint="eastAsia" w:hAnsi="宋体" w:cs="宋体"/>
          <w:b/>
          <w:color w:val="000000" w:themeColor="text1"/>
          <w:sz w:val="24"/>
          <w:szCs w:val="24"/>
          <w14:textFill>
            <w14:solidFill>
              <w14:schemeClr w14:val="tx1"/>
            </w14:solidFill>
          </w14:textFill>
        </w:rPr>
        <w:t>八、不可抗力</w:t>
      </w:r>
      <w:r>
        <w:rPr>
          <w:rFonts w:hint="eastAsia" w:hAnsi="宋体" w:cs="宋体"/>
          <w:b/>
          <w:color w:val="000000" w:themeColor="text1"/>
          <w:sz w:val="24"/>
          <w:szCs w:val="24"/>
          <w:lang w:val="en-US" w:eastAsia="zh-CN"/>
          <w14:textFill>
            <w14:solidFill>
              <w14:schemeClr w14:val="tx1"/>
            </w14:solidFill>
          </w14:textFill>
        </w:rPr>
        <w:t xml:space="preserve"> </w:t>
      </w:r>
    </w:p>
    <w:p w14:paraId="68EAE3DA">
      <w:pPr>
        <w:pStyle w:val="6"/>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甲方由于不可抗力的原因不能履行合同时，应及时向乙方和项目同级财政部门通报不能履行或不能完全履行的理由；乙方由于不可抗力的原因不能履行合同时，应在交货时间到期以前及时向甲方和项目同级财政部门通报不能履行或不能完全履行的理由；在取得有关主管机关证明以后，可以签订延期履行、部分履行补充合同或者不履行合同，并根据情况可部分或全部</w:t>
      </w:r>
      <w:r>
        <w:rPr>
          <w:rFonts w:hint="eastAsia" w:hAnsi="宋体" w:cs="宋体"/>
          <w:color w:val="000000" w:themeColor="text1"/>
          <w:sz w:val="24"/>
          <w:szCs w:val="24"/>
          <w:lang w:eastAsia="zh-CN"/>
          <w14:textFill>
            <w14:solidFill>
              <w14:schemeClr w14:val="tx1"/>
            </w14:solidFill>
          </w14:textFill>
        </w:rPr>
        <w:t>免于</w:t>
      </w:r>
      <w:r>
        <w:rPr>
          <w:rFonts w:hint="eastAsia" w:hAnsi="宋体" w:cs="宋体"/>
          <w:color w:val="000000" w:themeColor="text1"/>
          <w:sz w:val="24"/>
          <w:szCs w:val="24"/>
          <w14:textFill>
            <w14:solidFill>
              <w14:schemeClr w14:val="tx1"/>
            </w14:solidFill>
          </w14:textFill>
        </w:rPr>
        <w:t>承担违约责任。</w:t>
      </w:r>
    </w:p>
    <w:p w14:paraId="0E4A1256">
      <w:pPr>
        <w:pStyle w:val="6"/>
        <w:spacing w:line="440" w:lineRule="exact"/>
        <w:rPr>
          <w:rFonts w:hint="eastAsia" w:hAnsi="宋体" w:eastAsia="宋体" w:cs="宋体"/>
          <w:b/>
          <w:color w:val="000000" w:themeColor="text1"/>
          <w:sz w:val="24"/>
          <w:szCs w:val="24"/>
          <w:lang w:eastAsia="zh-CN"/>
          <w14:textFill>
            <w14:solidFill>
              <w14:schemeClr w14:val="tx1"/>
            </w14:solidFill>
          </w14:textFill>
        </w:rPr>
      </w:pPr>
      <w:r>
        <w:rPr>
          <w:rFonts w:hint="eastAsia" w:hAnsi="宋体" w:cs="宋体"/>
          <w:b/>
          <w:color w:val="000000" w:themeColor="text1"/>
          <w:sz w:val="24"/>
          <w:szCs w:val="24"/>
          <w14:textFill>
            <w14:solidFill>
              <w14:schemeClr w14:val="tx1"/>
            </w14:solidFill>
          </w14:textFill>
        </w:rPr>
        <w:t>九、争议</w:t>
      </w:r>
      <w:r>
        <w:rPr>
          <w:rFonts w:hint="eastAsia" w:hAnsi="宋体" w:cs="宋体"/>
          <w:b/>
          <w:color w:val="000000" w:themeColor="text1"/>
          <w:sz w:val="24"/>
          <w:szCs w:val="24"/>
          <w:lang w:eastAsia="zh-CN"/>
          <w14:textFill>
            <w14:solidFill>
              <w14:schemeClr w14:val="tx1"/>
            </w14:solidFill>
          </w14:textFill>
        </w:rPr>
        <w:t>解决</w:t>
      </w:r>
    </w:p>
    <w:p w14:paraId="47C0AC7B">
      <w:pPr>
        <w:pStyle w:val="16"/>
        <w:spacing w:line="440" w:lineRule="exact"/>
        <w:ind w:firstLine="480"/>
        <w:rPr>
          <w:rFonts w:hAnsi="宋体"/>
          <w:color w:val="000000" w:themeColor="text1"/>
          <w:szCs w:val="24"/>
          <w14:textFill>
            <w14:solidFill>
              <w14:schemeClr w14:val="tx1"/>
            </w14:solidFill>
          </w14:textFill>
        </w:rPr>
      </w:pPr>
      <w:r>
        <w:rPr>
          <w:rFonts w:hint="eastAsia" w:hAnsi="宋体"/>
          <w:color w:val="000000" w:themeColor="text1"/>
          <w:szCs w:val="24"/>
          <w14:textFill>
            <w14:solidFill>
              <w14:schemeClr w14:val="tx1"/>
            </w14:solidFill>
          </w14:textFill>
        </w:rPr>
        <w:t>1</w:t>
      </w:r>
      <w:r>
        <w:rPr>
          <w:rFonts w:hint="eastAsia" w:hAnsi="宋体"/>
          <w:color w:val="000000" w:themeColor="text1"/>
          <w:szCs w:val="24"/>
          <w:lang w:eastAsia="zh-CN"/>
          <w14:textFill>
            <w14:solidFill>
              <w14:schemeClr w14:val="tx1"/>
            </w14:solidFill>
          </w14:textFill>
        </w:rPr>
        <w:t>.</w:t>
      </w:r>
      <w:r>
        <w:rPr>
          <w:rFonts w:hint="eastAsia" w:hAnsi="宋体"/>
          <w:color w:val="000000" w:themeColor="text1"/>
          <w:szCs w:val="24"/>
          <w14:textFill>
            <w14:solidFill>
              <w14:schemeClr w14:val="tx1"/>
            </w14:solidFill>
          </w14:textFill>
        </w:rPr>
        <w:t>因货物的质量问题发生争议，由具有法定资格条件的质量技术监督机构进行质量鉴定。货物符合标准的，鉴定费由甲方承担；货物不符合质量标准的，鉴定费由乙方承担。</w:t>
      </w:r>
    </w:p>
    <w:p w14:paraId="7C903176">
      <w:pPr>
        <w:pStyle w:val="16"/>
        <w:spacing w:line="440" w:lineRule="exact"/>
        <w:ind w:firstLine="480"/>
        <w:rPr>
          <w:rFonts w:hAnsi="宋体"/>
          <w:color w:val="000000" w:themeColor="text1"/>
          <w:szCs w:val="24"/>
          <w:lang w:val="zh-CN"/>
          <w14:textFill>
            <w14:solidFill>
              <w14:schemeClr w14:val="tx1"/>
            </w14:solidFill>
          </w14:textFill>
        </w:rPr>
      </w:pPr>
      <w:r>
        <w:rPr>
          <w:rFonts w:hint="eastAsia" w:hAnsi="宋体"/>
          <w:color w:val="000000" w:themeColor="text1"/>
          <w:szCs w:val="24"/>
          <w14:textFill>
            <w14:solidFill>
              <w14:schemeClr w14:val="tx1"/>
            </w14:solidFill>
          </w14:textFill>
        </w:rPr>
        <w:t>2.乙方违反本合同的约定的，应当承担甲方因此产生的律师费。</w:t>
      </w:r>
      <w:r>
        <w:rPr>
          <w:rFonts w:hint="eastAsia" w:hAnsi="宋体"/>
          <w:color w:val="000000" w:themeColor="text1"/>
          <w:szCs w:val="24"/>
          <w:lang w:val="zh-CN"/>
          <w14:textFill>
            <w14:solidFill>
              <w14:schemeClr w14:val="tx1"/>
            </w14:solidFill>
          </w14:textFill>
        </w:rPr>
        <w:t xml:space="preserve"> </w:t>
      </w:r>
    </w:p>
    <w:p w14:paraId="6718C2C4">
      <w:pPr>
        <w:pStyle w:val="16"/>
        <w:spacing w:line="440" w:lineRule="exact"/>
        <w:ind w:firstLine="480"/>
        <w:rPr>
          <w:rFonts w:hint="eastAsia" w:hAnsi="宋体"/>
          <w:color w:val="000000" w:themeColor="text1"/>
          <w:szCs w:val="24"/>
          <w:lang w:val="zh-CN"/>
          <w14:textFill>
            <w14:solidFill>
              <w14:schemeClr w14:val="tx1"/>
            </w14:solidFill>
          </w14:textFill>
        </w:rPr>
      </w:pPr>
      <w:r>
        <w:rPr>
          <w:rFonts w:hint="eastAsia" w:hAnsi="宋体"/>
          <w:color w:val="000000" w:themeColor="text1"/>
          <w:szCs w:val="24"/>
          <w14:textFill>
            <w14:solidFill>
              <w14:schemeClr w14:val="tx1"/>
            </w14:solidFill>
          </w14:textFill>
        </w:rPr>
        <w:t>3.</w:t>
      </w:r>
      <w:r>
        <w:rPr>
          <w:rFonts w:hint="eastAsia" w:hAnsi="宋体"/>
          <w:color w:val="000000" w:themeColor="text1"/>
          <w:szCs w:val="24"/>
          <w:lang w:val="zh-CN"/>
          <w14:textFill>
            <w14:solidFill>
              <w14:schemeClr w14:val="tx1"/>
            </w14:solidFill>
          </w14:textFill>
        </w:rPr>
        <w:t>采取仲裁/诉讼方式解决争议的，违约方还应承担由此给相对方造成的一切经济损失，包括但不限于仲裁费、诉讼费、律师费、公告费、鉴定费等。</w:t>
      </w:r>
    </w:p>
    <w:p w14:paraId="3BA24D19">
      <w:pPr>
        <w:pStyle w:val="16"/>
        <w:spacing w:line="440" w:lineRule="exact"/>
        <w:ind w:firstLine="480"/>
        <w:rPr>
          <w:rFonts w:hint="default" w:hAnsi="宋体" w:eastAsia="宋体"/>
          <w:color w:val="000000" w:themeColor="text1"/>
          <w:szCs w:val="24"/>
          <w:lang w:val="en-US" w:eastAsia="zh-CN"/>
          <w14:textFill>
            <w14:solidFill>
              <w14:schemeClr w14:val="tx1"/>
            </w14:solidFill>
          </w14:textFill>
        </w:rPr>
      </w:pPr>
      <w:r>
        <w:rPr>
          <w:rFonts w:hint="eastAsia" w:hAnsi="宋体"/>
          <w:color w:val="000000" w:themeColor="text1"/>
          <w:szCs w:val="24"/>
          <w:lang w:val="en-US" w:eastAsia="zh-CN"/>
          <w14:textFill>
            <w14:solidFill>
              <w14:schemeClr w14:val="tx1"/>
            </w14:solidFill>
          </w14:textFill>
        </w:rPr>
        <w:t>4.如因履行本合同产生争议，双方无法协商解决的，应诉至甲方所在地有管辖权的人民法院。</w:t>
      </w:r>
    </w:p>
    <w:p w14:paraId="56AAEE07">
      <w:pPr>
        <w:pStyle w:val="6"/>
        <w:spacing w:line="440" w:lineRule="exact"/>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十、合同标的减少与追加处理</w:t>
      </w:r>
    </w:p>
    <w:p w14:paraId="0EC7D277">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1</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如因在合同履行过程中有变更，存在减少有关产品数量情况，经甲乙双方书面确认，</w:t>
      </w:r>
      <w:r>
        <w:rPr>
          <w:rFonts w:hint="eastAsia" w:hAnsi="宋体" w:cs="宋体"/>
          <w:color w:val="000000" w:themeColor="text1"/>
          <w:sz w:val="24"/>
          <w:szCs w:val="24"/>
          <w:lang w:val="en-US" w:eastAsia="zh-CN"/>
          <w14:textFill>
            <w14:solidFill>
              <w14:schemeClr w14:val="tx1"/>
            </w14:solidFill>
          </w14:textFill>
        </w:rPr>
        <w:t>如需</w:t>
      </w:r>
      <w:r>
        <w:rPr>
          <w:rFonts w:hint="eastAsia" w:hAnsi="宋体" w:cs="宋体"/>
          <w:color w:val="000000" w:themeColor="text1"/>
          <w:sz w:val="24"/>
          <w:szCs w:val="24"/>
          <w14:textFill>
            <w14:solidFill>
              <w14:schemeClr w14:val="tx1"/>
            </w14:solidFill>
          </w14:textFill>
        </w:rPr>
        <w:t>报项目同级财政部门（采购科/股）审核</w:t>
      </w:r>
      <w:r>
        <w:rPr>
          <w:rFonts w:hint="eastAsia" w:hAnsi="宋体" w:cs="宋体"/>
          <w:color w:val="000000" w:themeColor="text1"/>
          <w:sz w:val="24"/>
          <w:szCs w:val="24"/>
          <w:lang w:val="en-US" w:eastAsia="zh-CN"/>
          <w14:textFill>
            <w14:solidFill>
              <w14:schemeClr w14:val="tx1"/>
            </w14:solidFill>
          </w14:textFill>
        </w:rPr>
        <w:t>的，报项目同级财政部门（采购科/股）</w:t>
      </w:r>
      <w:r>
        <w:rPr>
          <w:rFonts w:hint="eastAsia" w:hAnsi="宋体" w:cs="宋体"/>
          <w:color w:val="000000" w:themeColor="text1"/>
          <w:sz w:val="24"/>
          <w:szCs w:val="24"/>
          <w14:textFill>
            <w14:solidFill>
              <w14:schemeClr w14:val="tx1"/>
            </w14:solidFill>
          </w14:textFill>
        </w:rPr>
        <w:t>同意后，按乙方中标时的固定单价对总价进行调减，并按有关规定签订补充合同。</w:t>
      </w:r>
    </w:p>
    <w:p w14:paraId="204100AA">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2</w:t>
      </w:r>
      <w:r>
        <w:rPr>
          <w:rFonts w:hint="eastAsia" w:hAnsi="宋体" w:cs="宋体"/>
          <w:color w:val="000000" w:themeColor="text1"/>
          <w:sz w:val="24"/>
          <w:szCs w:val="24"/>
          <w:lang w:eastAsia="zh-CN"/>
          <w14:textFill>
            <w14:solidFill>
              <w14:schemeClr w14:val="tx1"/>
            </w14:solidFill>
          </w14:textFill>
        </w:rPr>
        <w:t>.</w:t>
      </w:r>
      <w:r>
        <w:rPr>
          <w:rFonts w:hint="eastAsia" w:hAnsi="宋体" w:cs="宋体"/>
          <w:color w:val="000000" w:themeColor="text1"/>
          <w:sz w:val="24"/>
          <w:szCs w:val="24"/>
          <w14:textFill>
            <w14:solidFill>
              <w14:schemeClr w14:val="tx1"/>
            </w14:solidFill>
          </w14:textFill>
        </w:rPr>
        <w:t>如因在合同履行过程中，需追加与本合同标的相同的货物或者服务的总价不得超过本合同金额的10%，在不改变合同条款的前提下，经甲乙双方书面确认，</w:t>
      </w:r>
      <w:r>
        <w:rPr>
          <w:rFonts w:hint="eastAsia" w:hAnsi="宋体" w:cs="宋体"/>
          <w:color w:val="000000" w:themeColor="text1"/>
          <w:sz w:val="24"/>
          <w:szCs w:val="24"/>
          <w:lang w:val="en-US" w:eastAsia="zh-CN"/>
          <w14:textFill>
            <w14:solidFill>
              <w14:schemeClr w14:val="tx1"/>
            </w14:solidFill>
          </w14:textFill>
        </w:rPr>
        <w:t>如需</w:t>
      </w:r>
      <w:r>
        <w:rPr>
          <w:rFonts w:hint="eastAsia" w:hAnsi="宋体" w:cs="宋体"/>
          <w:color w:val="000000" w:themeColor="text1"/>
          <w:sz w:val="24"/>
          <w:szCs w:val="24"/>
          <w14:textFill>
            <w14:solidFill>
              <w14:schemeClr w14:val="tx1"/>
            </w14:solidFill>
          </w14:textFill>
        </w:rPr>
        <w:t>报项目同级财政部门（采购科/股）审核</w:t>
      </w:r>
      <w:r>
        <w:rPr>
          <w:rFonts w:hint="eastAsia" w:hAnsi="宋体" w:cs="宋体"/>
          <w:color w:val="000000" w:themeColor="text1"/>
          <w:sz w:val="24"/>
          <w:szCs w:val="24"/>
          <w:lang w:val="en-US" w:eastAsia="zh-CN"/>
          <w14:textFill>
            <w14:solidFill>
              <w14:schemeClr w14:val="tx1"/>
            </w14:solidFill>
          </w14:textFill>
        </w:rPr>
        <w:t>的，报项目同级财政部门（采购科/股）</w:t>
      </w:r>
      <w:r>
        <w:rPr>
          <w:rFonts w:hint="eastAsia" w:hAnsi="宋体" w:cs="宋体"/>
          <w:color w:val="000000" w:themeColor="text1"/>
          <w:sz w:val="24"/>
          <w:szCs w:val="24"/>
          <w14:textFill>
            <w14:solidFill>
              <w14:schemeClr w14:val="tx1"/>
            </w14:solidFill>
          </w14:textFill>
        </w:rPr>
        <w:t>同意后，按乙方中标时的固定单价对总价进行调增，并按有关规定签订补充合同。</w:t>
      </w:r>
    </w:p>
    <w:p w14:paraId="0818F651">
      <w:p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3．如因在合同履行过程中有变更，甲、乙双方其中一方不同意进行变更的，经双方协商无法达成一致，导致合同无法继续履行的，视为提出变更方违约。</w:t>
      </w:r>
    </w:p>
    <w:p w14:paraId="3ED5352F">
      <w:pPr>
        <w:pStyle w:val="6"/>
        <w:spacing w:line="440" w:lineRule="exact"/>
        <w:rPr>
          <w:rFonts w:hAnsi="宋体" w:cs="宋体"/>
          <w:b/>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十一、其它事项</w:t>
      </w:r>
    </w:p>
    <w:p w14:paraId="5F212DBC">
      <w:pPr>
        <w:numPr>
          <w:ilvl w:val="0"/>
          <w:numId w:val="0"/>
        </w:num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lang w:val="en-US" w:eastAsia="zh-CN"/>
          <w14:textFill>
            <w14:solidFill>
              <w14:schemeClr w14:val="tx1"/>
            </w14:solidFill>
          </w14:textFill>
        </w:rPr>
        <w:t>1.</w:t>
      </w:r>
      <w:r>
        <w:rPr>
          <w:rFonts w:hint="eastAsia" w:hAnsi="宋体" w:cs="宋体"/>
          <w:color w:val="000000" w:themeColor="text1"/>
          <w:sz w:val="24"/>
          <w:szCs w:val="24"/>
          <w14:textFill>
            <w14:solidFill>
              <w14:schemeClr w14:val="tx1"/>
            </w14:solidFill>
          </w14:textFill>
        </w:rPr>
        <w:t>本合同一式</w:t>
      </w:r>
      <w:r>
        <w:rPr>
          <w:rFonts w:hint="eastAsia" w:hAnsi="宋体" w:cs="宋体"/>
          <w:color w:val="000000" w:themeColor="text1"/>
          <w:sz w:val="24"/>
          <w:szCs w:val="24"/>
          <w:lang w:val="en-US" w:eastAsia="zh-CN"/>
          <w14:textFill>
            <w14:solidFill>
              <w14:schemeClr w14:val="tx1"/>
            </w14:solidFill>
          </w14:textFill>
        </w:rPr>
        <w:t>伍</w:t>
      </w:r>
      <w:r>
        <w:rPr>
          <w:rFonts w:hint="eastAsia" w:hAnsi="宋体" w:cs="宋体"/>
          <w:color w:val="000000" w:themeColor="text1"/>
          <w:sz w:val="24"/>
          <w:szCs w:val="24"/>
          <w14:textFill>
            <w14:solidFill>
              <w14:schemeClr w14:val="tx1"/>
            </w14:solidFill>
          </w14:textFill>
        </w:rPr>
        <w:t>份，甲方执</w:t>
      </w:r>
      <w:r>
        <w:rPr>
          <w:rFonts w:hint="eastAsia" w:hAnsi="宋体" w:cs="宋体"/>
          <w:color w:val="000000" w:themeColor="text1"/>
          <w:sz w:val="24"/>
          <w:szCs w:val="24"/>
          <w:lang w:val="en-US" w:eastAsia="zh-CN"/>
          <w14:textFill>
            <w14:solidFill>
              <w14:schemeClr w14:val="tx1"/>
            </w14:solidFill>
          </w14:textFill>
        </w:rPr>
        <w:t>肆</w:t>
      </w:r>
      <w:r>
        <w:rPr>
          <w:rFonts w:hint="eastAsia" w:hAnsi="宋体" w:cs="宋体"/>
          <w:color w:val="000000" w:themeColor="text1"/>
          <w:sz w:val="24"/>
          <w:szCs w:val="24"/>
          <w14:textFill>
            <w14:solidFill>
              <w14:schemeClr w14:val="tx1"/>
            </w14:solidFill>
          </w14:textFill>
        </w:rPr>
        <w:t>份、乙方</w:t>
      </w:r>
      <w:r>
        <w:rPr>
          <w:rFonts w:hint="eastAsia" w:hAnsi="宋体" w:cs="宋体"/>
          <w:color w:val="000000" w:themeColor="text1"/>
          <w:sz w:val="24"/>
          <w:szCs w:val="24"/>
          <w:lang w:val="en-US" w:eastAsia="zh-CN"/>
          <w14:textFill>
            <w14:solidFill>
              <w14:schemeClr w14:val="tx1"/>
            </w14:solidFill>
          </w14:textFill>
        </w:rPr>
        <w:t>壹份。同级财政部门电子备案具有同等法律效力。</w:t>
      </w:r>
    </w:p>
    <w:p w14:paraId="2B24925C">
      <w:pPr>
        <w:pStyle w:val="6"/>
        <w:numPr>
          <w:ilvl w:val="0"/>
          <w:numId w:val="1"/>
        </w:num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本项目的招标文件、乙方投标文件等是本合同的附件，与合同具有同等的法律效力。</w:t>
      </w:r>
    </w:p>
    <w:p w14:paraId="714E1CC6">
      <w:pPr>
        <w:pStyle w:val="6"/>
        <w:numPr>
          <w:ilvl w:val="0"/>
          <w:numId w:val="1"/>
        </w:numPr>
        <w:spacing w:line="440" w:lineRule="exact"/>
        <w:ind w:firstLine="480" w:firstLineChars="2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其它未尽事宜，由双方友好协商解决，并参照《中华人民共和国民法典》有关条款执行。</w:t>
      </w:r>
    </w:p>
    <w:p w14:paraId="61F1A70F">
      <w:pPr>
        <w:spacing w:line="440" w:lineRule="exact"/>
        <w:rPr>
          <w:rFonts w:hint="eastAsia" w:hAnsi="宋体" w:cs="宋体"/>
          <w:b/>
          <w:color w:val="000000" w:themeColor="text1"/>
          <w:sz w:val="24"/>
          <w:szCs w:val="24"/>
          <w14:textFill>
            <w14:solidFill>
              <w14:schemeClr w14:val="tx1"/>
            </w14:solidFill>
          </w14:textFill>
        </w:rPr>
      </w:pPr>
    </w:p>
    <w:p w14:paraId="5514184F">
      <w:pPr>
        <w:spacing w:line="440" w:lineRule="exact"/>
        <w:rPr>
          <w:rFonts w:hint="eastAsia" w:hAnsi="宋体" w:cs="宋体"/>
          <w:color w:val="000000" w:themeColor="text1"/>
          <w:sz w:val="24"/>
          <w:szCs w:val="24"/>
          <w14:textFill>
            <w14:solidFill>
              <w14:schemeClr w14:val="tx1"/>
            </w14:solidFill>
          </w14:textFill>
        </w:rPr>
      </w:pPr>
      <w:r>
        <w:rPr>
          <w:rFonts w:hint="eastAsia" w:hAnsi="宋体" w:cs="宋体"/>
          <w:b/>
          <w:color w:val="000000" w:themeColor="text1"/>
          <w:sz w:val="24"/>
          <w:szCs w:val="24"/>
          <w14:textFill>
            <w14:solidFill>
              <w14:schemeClr w14:val="tx1"/>
            </w14:solidFill>
          </w14:textFill>
        </w:rPr>
        <w:t>附</w:t>
      </w:r>
      <w:r>
        <w:rPr>
          <w:rFonts w:hint="eastAsia" w:hAnsi="宋体" w:cs="宋体"/>
          <w:color w:val="000000" w:themeColor="text1"/>
          <w:sz w:val="24"/>
          <w:szCs w:val="24"/>
          <w14:textFill>
            <w14:solidFill>
              <w14:schemeClr w14:val="tx1"/>
            </w14:solidFill>
          </w14:textFill>
        </w:rPr>
        <w:t>：乙方报价表。</w:t>
      </w:r>
    </w:p>
    <w:p w14:paraId="631CFD71">
      <w:pPr>
        <w:spacing w:line="240" w:lineRule="auto"/>
        <w:jc w:val="center"/>
        <w:rPr>
          <w:rFonts w:hint="eastAsia" w:hAnsi="宋体" w:cs="宋体"/>
          <w:color w:val="000000" w:themeColor="text1"/>
          <w:sz w:val="24"/>
          <w:szCs w:val="24"/>
          <w:lang w:eastAsia="zh-CN"/>
          <w14:textFill>
            <w14:solidFill>
              <w14:schemeClr w14:val="tx1"/>
            </w14:solidFill>
          </w14:textFill>
        </w:rPr>
      </w:pPr>
    </w:p>
    <w:p w14:paraId="5108F608">
      <w:pPr>
        <w:spacing w:line="240" w:lineRule="auto"/>
        <w:jc w:val="center"/>
        <w:rPr>
          <w:rFonts w:hint="eastAsia" w:hAnsi="宋体" w:cs="宋体"/>
          <w:color w:val="000000" w:themeColor="text1"/>
          <w:sz w:val="24"/>
          <w:szCs w:val="24"/>
          <w:lang w:eastAsia="zh-CN"/>
          <w14:textFill>
            <w14:solidFill>
              <w14:schemeClr w14:val="tx1"/>
            </w14:solidFill>
          </w14:textFill>
        </w:rPr>
      </w:pPr>
      <w:r>
        <w:rPr>
          <w:rFonts w:hint="eastAsia" w:hAnsi="宋体" w:cs="宋体"/>
          <w:color w:val="000000" w:themeColor="text1"/>
          <w:sz w:val="24"/>
          <w:szCs w:val="24"/>
          <w:lang w:eastAsia="zh-CN"/>
          <w14:textFill>
            <w14:solidFill>
              <w14:schemeClr w14:val="tx1"/>
            </w14:solidFill>
          </w14:textFill>
        </w:rPr>
        <w:t>（以下无正文，为合同签署页）</w:t>
      </w:r>
    </w:p>
    <w:p w14:paraId="5A08BDCE">
      <w:pPr>
        <w:spacing w:line="240" w:lineRule="auto"/>
        <w:jc w:val="both"/>
        <w:rPr>
          <w:rFonts w:hint="eastAsia" w:hAnsi="宋体" w:cs="宋体"/>
          <w:color w:val="000000" w:themeColor="text1"/>
          <w:sz w:val="24"/>
          <w:szCs w:val="24"/>
          <w:lang w:eastAsia="zh-CN"/>
          <w14:textFill>
            <w14:solidFill>
              <w14:schemeClr w14:val="tx1"/>
            </w14:solidFill>
          </w14:textFill>
        </w:rPr>
      </w:pPr>
    </w:p>
    <w:p w14:paraId="356C951D">
      <w:pPr>
        <w:spacing w:line="240" w:lineRule="auto"/>
        <w:jc w:val="both"/>
        <w:rPr>
          <w:rFonts w:hint="eastAsia" w:hAnsi="宋体" w:cs="宋体"/>
          <w:color w:val="000000" w:themeColor="text1"/>
          <w:sz w:val="24"/>
          <w:szCs w:val="24"/>
          <w:lang w:eastAsia="zh-CN"/>
          <w14:textFill>
            <w14:solidFill>
              <w14:schemeClr w14:val="tx1"/>
            </w14:solidFill>
          </w14:textFill>
        </w:rPr>
      </w:pPr>
    </w:p>
    <w:p w14:paraId="4714BBBF">
      <w:pPr>
        <w:spacing w:line="240" w:lineRule="auto"/>
        <w:jc w:val="both"/>
        <w:rPr>
          <w:rFonts w:hint="eastAsia" w:hAnsi="宋体" w:cs="宋体"/>
          <w:color w:val="000000" w:themeColor="text1"/>
          <w:sz w:val="24"/>
          <w:szCs w:val="24"/>
          <w:lang w:eastAsia="zh-CN"/>
          <w14:textFill>
            <w14:solidFill>
              <w14:schemeClr w14:val="tx1"/>
            </w14:solidFill>
          </w14:textFill>
        </w:rPr>
      </w:pPr>
    </w:p>
    <w:p w14:paraId="0153CBC2">
      <w:pPr>
        <w:spacing w:line="240" w:lineRule="auto"/>
        <w:jc w:val="both"/>
        <w:rPr>
          <w:rFonts w:hint="eastAsia" w:hAnsi="宋体" w:cs="宋体"/>
          <w:color w:val="000000" w:themeColor="text1"/>
          <w:sz w:val="24"/>
          <w:szCs w:val="24"/>
          <w:lang w:eastAsia="zh-CN"/>
          <w14:textFill>
            <w14:solidFill>
              <w14:schemeClr w14:val="tx1"/>
            </w14:solidFill>
          </w14:textFill>
        </w:rPr>
      </w:pPr>
    </w:p>
    <w:p w14:paraId="4F4F2ABE">
      <w:pPr>
        <w:spacing w:line="240" w:lineRule="auto"/>
        <w:jc w:val="both"/>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 xml:space="preserve">甲方 （印章）：                     乙方 （印章）：    </w:t>
      </w:r>
    </w:p>
    <w:p w14:paraId="485F03F5">
      <w:pPr>
        <w:pStyle w:val="6"/>
        <w:spacing w:line="360" w:lineRule="auto"/>
        <w:rPr>
          <w:rFonts w:hint="eastAsia" w:hAnsi="宋体" w:cs="宋体"/>
          <w:bCs/>
          <w:color w:val="000000" w:themeColor="text1"/>
          <w:sz w:val="24"/>
          <w:szCs w:val="24"/>
          <w14:textFill>
            <w14:solidFill>
              <w14:schemeClr w14:val="tx1"/>
            </w14:solidFill>
          </w14:textFill>
        </w:rPr>
      </w:pPr>
    </w:p>
    <w:p w14:paraId="33D0E868">
      <w:pPr>
        <w:pStyle w:val="6"/>
        <w:spacing w:line="360" w:lineRule="auto"/>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甲方代表签字:                       乙方代表签字：</w:t>
      </w:r>
    </w:p>
    <w:p w14:paraId="5DB190E1">
      <w:pPr>
        <w:pStyle w:val="6"/>
        <w:spacing w:line="360" w:lineRule="auto"/>
        <w:ind w:left="5040" w:hanging="5040" w:hangingChars="2100"/>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地址：泸州市江阳区</w:t>
      </w:r>
      <w:r>
        <w:rPr>
          <w:rFonts w:hAnsi="宋体" w:cs="宋体"/>
          <w:color w:val="000000" w:themeColor="text1"/>
          <w:sz w:val="24"/>
          <w:szCs w:val="24"/>
          <w14:textFill>
            <w14:solidFill>
              <w14:schemeClr w14:val="tx1"/>
            </w14:solidFill>
          </w14:textFill>
        </w:rPr>
        <w:t>大岩山路二段2号</w:t>
      </w:r>
      <w:r>
        <w:rPr>
          <w:rFonts w:hint="eastAsia" w:hAnsi="宋体" w:cs="宋体"/>
          <w:bCs/>
          <w:color w:val="000000" w:themeColor="text1"/>
          <w:sz w:val="24"/>
          <w:szCs w:val="24"/>
          <w14:textFill>
            <w14:solidFill>
              <w14:schemeClr w14:val="tx1"/>
            </w14:solidFill>
          </w14:textFill>
        </w:rPr>
        <w:t xml:space="preserve">  地址：</w:t>
      </w:r>
    </w:p>
    <w:p w14:paraId="21419F17">
      <w:pPr>
        <w:pStyle w:val="6"/>
        <w:spacing w:line="360" w:lineRule="auto"/>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电话：</w:t>
      </w:r>
      <w:r>
        <w:rPr>
          <w:rFonts w:hint="eastAsia" w:hAnsi="宋体"/>
          <w:bCs/>
          <w:color w:val="000000" w:themeColor="text1"/>
          <w:sz w:val="24"/>
          <w14:textFill>
            <w14:solidFill>
              <w14:schemeClr w14:val="tx1"/>
            </w14:solidFill>
          </w14:textFill>
        </w:rPr>
        <w:t>0830-2512616</w:t>
      </w:r>
      <w:r>
        <w:rPr>
          <w:rFonts w:hint="eastAsia" w:hAnsi="宋体" w:cs="宋体"/>
          <w:bCs/>
          <w:color w:val="000000" w:themeColor="text1"/>
          <w:sz w:val="24"/>
          <w:szCs w:val="24"/>
          <w14:textFill>
            <w14:solidFill>
              <w14:schemeClr w14:val="tx1"/>
            </w14:solidFill>
          </w14:textFill>
        </w:rPr>
        <w:t xml:space="preserve">                  电话：</w:t>
      </w:r>
    </w:p>
    <w:p w14:paraId="11F0BE38">
      <w:pPr>
        <w:spacing w:line="400" w:lineRule="exact"/>
        <w:ind w:left="5364" w:leftChars="1260" w:hanging="1080" w:hangingChars="45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开户银行：</w:t>
      </w:r>
    </w:p>
    <w:p w14:paraId="5DDD66AE">
      <w:pPr>
        <w:spacing w:line="400" w:lineRule="exact"/>
        <w:ind w:firstLine="4320" w:firstLineChars="1800"/>
        <w:rPr>
          <w:rFonts w:hint="eastAsia"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开户账号：</w:t>
      </w:r>
    </w:p>
    <w:p w14:paraId="51C0F8AB">
      <w:pPr>
        <w:spacing w:line="400" w:lineRule="exact"/>
        <w:ind w:firstLine="4320" w:firstLineChars="1800"/>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银行行号：</w:t>
      </w:r>
    </w:p>
    <w:p w14:paraId="143E6025">
      <w:pPr>
        <w:pStyle w:val="6"/>
        <w:spacing w:line="360" w:lineRule="auto"/>
        <w:ind w:right="480" w:firstLine="4320" w:firstLineChars="1800"/>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乙方规模：</w:t>
      </w:r>
    </w:p>
    <w:p w14:paraId="532CBA8A">
      <w:pPr>
        <w:pStyle w:val="6"/>
        <w:spacing w:line="360" w:lineRule="auto"/>
        <w:jc w:val="right"/>
        <w:rPr>
          <w:rFonts w:hint="eastAsia" w:hAnsi="宋体" w:cs="宋体"/>
          <w:bCs/>
          <w:color w:val="000000" w:themeColor="text1"/>
          <w:sz w:val="24"/>
          <w:szCs w:val="24"/>
          <w14:textFill>
            <w14:solidFill>
              <w14:schemeClr w14:val="tx1"/>
            </w14:solidFill>
          </w14:textFill>
        </w:rPr>
      </w:pPr>
    </w:p>
    <w:p w14:paraId="6974A2A8">
      <w:pPr>
        <w:pStyle w:val="6"/>
        <w:spacing w:line="360" w:lineRule="auto"/>
        <w:jc w:val="right"/>
        <w:rPr>
          <w:rFonts w:hint="eastAsia" w:hAnsi="宋体" w:cs="宋体"/>
          <w:bCs/>
          <w:color w:val="000000" w:themeColor="text1"/>
          <w:sz w:val="24"/>
          <w:szCs w:val="24"/>
          <w14:textFill>
            <w14:solidFill>
              <w14:schemeClr w14:val="tx1"/>
            </w14:solidFill>
          </w14:textFill>
        </w:rPr>
      </w:pPr>
    </w:p>
    <w:p w14:paraId="0AD61A07">
      <w:pPr>
        <w:pStyle w:val="6"/>
        <w:spacing w:line="360" w:lineRule="auto"/>
        <w:jc w:val="right"/>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日    期：    年   月   日</w:t>
      </w:r>
    </w:p>
    <w:p w14:paraId="7C5E0E96">
      <w:pPr>
        <w:rPr>
          <w:color w:val="000000" w:themeColor="text1"/>
          <w14:textFill>
            <w14:solidFill>
              <w14:schemeClr w14:val="tx1"/>
            </w14:solidFill>
          </w14:textFill>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C7A11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F23746">
                          <w:pPr>
                            <w:pStyle w:val="8"/>
                          </w:pPr>
                          <w:r>
                            <w:rPr>
                              <w:sz w:val="20"/>
                              <w:szCs w:val="21"/>
                            </w:rPr>
                            <w:fldChar w:fldCharType="begin"/>
                          </w:r>
                          <w:r>
                            <w:rPr>
                              <w:sz w:val="20"/>
                              <w:szCs w:val="21"/>
                            </w:rPr>
                            <w:instrText xml:space="preserve"> PAGE  \* MERGEFORMAT </w:instrText>
                          </w:r>
                          <w:r>
                            <w:rPr>
                              <w:sz w:val="20"/>
                              <w:szCs w:val="21"/>
                            </w:rPr>
                            <w:fldChar w:fldCharType="separate"/>
                          </w:r>
                          <w:r>
                            <w:rPr>
                              <w:sz w:val="20"/>
                              <w:szCs w:val="21"/>
                            </w:rPr>
                            <w:t>1</w:t>
                          </w:r>
                          <w:r>
                            <w:rPr>
                              <w:sz w:val="20"/>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AF23746">
                    <w:pPr>
                      <w:pStyle w:val="8"/>
                    </w:pPr>
                    <w:r>
                      <w:rPr>
                        <w:sz w:val="20"/>
                        <w:szCs w:val="21"/>
                      </w:rPr>
                      <w:fldChar w:fldCharType="begin"/>
                    </w:r>
                    <w:r>
                      <w:rPr>
                        <w:sz w:val="20"/>
                        <w:szCs w:val="21"/>
                      </w:rPr>
                      <w:instrText xml:space="preserve"> PAGE  \* MERGEFORMAT </w:instrText>
                    </w:r>
                    <w:r>
                      <w:rPr>
                        <w:sz w:val="20"/>
                        <w:szCs w:val="21"/>
                      </w:rPr>
                      <w:fldChar w:fldCharType="separate"/>
                    </w:r>
                    <w:r>
                      <w:rPr>
                        <w:sz w:val="20"/>
                        <w:szCs w:val="21"/>
                      </w:rPr>
                      <w:t>1</w:t>
                    </w:r>
                    <w:r>
                      <w:rPr>
                        <w:sz w:val="20"/>
                        <w:szCs w:val="21"/>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B7CBAD"/>
    <w:multiLevelType w:val="singleLevel"/>
    <w:tmpl w:val="F2B7CBAD"/>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xZTAzYjJmMjdkZjMxNWQxYzQ4NmQ2MThmMWMwNzEifQ=="/>
  </w:docVars>
  <w:rsids>
    <w:rsidRoot w:val="06BF1B98"/>
    <w:rsid w:val="001D3E91"/>
    <w:rsid w:val="001E36F4"/>
    <w:rsid w:val="002448FF"/>
    <w:rsid w:val="00327764"/>
    <w:rsid w:val="00486B02"/>
    <w:rsid w:val="00543BC4"/>
    <w:rsid w:val="0064376C"/>
    <w:rsid w:val="006A7A6A"/>
    <w:rsid w:val="006C758E"/>
    <w:rsid w:val="007719E6"/>
    <w:rsid w:val="0079703A"/>
    <w:rsid w:val="00884D4C"/>
    <w:rsid w:val="008B7A26"/>
    <w:rsid w:val="00986314"/>
    <w:rsid w:val="00AB1D77"/>
    <w:rsid w:val="00AE3E0A"/>
    <w:rsid w:val="00B75B1B"/>
    <w:rsid w:val="00BA4492"/>
    <w:rsid w:val="00C823E9"/>
    <w:rsid w:val="00DC6EE3"/>
    <w:rsid w:val="00DE3843"/>
    <w:rsid w:val="00E176B5"/>
    <w:rsid w:val="00E34A3C"/>
    <w:rsid w:val="00E5643B"/>
    <w:rsid w:val="00E7674E"/>
    <w:rsid w:val="00E86283"/>
    <w:rsid w:val="00EC16ED"/>
    <w:rsid w:val="00EF4691"/>
    <w:rsid w:val="00F5214F"/>
    <w:rsid w:val="00FC6E86"/>
    <w:rsid w:val="02F81419"/>
    <w:rsid w:val="04781355"/>
    <w:rsid w:val="049B394B"/>
    <w:rsid w:val="06BF1B98"/>
    <w:rsid w:val="06CD63C3"/>
    <w:rsid w:val="0728400F"/>
    <w:rsid w:val="077F7F72"/>
    <w:rsid w:val="08707AA2"/>
    <w:rsid w:val="0AFD29DB"/>
    <w:rsid w:val="0B3339E7"/>
    <w:rsid w:val="0D4076B0"/>
    <w:rsid w:val="0F9B1DBA"/>
    <w:rsid w:val="0FA17474"/>
    <w:rsid w:val="11BA18B5"/>
    <w:rsid w:val="12773533"/>
    <w:rsid w:val="13DF151A"/>
    <w:rsid w:val="16117F11"/>
    <w:rsid w:val="17FF5239"/>
    <w:rsid w:val="18786026"/>
    <w:rsid w:val="19121AEA"/>
    <w:rsid w:val="1BE76BDD"/>
    <w:rsid w:val="1C4E5A1B"/>
    <w:rsid w:val="1D6E2B80"/>
    <w:rsid w:val="1D9F5B73"/>
    <w:rsid w:val="1DF4775D"/>
    <w:rsid w:val="1F324408"/>
    <w:rsid w:val="1F4C688F"/>
    <w:rsid w:val="20EB1A8B"/>
    <w:rsid w:val="20FA2D25"/>
    <w:rsid w:val="21D93411"/>
    <w:rsid w:val="227C4964"/>
    <w:rsid w:val="22DD68C3"/>
    <w:rsid w:val="24F80254"/>
    <w:rsid w:val="255A0D12"/>
    <w:rsid w:val="27E93D68"/>
    <w:rsid w:val="28E77059"/>
    <w:rsid w:val="29070FA7"/>
    <w:rsid w:val="29734F00"/>
    <w:rsid w:val="29D73DBD"/>
    <w:rsid w:val="2B7E6F24"/>
    <w:rsid w:val="2B842D91"/>
    <w:rsid w:val="2BF546A2"/>
    <w:rsid w:val="2CA8142B"/>
    <w:rsid w:val="2E693FEF"/>
    <w:rsid w:val="2ECD27D0"/>
    <w:rsid w:val="2F023A71"/>
    <w:rsid w:val="303B34B0"/>
    <w:rsid w:val="30AE2CB0"/>
    <w:rsid w:val="30DF67EA"/>
    <w:rsid w:val="32675F49"/>
    <w:rsid w:val="33B421B0"/>
    <w:rsid w:val="38AB5F70"/>
    <w:rsid w:val="39D3116A"/>
    <w:rsid w:val="3C746CE0"/>
    <w:rsid w:val="3D14326F"/>
    <w:rsid w:val="3DB6288E"/>
    <w:rsid w:val="409B378D"/>
    <w:rsid w:val="40D10842"/>
    <w:rsid w:val="41314E40"/>
    <w:rsid w:val="42376350"/>
    <w:rsid w:val="42B979DE"/>
    <w:rsid w:val="43456A07"/>
    <w:rsid w:val="473A2575"/>
    <w:rsid w:val="48B63651"/>
    <w:rsid w:val="48C55B35"/>
    <w:rsid w:val="4A3379EF"/>
    <w:rsid w:val="4B0373AF"/>
    <w:rsid w:val="4B4441D2"/>
    <w:rsid w:val="4C194E4E"/>
    <w:rsid w:val="4C9401D3"/>
    <w:rsid w:val="4D3F1CC6"/>
    <w:rsid w:val="4D5E3185"/>
    <w:rsid w:val="4D8A1BA4"/>
    <w:rsid w:val="4E850579"/>
    <w:rsid w:val="4FA43D12"/>
    <w:rsid w:val="4FB20036"/>
    <w:rsid w:val="50E22CB2"/>
    <w:rsid w:val="51C17517"/>
    <w:rsid w:val="52364FDC"/>
    <w:rsid w:val="58180AEB"/>
    <w:rsid w:val="59156970"/>
    <w:rsid w:val="59A3360E"/>
    <w:rsid w:val="5BD16488"/>
    <w:rsid w:val="5C4F21C6"/>
    <w:rsid w:val="5E87024B"/>
    <w:rsid w:val="5E954808"/>
    <w:rsid w:val="5EBE13BF"/>
    <w:rsid w:val="5EF0164D"/>
    <w:rsid w:val="610029DF"/>
    <w:rsid w:val="61B256D1"/>
    <w:rsid w:val="6220088D"/>
    <w:rsid w:val="62685D90"/>
    <w:rsid w:val="63DA3CB2"/>
    <w:rsid w:val="64992B79"/>
    <w:rsid w:val="662002BD"/>
    <w:rsid w:val="672C69AA"/>
    <w:rsid w:val="673B1CC5"/>
    <w:rsid w:val="68E16459"/>
    <w:rsid w:val="69AB1384"/>
    <w:rsid w:val="69C2623F"/>
    <w:rsid w:val="6DDF62BD"/>
    <w:rsid w:val="6E2301BC"/>
    <w:rsid w:val="6EEA689A"/>
    <w:rsid w:val="6F3040D9"/>
    <w:rsid w:val="6F647FE0"/>
    <w:rsid w:val="70253228"/>
    <w:rsid w:val="715D39BA"/>
    <w:rsid w:val="716D33C3"/>
    <w:rsid w:val="718A65D1"/>
    <w:rsid w:val="73E159B5"/>
    <w:rsid w:val="746D4BE5"/>
    <w:rsid w:val="75810AC0"/>
    <w:rsid w:val="769A6A08"/>
    <w:rsid w:val="76B26248"/>
    <w:rsid w:val="784320FF"/>
    <w:rsid w:val="78A73B6B"/>
    <w:rsid w:val="79BC13F5"/>
    <w:rsid w:val="7A7E23E7"/>
    <w:rsid w:val="7C586BB5"/>
    <w:rsid w:val="7CED1EA9"/>
    <w:rsid w:val="7D921014"/>
    <w:rsid w:val="7E2843E3"/>
    <w:rsid w:val="7F7E38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99" w:semiHidden="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3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firstLineChars="200"/>
    </w:pPr>
  </w:style>
  <w:style w:type="paragraph" w:styleId="3">
    <w:name w:val="annotation text"/>
    <w:basedOn w:val="1"/>
    <w:semiHidden/>
    <w:unhideWhenUsed/>
    <w:qFormat/>
    <w:uiPriority w:val="0"/>
    <w:pPr>
      <w:jc w:val="left"/>
    </w:pPr>
  </w:style>
  <w:style w:type="paragraph" w:styleId="4">
    <w:name w:val="Body Text"/>
    <w:basedOn w:val="1"/>
    <w:next w:val="5"/>
    <w:qFormat/>
    <w:uiPriority w:val="99"/>
    <w:pPr>
      <w:spacing w:line="288" w:lineRule="auto"/>
    </w:pPr>
    <w:rPr>
      <w:rFonts w:ascii="仿宋_GB2312"/>
    </w:rPr>
  </w:style>
  <w:style w:type="paragraph" w:styleId="5">
    <w:name w:val="Body Text First Indent"/>
    <w:basedOn w:val="4"/>
    <w:next w:val="1"/>
    <w:qFormat/>
    <w:uiPriority w:val="99"/>
    <w:pPr>
      <w:tabs>
        <w:tab w:val="left" w:pos="9000"/>
      </w:tabs>
      <w:ind w:firstLine="420" w:firstLineChars="100"/>
    </w:pPr>
    <w:rPr>
      <w:szCs w:val="21"/>
    </w:rPr>
  </w:style>
  <w:style w:type="paragraph" w:styleId="6">
    <w:name w:val="Plain Text"/>
    <w:basedOn w:val="1"/>
    <w:qFormat/>
    <w:uiPriority w:val="0"/>
    <w:rPr>
      <w:rFonts w:hAnsi="Courier New"/>
      <w:sz w:val="20"/>
    </w:rPr>
  </w:style>
  <w:style w:type="paragraph" w:styleId="7">
    <w:name w:val="Balloon Text"/>
    <w:basedOn w:val="1"/>
    <w:link w:val="19"/>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Normal (Web)"/>
    <w:basedOn w:val="1"/>
    <w:qFormat/>
    <w:uiPriority w:val="0"/>
    <w:pPr>
      <w:widowControl/>
      <w:spacing w:before="100" w:beforeAutospacing="1" w:after="100" w:afterAutospacing="1"/>
      <w:jc w:val="left"/>
    </w:pPr>
    <w:rPr>
      <w:sz w:val="18"/>
      <w:szCs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符号）二标题总则"/>
    <w:basedOn w:val="1"/>
    <w:qFormat/>
    <w:uiPriority w:val="0"/>
    <w:pPr>
      <w:spacing w:beforeLines="50" w:afterLines="50" w:line="420" w:lineRule="exact"/>
      <w:jc w:val="center"/>
      <w:outlineLvl w:val="1"/>
    </w:pPr>
    <w:rPr>
      <w:rFonts w:ascii="黑体" w:eastAsia="黑体" w:cs="宋体"/>
      <w:b/>
      <w:bCs/>
      <w:sz w:val="32"/>
      <w:szCs w:val="32"/>
    </w:rPr>
  </w:style>
  <w:style w:type="character" w:customStyle="1" w:styleId="15">
    <w:name w:val="样式 宋体 小四"/>
    <w:qFormat/>
    <w:uiPriority w:val="0"/>
    <w:rPr>
      <w:sz w:val="24"/>
    </w:rPr>
  </w:style>
  <w:style w:type="paragraph" w:customStyle="1" w:styleId="16">
    <w:name w:val="样式 首行缩进:  2 字符"/>
    <w:basedOn w:val="1"/>
    <w:qFormat/>
    <w:uiPriority w:val="0"/>
    <w:pPr>
      <w:spacing w:line="400" w:lineRule="exact"/>
      <w:ind w:firstLine="200" w:firstLineChars="200"/>
    </w:pPr>
    <w:rPr>
      <w:rFonts w:cs="宋体"/>
      <w:sz w:val="24"/>
    </w:rPr>
  </w:style>
  <w:style w:type="paragraph" w:styleId="17">
    <w:name w:val="List Paragraph"/>
    <w:basedOn w:val="1"/>
    <w:qFormat/>
    <w:uiPriority w:val="34"/>
    <w:pPr>
      <w:ind w:firstLine="420" w:firstLineChars="200"/>
    </w:pPr>
  </w:style>
  <w:style w:type="paragraph" w:customStyle="1" w:styleId="18">
    <w:name w:val="修订1"/>
    <w:hidden/>
    <w:semiHidden/>
    <w:qFormat/>
    <w:uiPriority w:val="99"/>
    <w:rPr>
      <w:rFonts w:ascii="宋体" w:hAnsi="Times New Roman" w:eastAsia="宋体" w:cs="Times New Roman"/>
      <w:sz w:val="34"/>
      <w:lang w:val="en-US" w:eastAsia="zh-CN" w:bidi="ar-SA"/>
    </w:rPr>
  </w:style>
  <w:style w:type="character" w:customStyle="1" w:styleId="19">
    <w:name w:val="批注框文本 字符"/>
    <w:basedOn w:val="13"/>
    <w:link w:val="7"/>
    <w:qFormat/>
    <w:uiPriority w:val="0"/>
    <w:rPr>
      <w:rFonts w:ascii="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3412</Words>
  <Characters>3481</Characters>
  <Lines>32</Lines>
  <Paragraphs>9</Paragraphs>
  <TotalTime>184</TotalTime>
  <ScaleCrop>false</ScaleCrop>
  <LinksUpToDate>false</LinksUpToDate>
  <CharactersWithSpaces>3827</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2022-10-10T05:21:00Z</dcterms:created>
  <dc:creator>音缘</dc:creator>
  <cp:lastModifiedBy>述妹</cp:lastModifiedBy>
  <dcterms:modified xsi:type="dcterms:W3CDTF">2024-08-26T01:56:40Z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350B639BECA54D0982D210DCB2211D5C_13</vt:lpwstr>
  </property>
</Properties>
</file>